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关联课业：</w:t>
      </w:r>
      <w:r>
        <w:rPr>
          <w:rFonts w:ascii="Tahoma" w:hAnsi="Tahoma" w:cs="Tahoma"/>
          <w:sz w:val="19"/>
          <w:szCs w:val="19"/>
        </w:rPr>
        <w:t xml:space="preserve">消息传递并行编程（MPI）、线程并行编程（OpenMP）、HPC 体系结构、性能编程与优化、GPU / 加速器编程、并行设计模式、高性能数据分析、机器学习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hwloc、Linaro MAP；strong / weak scaling、parallel efficiency 与饱和点判定，halo exchange、global reduction（allreduce）等集合通信开销，roofline / 访存墙估算，NUMA 与线程绑定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PyTorch、NumPy、pandas；LLM function calling / tool schema 设计、离线评测集构建与消融实验。GPU 与推理服务为课程与自学层面：CUDA 编程模型、NCCL 集合通信、数据 / 张量并行、batching 与吞吐-时延取舍、KV cache 与量化对每 token 访存量的影响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CI、FastAPI + Pydantic、SQLite / MySQL，了解 Docker；把实验做成可复现管线：参数化提交脚本 → 基于内容的日志审计 → pandas 聚合 → 回归测试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超算上 4,096 核规模的并行布局选型与性能归因——通信暴露与线程空转的权衡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｜C · PETSc · MPI · OpenMP · Slurm · Linaro MAP · Python / pandas · GitHub Actions  </w:t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ARCHER2（双路 AMD EPYC 7742、128 核/节点，Slingshot 互连）上研究一个受约束的配置问题：总核数固定时，如何在 MPI rank 数与每 rank 的 OpenMP 线程数之间切分——这两个值在真实作业里几乎都由提交脚本的默认值决定，很少有人量过默认值的代价。负载为 2D/3D stencil + CG+GAMG，5M–165M unknowns，四种满节点布局（128×1 / 64×2 / 32×4 / 16×8）。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布局选型：</w:t>
      </w:r>
      <w:r>
        <w:rPr>
          <w:rFonts w:ascii="Tahoma" w:hAnsi="Tahoma" w:cs="Tahoma"/>
          <w:sz w:val="19"/>
          <w:szCs w:val="19"/>
        </w:rPr>
        <w:t xml:space="preserve">2D weak scaling 上 64×2 比 flat MPI 高 13.1%（165M unknowns / 32 节点、794.8M equations/s），fixed-20M strong scaling 达 29.83× 加速、93.2% 累积效率；3D 上最佳布局改为 32×4（最大增益 33.2%）与 16×8（比 flat MPI 快 3.81×）——最佳并行度随维度、规模与每核工作量改变，不存在单一「最优线程数」；这与固定 batch 继续扩机器时的收益递减是同一类问题。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机理归因：</w:t>
      </w:r>
      <w:r>
        <w:rPr>
          <w:rFonts w:ascii="Tahoma" w:hAnsi="Tahoma" w:cs="Tahoma"/>
          <w:sz w:val="19"/>
          <w:szCs w:val="19"/>
        </w:rPr>
        <w:t xml:space="preserve">Linaro MAP 把布局排序解释为两条曲线的交点——threads/rank 上升时 solve window 内 MPI 占比 46.7%→6.2%、OpenMP 等待 48.3%→76.5%，即「通信暴露」与「线程空转」的权衡；排除 threaded BLAS 的解释（LibSci ≤ 2.1% core-time），并因插桩扰动运行时间而只读占比排序、不与未插桩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自建的可累加指标：</w:t>
      </w:r>
      <w:r>
        <w:rPr>
          <w:rFonts w:ascii="Tahoma" w:hAnsi="Tahoma" w:cs="Tahoma"/>
          <w:sz w:val="19"/>
          <w:szCs w:val="19"/>
        </w:rPr>
        <w:t xml:space="preserve">在 PETSc -log_view 上定义「同步暴露占比」：事件嵌套使叶子事件直接相加会达到 KSPSolve 的 116–372%，而 halo 交换与全局归约位于互不相交的调用路径，二者之和才是合法指标；该指标零插桩、覆盖全部 264 个 weak-scaling run，在 32 节点上从 flat MPI 的 48.2% 降到 16×8 的 26.4%。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可信度门禁：</w:t>
      </w:r>
      <w:r>
        <w:rPr>
          <w:rFonts w:ascii="Tahoma" w:hAnsi="Tahoma" w:cs="Tahoma"/>
          <w:sz w:val="19"/>
          <w:szCs w:val="19"/>
        </w:rPr>
        <w:t xml:space="preserve">审计出 303 份日志中有 302 份的实际 MPI process 数与文件名不符，据此废弃整阶段性能曲线，正式结论只用 408 个通过内容审计的 run——并把「从日志内容而非文件名解析 process / thread 数」写成分析入口硬校验。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SQLite · FastAPI · Pydantic · OpenAI SDK（function calling）· pytest  </w:t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SQLite，性能分析任务封装为确定性工具：让 LLM 只负责「选哪个工具、参数是什么」，数值一律由确定性代码算，从而让 Agent 的正确性变成可评测量。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可评测的路由：</w:t>
      </w:r>
      <w:r>
        <w:rPr>
          <w:rFonts w:ascii="Tahoma" w:hAnsi="Tahoma" w:cs="Tahoma"/>
          <w:sz w:val="19"/>
          <w:szCs w:val="19"/>
        </w:rPr>
        <w:t xml:space="preserve">中文规则 router 作为可验证 baseline，与 LLM function calling router 输出严格同构（intent + 参数），共用同一套自建 30 问五类中文评测集打分——规则 83.3%、LLM 100%；消融显示同一模型去掉 system prompt 只有 63.3%，即准确率主要由工具说明书与策略 prompt 决定，而非模型本身。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防御式解析与工程化：</w:t>
      </w:r>
      <w:r>
        <w:rPr>
          <w:rFonts w:ascii="Tahoma" w:hAnsi="Tahoma" w:cs="Tahoma"/>
          <w:sz w:val="19"/>
          <w:szCs w:val="19"/>
        </w:rPr>
        <w:t xml:space="preserve">未调用工具、幻觉工具名、arguments 非合法 JSON 三类异常统一收敛为显式 unknown，绝不猜参数以避免「静默算错」；trace_id 贯穿的 JSON Lines 事件流可完整回放一次执行，FastAPI 的 POST /ask 把非法 router 拦为 422、缺 key 映射 503；229 项自动化测试全量离线可跑、不需要 API key。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PyTorch · PyMARL · MAPPO · VDN · QMIX · CTDE · PPO · PettingZoo / MPE2  </w:t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做单变量对照——三个变体共用同一套 runner / buffer / shared RNN actor 与全部 PPO 超参，差异只在 critic 分支。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反直觉结论与根因诊断：</w:t>
      </w:r>
      <w:r>
        <w:rPr>
          <w:rFonts w:ascii="Tahoma" w:hAnsi="Tahoma" w:cs="Tahoma"/>
          <w:sz w:val="19"/>
          <w:szCs w:val="19"/>
        </w:rPr>
        <w:t xml:space="preserve">表达能力更强的 critic 没有赢——稀疏奖励的 Predator-Prey（300k steps）上最简单的加性分解唯一学到正回报（≈150），单体 critic 始终为负，QMIX 的 critic loss 起手即 5.4×10⁴、200k 步后二次发散。根因是 MAPPO-QMIX 的 TD 目标沿用 value-based 的 max_a Qᵢ（贪婪动作）而 actor 是 on-policy，相减得到的 td_error 并非合法 advantage 而是系统性偏乐观的量；非单调 mixer 的持续梯度爆炸作为负结果如实写进论文。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