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8">
        <w:r>
          <w:rPr>
            <w:rFonts w:ascii="Tahoma" w:hAnsi="Tahoma" w:cs="Tahoma"/>
            <w:sz w:val="19"/>
            <w:szCs w:val="19"/>
          </w:rPr>
          <w:t xml:space="preserve">github.com/leyancode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  <w:r>
        <w:rPr>
          <w:rFonts w:ascii="Tahoma" w:hAnsi="Tahoma" w:cs="Tahoma"/>
          <w:sz w:val="19"/>
          <w:szCs w:val="19"/>
        </w:rPr>
        <w:t xml:space="preserve">  课程与毕业论文 2026.08 完成｜可入职时间 2026.09.01｜学位证书 2026.12 获得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作业调度与集群：</w:t>
      </w:r>
      <w:r>
        <w:rPr>
          <w:rFonts w:ascii="Tahoma" w:hAnsi="Tahoma" w:cs="Tahoma"/>
          <w:sz w:val="19"/>
          <w:szCs w:val="19"/>
        </w:rPr>
        <w:t xml:space="preserve">Slurm 作业提交、资源申请与满节点 placement 策略（--distribution、--hint=nomultithread、--exact）；用 lscpu / numactl / hwloc 核对节点内 NUMA 与 CCX 边界并验证线程绑定实际生效；有把整批实验参数化成提交脚本、并用 fake Slurm 在 CI 里跑通提交路径的经验。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服务化与可观测性：</w:t>
      </w:r>
      <w:r>
        <w:rPr>
          <w:rFonts w:ascii="Tahoma" w:hAnsi="Tahoma" w:cs="Tahoma"/>
          <w:sz w:val="19"/>
          <w:szCs w:val="19"/>
        </w:rPr>
        <w:t xml:space="preserve">FastAPI + Pydantic 的接口层与异常到 HTTP 语义的映射（依赖未就绪 503、参数非法 422）；trace_id 贯穿的 JSON Lines 结构化事件流与可回放执行链路；脱敏收敛在单一出口点并由扫描测试强制。了解 REST / HTTP、限流、幂等性；SQLite / MySQL 的索引与查询优化，了解 Redis 缓存场景与 TTL。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上 4,096 核规模的可审计 benchmark 实验管线（408 runs）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