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编程与工程：</w:t>
      </w:r>
      <w:r>
        <w:rPr>
          <w:rFonts w:ascii="Tahoma" w:hAnsi="Tahoma" w:cs="Tahoma"/>
          <w:sz w:val="19"/>
          <w:szCs w:val="19"/>
        </w:rPr>
        <w:t xml:space="preserve">C/C++、Python、Bash、SQL；Linux、Git、pytest、GitHub Actions CI，了解 Docker。习惯把实验做成可复现管线：参数化提交脚本 → 基于内容的日志审计 → pandas 聚合 → 图表与回归测试。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作业调度与集群：</w:t>
      </w:r>
      <w:r>
        <w:rPr>
          <w:rFonts w:ascii="Tahoma" w:hAnsi="Tahoma" w:cs="Tahoma"/>
          <w:sz w:val="19"/>
          <w:szCs w:val="19"/>
        </w:rPr>
        <w:t xml:space="preserve">Slurm 作业提交、资源申请与满节点 placement 策略（--distribution、--hint=nomultithread、--exact）；用 lscpu / numactl / hwloc 核对节点内 NUMA 与 CCX 边界并验证线程绑定实际生效；有把整批实验参数化成提交脚本、并用 fake Slurm 在 CI 里跑通提交路径的经验。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服务化与可观测性：</w:t>
      </w:r>
      <w:r>
        <w:rPr>
          <w:rFonts w:ascii="Tahoma" w:hAnsi="Tahoma" w:cs="Tahoma"/>
          <w:sz w:val="19"/>
          <w:szCs w:val="19"/>
        </w:rPr>
        <w:t xml:space="preserve">FastAPI + Pydantic 的接口层与异常到 HTTP 语义的映射（依赖未就绪 503、参数非法 422）；trace_id 贯穿的 JSON Lines 结构化事件流与可回放执行链路；脱敏收敛在单一出口点并由扫描测试强制。了解 REST / HTTP、限流、幂等性；SQLite / MySQL 的索引与查询优化，了解 Redis 缓存场景与 TTL。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MPI+OpenMP、PETSc、Slurm；在英国国家超算 ARCHER2 上完成最多 32 节点 / 4,096 核的正式对照实验。理解 strong / weak scaling、parallel efficiency 与饱和点判定，以及 halo exchange、CG global reduction（allreduce）等集合通信开销与 surface-to-volume ratio 对通信暴露的影响。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性能剖析与体系结构：</w:t>
      </w:r>
      <w:r>
        <w:rPr>
          <w:rFonts w:ascii="Tahoma" w:hAnsi="Tahoma" w:cs="Tahoma"/>
          <w:sz w:val="19"/>
          <w:szCs w:val="19"/>
        </w:rPr>
        <w:t xml:space="preserve">Linaro MAP call-tree profiling；可从 NUMA / CCX / 共享 L3、memory bandwidth、线程绑定（OMP_PLACES、OMP_PROC_BIND）与负载均衡角度解释瓶颈，并把开销拆成计算、通信、同步等待三类分别归因。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数据分析与可视化：</w:t>
      </w:r>
      <w:r>
        <w:rPr>
          <w:rFonts w:ascii="Tahoma" w:hAnsi="Tahoma" w:cs="Tahoma"/>
          <w:sz w:val="19"/>
          <w:szCs w:val="19"/>
        </w:rPr>
        <w:t xml:space="preserve">pandas、NumPy、Matplotlib；实验日志解析、指标计算、中位数与观测区间的误差表达，以及把关键数值锁进测试以防图表与结论漂移。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项目经历：ARCHER2 超算上 4,096 核规模的可审计 benchmark 实验管线（408 runs）</w:t>
      </w:r>
      <w:hyperlink r:id="rId93">
        <w:r>
          <w:rPr>
            <w:rFonts w:ascii="Tahoma" w:hAnsi="Tahoma" w:cs="Tahoma"/>
            <w:sz w:val="20"/>
            <w:szCs w:val="20"/>
          </w:rPr>
          <w:t xml:space="preserve">  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ARCHER2（HPE Cray EX，双路 AMD EPYC 7742、128 核/节点，Slingshot 互连）上研究一个受约束的配置问题：总核数固定时，减少 MPI rank 数、增大每 rank 的 OpenMP 线程数，能否用省下的通信与进程开销抵消线程组创建、barrier 与空转成本。负载为 2D five-point / 3D seven-point stencil + CG+GAMG，规模 5M–165M unknowns，比较四种满节点布局（128×1 / 64×2 / 32×4 / 16×8）。正式结论只使用 408 个通过内容审计的 run（264 weak-scaling + 144 fixed-size strong-scaling）。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C、PETSc、MPI、OpenMP、Slurm、Bash、Python、pandas、Matplotlib、Linaro MAP、GitHub Actions、Linux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实验设计：</w:t>
      </w:r>
      <w:r>
        <w:rPr>
          <w:rFonts w:ascii="Tahoma" w:hAnsi="Tahoma" w:cs="Tahoma"/>
          <w:sz w:val="19"/>
          <w:szCs w:val="19"/>
        </w:rPr>
        <w:t xml:space="preserve">2D/3D 按 unknown 数对齐而非按网格边长，使同一线性系统规模下可比较两种 stencil 的通信暴露；weak scaling 以 25,000 ≤ unknowns/core ≤ 100,000 的准入规则组织出 ~40k（6 点）与 ~80k（5 点）两条固定本地工作量的链，fixed-20M 则有意越过该窗口降到 ~4.9k unknowns/core 以观察布局何时饱和。计时只读 PETSc RepeatedSolves stage（1 次 warm-up 建 GAMG 层次、19 次复用 preconditioner），不把 setup 与稳态求解混为一谈；每个正式配置 3 次重复，取中位数、误差线为观测 min–max。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主动作废不可信结果：</w:t>
      </w:r>
      <w:r>
        <w:rPr>
          <w:rFonts w:ascii="Tahoma" w:hAnsi="Tahoma" w:cs="Tahoma"/>
          <w:sz w:val="19"/>
          <w:szCs w:val="19"/>
        </w:rPr>
        <w:t xml:space="preserve">审计发现 launcher 时代的日志有 302 / 303 份的实际 MPI process 数与文件名不符（一份文件名请求 2048 ranks，PETSc header 只报 32），据此废弃该阶段全部性能曲线，并把「从日志内容而非文件名解析 process / thread 数」写成分析入口的硬校验；另发现 default GMRES + block Jacobi/ICC 会随 rank 数改变 preconditioner、一次 --ksp_rtol override 被 PETSc 静默忽略，因此禁止用该批数据做跨 rank 布局排名。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可审计聚合管线：</w:t>
      </w:r>
      <w:r>
        <w:rPr>
          <w:rFonts w:ascii="Tahoma" w:hAnsi="Tahoma" w:cs="Tahoma"/>
          <w:sz w:val="19"/>
          <w:szCs w:val="19"/>
        </w:rPr>
        <w:t xml:space="preserve">每份日志须通过 PETSc 自报 architecture、实际 ranks × threads、20 次 solve 全部收敛、timed stage 恰好 19 个 KSPSolve 且无 PCSetUp、链接库与 solver signature 共六项检查才进入聚合；未通过的标为 superseded，只解释方法如何改进，永不混进中位数。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工程化与可发布性：</w:t>
      </w:r>
      <w:r>
        <w:rPr>
          <w:rFonts w:ascii="Tahoma" w:hAnsi="Tahoma" w:cs="Tahoma"/>
          <w:sz w:val="19"/>
          <w:szCs w:val="19"/>
        </w:rPr>
        <w:t xml:space="preserve">Slurm 提交脚本参数化生成全部正式配置，分析侧 16 个 Python 脚本配 pytest 断言公开矩阵行数、头条数值、README 图片与跨维度换算，GitHub Actions 跑公开数据测试并用 fake Slurm 执行提交脚本；对外发布的 5 份代表日志经脚本脱敏（去用户、allocation、node name、job ID 与个人路径），并附私有原件与公开副本的 SHA-256 manifest。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Profiling 定位机理：</w:t>
      </w:r>
      <w:r>
        <w:rPr>
          <w:rFonts w:ascii="Tahoma" w:hAnsi="Tahoma" w:cs="Tahoma"/>
          <w:sz w:val="19"/>
          <w:szCs w:val="19"/>
        </w:rPr>
        <w:t xml:space="preserve">Linaro MAP call tree 显示 threads/rank 上升时，solve window 内 MPI 占比从 46.7%（64×2）降到 6.2%（16×8），而 OpenMP runtime 等待从 48.3% 升到 76.5%——布局排序即「通信暴露」与「线程空转」两条曲线的交点；同时排除 threaded BLAS 的解释（LibSci 最多只占 solve-window core-time 的 2.1%）。因 MAP 插桩会不均匀扰动运行时间，只读布局之间的占比排序，绝不与未插桩的 scaling timing 混用。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hyperlink r:id="rId94">
        <w:r>
          <w:rPr>
            <w:rFonts w:ascii="Tahoma" w:hAnsi="Tahoma" w:cs="Tahoma"/>
            <w:sz w:val="20"/>
            <w:szCs w:val="20"/>
          </w:rPr>
          <w:t xml:space="preserve">  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SQLite，将性能分析任务封装为确定性工具，以中文规则 router 作为可验证 baseline，再接入 LLM function calling router，用自建 30 问五类中文评测集给两者打同一份分——规则 83.3%、LLM 100%。命题是：让 LLM 只负责「选哪个工具、参数是什么」，数值一律由确定性代码算，从而让 Agent 的正确性变成可评测量。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技术栈：</w:t>
      </w:r>
      <w:r>
        <w:rPr>
          <w:rFonts w:ascii="Tahoma" w:hAnsi="Tahoma" w:cs="Tahoma"/>
          <w:sz w:val="19"/>
          <w:szCs w:val="19"/>
        </w:rPr>
        <w:t xml:space="preserve">Python、SQLite、pytest、FastAPI、OpenAI SDK（function calling）、Pydantic、Git、Linux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规则已知会错的对抗题），期望值是 tool call 而非答案文本，harness 对 router 实现无知；消融显示同一模型去掉 system prompt 只有 63.3%——准确率主要由工具说明书与策略 prompt 决定，而非模型本身。报告如实标注局限：题量 30、单模型、单次运行、出题人即作者。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hyperlink r:id="rId95">
        <w:r>
          <w:rPr>
            <w:rFonts w:ascii="Tahoma" w:hAnsi="Tahoma" w:cs="Tahoma"/>
            <w:sz w:val="20"/>
            <w:szCs w:val="20"/>
          </w:rPr>
          <w:t xml:space="preserve">  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做单变量对照：三个变体共用同一套 runner / buffer / shared RNN actor 与全部 PPO 超参，差异只在 critic 分支。结论与直觉相反——表达能力更强的 critic 没有赢：稀疏奖励的 Predator-Prey（300k steps）上，最简单的加性分解唯一学到正回报（≈150），单体 critic 始终为负（−300 → −30），单调 mixing 的 critic loss 起手即 5.4×10⁴、200k 步后二次发散。技术栈：Python、PyTorch、PyMARL、MAPPO、VDN、QMIX、CTDE、PPO、PettingZoo / MPE2。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训练不收敛的根因诊断：</w:t>
      </w:r>
      <w:r>
        <w:rPr>
          <w:rFonts w:ascii="Tahoma" w:hAnsi="Tahoma" w:cs="Tahoma"/>
          <w:sz w:val="19"/>
          <w:szCs w:val="19"/>
        </w:rPr>
        <w:t xml:space="preserve">MAPPO-QMIX 的 TD 目标沿用 value-based QMIX 的 max_a Qᵢ（贪婪动作），而 actor 是 on-policy，相减得到的 td_error 并非合法 advantage 而是系统性偏乐观的量，可解释「回报冲过理论最优值后崩塌」；另定位 hypernet 经 softplus 生成的 mixing 权重（softplus(0) ≈ 0.69）对局部 Q 的梯度做乘性放大，是 critic loss 起手即 5×10⁴ 的直接原因。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负结果与工程化：</w:t>
      </w:r>
      <w:r>
        <w:rPr>
          <w:rFonts w:ascii="Tahoma" w:hAnsi="Tahoma" w:cs="Tahoma"/>
          <w:sz w:val="19"/>
          <w:szCs w:val="19"/>
        </w:rPr>
        <w:t xml:space="preserve">去掉单调约束的 non-monotonic mixer 持续梯度爆炸、未在预算内收敛，如实写进论文；并指出三个 learner 实际都只产出一个共享标量 advantage，收益来自表示与梯度路径而非真正的 per-agent credit assignment。2026 年整理为可复现仓库：修正 Predator-Prey 合作边界、用 uv.lock 锁 CPU 版 PyTorch 使实验无需 GPU、补 pytest 并接入 GitHub Actions CI。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