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后端与服务化：</w:t>
      </w:r>
      <w:r>
        <w:rPr>
          <w:rFonts w:ascii="Tahoma" w:hAnsi="Tahoma" w:cs="Tahoma"/>
          <w:sz w:val="19"/>
          <w:szCs w:val="19"/>
        </w:rPr>
        <w:t xml:space="preserve"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CI；习惯把工作做成可复现管线：参数化脚本 → 基于内容的输入校验 → 聚合与回归测试，把关键数值锁进测试以防结论漂移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PyTorch、NumPy、pandas、Matplotlib；实现过多智能体 actor-critic 训练流程并诊断过训练不收敛的根因；LLM function calling / tool schema 设计、离线评测集构建与消融实验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 ARCHER2 超算上 PETSc benchmark 数据的 Agent 式性能分析系统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 </w:t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把英国国家超算 ARCHER2 上真实的 PETSc benchmark 结果结构化为 SQLite，把性能分析任务封装为确定性工具：让 LLM 只负责「选哪个工具、参数是什么」，数值一律由确定性代码算，从而让 Agent 的正确性变成可评测量。中文规则 router 作为可验证 baseline，与 LLM function calling router 共用同一套自建 30 问中文评测集打分——规则 83.3%、LLM 100%。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数据导入 / 指标 / 工具 / 检索 / 路由 / 可观测六层，加 CLI 与 FastAPI 两个平级且互不依赖的进程边界；规则 router 与 LLM tool call 输出严格同构（intent + 参数），因此可共用同一套评测集、切换只需改一行 dispatch。各层合同由 229 项自动化测试钉死，全量离线可跑、不需要 API key（LLM 部分走 FakeLLM 依赖注入）。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工程化外围：</w:t>
      </w:r>
      <w:r>
        <w:rPr>
          <w:rFonts w:ascii="Tahoma" w:hAnsi="Tahoma" w:cs="Tahoma"/>
          <w:sz w:val="19"/>
          <w:szCs w:val="19"/>
        </w:rPr>
        <w:t xml:space="preserve">trace_id 贯穿的 JSON Lines 事件流可完整回放一次执行，脱敏收敛在单一出口点并由扫描测试强制；FastAPI 暴露 POST /ask，非法 router 由 Pydantic 拦为 422、缺 key 映射 503 而非 500，与 CLI 的退出码 2 各自独立；最小 RAG 用 IDF 加权词法检索（纯标准库、刻意不用向量库），检索不到即返回空、不注入，未开启时 messages 与评测时逐字节一致并由测试锁死，以保结论可比。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calling、防御式解析与评测：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刻意可选——省略参数即「追问」、不调用工具即「拒答」；未调用工具、幻觉工具名、坏 JSON 三类异常统一收敛为显式 unknown，绝不猜参数以避免「静默算错」。自建 30 问五类中文评测集（期望值是 tool call 而非答案文本）给两个 router 打同一份分，消融显示同一模型去掉 system prompt 只有 63.3%——准确率主要由工具说明书与策略 prompt 决定。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核规模的可审计 benchmark 实验管线（408 runs）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  </w:t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线程数之间切分——这两个值在真实作业里几乎都由提交脚本的默认值决定，很少有人量过默认值的代价。负载为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研究口径与自建指标：</w:t>
      </w:r>
      <w:r>
        <w:rPr>
          <w:rFonts w:ascii="Tahoma" w:hAnsi="Tahoma" w:cs="Tahoma"/>
          <w:sz w:val="19"/>
          <w:szCs w:val="19"/>
        </w:rPr>
        <w:t xml:space="preserve">规模推到 32 节点 / 4,096 核才看得到饱和点。测量用两个后端：Linaro MAP 会扰动运行时间，只用于读布局间的占比排序；PETSc -log_view 零插桩、覆盖全部 264 个 weak-scaling run，在它上面自建了可累加的「同步暴露占比」——事件嵌套使叶子事件直接相加会达到 KSPSolve 的 116–372%，而 halo 交换与全局归约位于互不相交的调用路径，二者之和才是合法指标。该占比在 32 节点上从 flat MPI 的 48.2% 降到 16×8 的 26.4%，使「布局为什么更快」成为可逐点度量的量，而不是事后解释。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  </w:t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