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数值方法与求解器：</w:t>
      </w:r>
      <w:r>
        <w:rPr>
          <w:rFonts w:ascii="Tahoma" w:hAnsi="Tahoma" w:cs="Tahoma"/>
          <w:sz w:val="19"/>
          <w:szCs w:val="19"/>
        </w:rPr>
        <w:t xml:space="preserve">PETSc KSP / PC 栈：CG + GAMG 代数多重网格、GMRES + block Jacobi/ICC，理解 preconditioner 随分区变化对可比性的破坏；2D five-point / 3D seven-point stencil 离散与已知解误差校验；理解迭代数、每迭代成本与总吞吐三者需要分开看。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PETSc hybrid MPI+OpenMP 布局的可审计性能实验（32 节点 / 4,096 核）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局限如实标注：</w:t>
      </w:r>
      <w:r>
        <w:rPr>
          <w:rFonts w:ascii="Tahoma" w:hAnsi="Tahoma" w:cs="Tahoma"/>
          <w:sz w:val="19"/>
          <w:szCs w:val="19"/>
        </w:rPr>
        <w:t xml:space="preserve">3 次重复的误差线是观测 min–max 而非置信区间；结论绑定给定 stencil / solver / PETSc build / placement policy，不代表所有 PETSc 应用都有相同最佳布局；样本中可重复观察到的 superlinear speedup 未能确定硬件原因，写为未解释项而非卖点。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