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MPI+OpenMP、PETSc、Slurm；在英国国家超算 ARCHER2 上完成最多 32 节点 / 4,096 核的正式对照实验。理解 strong / weak scaling、parallel efficiency 与饱和点判定，以及 halo exchange、CG global reduction（allreduce）等集合通信开销与 surface-to-volume ratio 对通信暴露的影响。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profiling；可从 NUMA / CCX / 共享 L3、memory bandwidth、线程绑定（OMP_PLACES、OMP_PROC_BIND）与负载均衡角度解释瓶颈，并把开销拆成计算、通信、同步等待三类分别归因。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深度学习与推理基础设施：</w:t>
      </w:r>
      <w:r>
        <w:rPr>
          <w:rFonts w:ascii="Tahoma" w:hAnsi="Tahoma" w:cs="Tahoma"/>
          <w:sz w:val="19"/>
          <w:szCs w:val="19"/>
        </w:rPr>
        <w:t xml:space="preserve">熟悉 PyTorch，实现过多智能体 actor-critic 训练流程并诊断过训练不收敛的根因；熟悉 LLM function calling / tool schema 设计与离线评测方法；了解 GPU 上的分布式并行策略（数据并行、张量并行）与 NCCL 集合通信模式，以及推理服务的吞吐 / 时延 / batching 取舍。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编程与工程：</w:t>
      </w:r>
      <w:r>
        <w:rPr>
          <w:rFonts w:ascii="Tahoma" w:hAnsi="Tahoma" w:cs="Tahoma"/>
          <w:sz w:val="19"/>
          <w:szCs w:val="19"/>
        </w:rPr>
        <w:t xml:space="preserve">C/C++、Python、Bash、SQL；Linux、Git、pytest、GitHub Actions CI，了解 Docker。习惯把实验做成可复现管线：参数化提交脚本 → 基于内容的日志审计 → pandas 聚合 → 图表与回归测试。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数据分析与可视化：</w:t>
      </w:r>
      <w:r>
        <w:rPr>
          <w:rFonts w:ascii="Tahoma" w:hAnsi="Tahoma" w:cs="Tahoma"/>
          <w:sz w:val="19"/>
          <w:szCs w:val="19"/>
        </w:rPr>
        <w:t xml:space="preserve">pandas、NumPy、Matplotlib；实验日志解析、指标计算、中位数与观测区间的误差表达，以及把关键数值锁进测试以防图表与结论漂移。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项目经历：ARCHER2 超算上 4,096 核规模的 hybrid MPI+OpenMP 布局对照实验——通信暴露与线程空转的权衡</w:t>
      </w:r>
      <w:hyperlink r:id="rId93">
        <w:r>
          <w:rPr>
            <w:rFonts w:ascii="Tahoma" w:hAnsi="Tahoma" w:cs="Tahoma"/>
            <w:sz w:val="20"/>
            <w:szCs w:val="20"/>
          </w:rPr>
          <w:t xml:space="preserve">  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 five-point / 3D seven-point stencil + CG+GAMG，规模 5M–165M unknowns，比较四种满节点布局（128×1 / 64×2 / 32×4 / 16×8）。正式结论只使用 408 个通过内容审计的 run（264 weak-scaling + 144 fixed-size strong-scaling）。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C、PETSc、MPI、OpenMP、Slurm、Bash、Python、pandas、Matplotlib、Linaro MAP、GitHub Actions、Linux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Weak-scaling 结论：</w:t>
      </w:r>
      <w:r>
        <w:rPr>
          <w:rFonts w:ascii="Tahoma" w:hAnsi="Tahoma" w:cs="Tahoma"/>
          <w:sz w:val="19"/>
          <w:szCs w:val="19"/>
        </w:rPr>
        <w:t xml:space="preserve">2D 上 64×2 在 11 个 size/node 点中赢 8 个，165M / 32 节点达 794.8M equations/s，比 flat-MPI 128×1 高 13.1%；3D 上 32×4 赢 6 个，最大吞吐增益 33.2%（41M / 4 节点，对应 24.9% 时间节省）。结论是最佳布局随维度与规模改变，不存在单一「最优线程数」；由于 GAMG 迭代数会随分区小幅变化，同时比较吞吐量与 seconds per KSP iteration。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Strong-scaling 结论：</w:t>
      </w:r>
      <w:r>
        <w:rPr>
          <w:rFonts w:ascii="Tahoma" w:hAnsi="Tahoma" w:cs="Tahoma"/>
          <w:sz w:val="19"/>
          <w:szCs w:val="19"/>
        </w:rPr>
        <w:t xml:space="preserve">固定 20M、1→32 节点：2D 最快为 64×2，0.0277 s/solve、29.83× 加速、93.2% 累积效率；3D 最快为 16×8，0.0681 s/solve、14.24× 加速、比 flat MPI 快 3.81×。各布局饱和点不同（128×1 在 8 节点后变慢，64×2 与 32×4 在 16 节点后变慢，16×8 到 32 节点仍在下降）——即每核工作量下降到一定程度后，更粗的进程粒度才开始有回报；这与固定 batch 继续扩机器时的收益递减是同一类问题。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定位机理：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46.7%（64×2）降到 6.2%（16×8），而 OpenMP runtime 等待从 48.3% 升到 76.5%——布局排序即「通信暴露」与「线程空转」两条曲线的交点；同时排除 threaded BLAS 的解释（LibSci 最多只占 solve-window core-time 的 2.1%）。因 MAP 插桩会不均匀扰动运行时间，只读布局之间的占比排序，绝不与未插桩的 scaling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时代的日志有 302 / 303 份的实际 MPI process 数与文件名不符（一份文件名请求 2048 ranks，PETSc header 只报 32），据此废弃该阶段全部性能曲线，并把「从日志内容而非文件名解析 process / thread 数」写成分析入口的硬校验；另发现 default GMRES + block Jacobi/ICC 会随 rank 数改变 preconditioner、一次 --ksp_rtol override 被 PETSc 静默忽略，因此禁止用该批数据做跨 rank 布局排名。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可审计聚合管线：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PCSetUp、链接库与 solver signature 共六项检查才进入聚合；未通过的标为 superseded，只解释方法如何改进，永不混进中位数。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工程化与可发布性：</w:t>
      </w:r>
      <w:r>
        <w:rPr>
          <w:rFonts w:ascii="Tahoma" w:hAnsi="Tahoma" w:cs="Tahoma"/>
          <w:sz w:val="19"/>
          <w:szCs w:val="19"/>
        </w:rPr>
        <w:t xml:space="preserve">Slurm 提交脚本参数化生成全部正式配置，分析侧 16 个 Python 脚本配 pytest 断言公开矩阵行数、头条数值、README 图片与跨维度换算，GitHub Actions 跑公开数据测试并用 fake Slurm 执行提交脚本；对外发布的 5 份代表日志经脚本脱敏（去用户、allocation、node name、job ID 与个人路径），并附私有原件与公开副本的 SHA-256 manifest。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hyperlink r:id="rId94">
        <w:r>
          <w:rPr>
            <w:rFonts w:ascii="Tahoma" w:hAnsi="Tahoma" w:cs="Tahoma"/>
            <w:sz w:val="20"/>
            <w:szCs w:val="20"/>
          </w:rPr>
          <w:t xml:space="preserve">  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Python、SQLite、pytest、FastAPI、OpenAI SDK（function calling）、Pydantic、Git、Linux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calling、防御式解析与评测：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刻意可选——省略参数即「追问」、不调用工具即「拒答」；未调用工具、幻觉工具名、坏 JSON 三类异常统一收敛为显式 unknown，绝不猜参数以避免「静默算错」。自建 30 问五类中文评测集（期望值是 tool call 而非答案文本）给两个 router 打同一份分，消融显示同一模型去掉 system prompt 只有 63.3%——准确率主要由工具说明书与策略 prompt 决定。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  <w:hyperlink r:id="rId95">
        <w:r>
          <w:rPr>
            <w:rFonts w:ascii="Tahoma" w:hAnsi="Tahoma" w:cs="Tahoma"/>
            <w:sz w:val="20"/>
            <w:szCs w:val="20"/>
          </w:rPr>
          <w:t xml:space="preserve">  lionleepower/MARL_VALUE_FACTORISATION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步后二次发散。技术栈：Python、PyTorch、PyMARL、MAPPO、VDN、QMIX、CTDE、PPO、PettingZoo / MPE2。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