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7">
        <w:r>
          <w:rPr>
            <w:rFonts w:ascii="Tahoma" w:hAnsi="Tahoma" w:cs="Tahoma"/>
            <w:sz w:val="19"/>
            <w:szCs w:val="19"/>
          </w:rPr>
          <w:t xml:space="preserve">3073751449@qq.com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</w:t>
      </w:r>
      <w:hyperlink r:id="rId92">
        <w:r>
          <w:rPr>
            <w:rFonts w:ascii="Tahoma" w:hAnsi="Tahoma" w:cs="Tahoma"/>
            <w:sz w:val="19"/>
            <w:szCs w:val="19"/>
          </w:rPr>
          <w:t xml:space="preserve">github.com/lionleepower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【预览件：假设「审计后 408 个 run 已导入 Agent 的 SQLite」完成后的版本——未实现，不投递】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2026.12（预计）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/ 西交利物浦大学 | 2021.09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（2+2），一等荣誉学位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PyTorch、NumPy、pandas；多智能体 actor-critic 训练与不收敛根因诊断；LLM function calling / tool schema 设计、离线评测集与消融实验、最小 RAG；了解上下文压缩、并行处理与 LangChain / LangGraph 等框架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后端与服务化：</w:t>
      </w:r>
      <w:r>
        <w:rPr>
          <w:rFonts w:ascii="Tahoma" w:hAnsi="Tahoma" w:cs="Tahoma"/>
          <w:sz w:val="19"/>
          <w:szCs w:val="19"/>
        </w:rPr>
        <w:t xml:space="preserve">FastAPI + Pydantic、SQLite / MySQL（索引、事务与查询优化）、REST / HTTP、JSON Lines 结构化日志；异常到 HTTP 语义的映射（依赖未就绪 503、参数非法 422）；了解限流、幂等性、Redis 缓存场景与 TTL、Docker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CI；习惯把工作做成可复现管线：参数化脚本 → 基于内容的输入校验 → 聚合与回归测试，把关键数值锁进测试以防结论漂移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并行与分布式：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 / lscpu；strong / weak scaling、parallel efficiency 与饱和点判定；halo exchange、CG global reduction（allreduce）等集合通信开销与 surface-to-volume ratio 对通信暴露的影响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 ARCHER2 超算上 PETSc benchmark 数据的 Agent 式性能分析系统</w:t>
      </w:r>
      <w:r>
        <w:rPr>
          <w:rFonts w:ascii="Tahoma" w:hAnsi="Tahoma" w:cs="Tahoma"/>
          <w:sz w:val="20"/>
          <w:szCs w:val="20"/>
        </w:rPr>
        <w:tab/>
      </w:r>
      <w:hyperlink r:id="rId94">
        <w:r>
          <w:rPr>
            <w:rFonts w:ascii="Tahoma" w:hAnsi="Tahoma" w:cs="Tahoma"/>
            <w:sz w:val="20"/>
            <w:szCs w:val="20"/>
          </w:rPr>
          <w:t xml:space="preserve">lionleepower/HPC_Agent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SQLite · FastAPI · Pydantic · OpenAI SDK（function calling）· pytest · RAG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把下一项目审计后的 408 个 ARCHER2 run（264 weak + 144 strong scaling）经内容校验导入 SQLite，把性能分析任务封装为确定性工具：让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分层架构与同构契约：</w:t>
      </w:r>
      <w:r>
        <w:rPr>
          <w:rFonts w:ascii="Tahoma" w:hAnsi="Tahoma" w:cs="Tahoma"/>
          <w:sz w:val="19"/>
          <w:szCs w:val="19"/>
        </w:rPr>
        <w:t xml:space="preserve">为了让规则 router 与 LLM tool call 能同尺比较，两者输出严格同构（intent + 参数）；导入 / 指标 / 工具 / 检索 / 路由 / 可观测六层，CLI 与 FastAPI 为互不依赖的进程边界；共用同一套评测集打分，切换只改一行 dispatch。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数据管线与跨仓库一致性：</w:t>
      </w:r>
      <w:r>
        <w:rPr>
          <w:rFonts w:ascii="Tahoma" w:hAnsi="Tahoma" w:cs="Tahoma"/>
          <w:sz w:val="19"/>
          <w:szCs w:val="19"/>
        </w:rPr>
        <w:t xml:space="preserve">Agent 与 benchmark 是两个仓库，回答与论文里的数字可能各说各话；因此 benchmark 仓库导出审计后 CSV → 按内容校验的导入器 → SQLite，CI 用 pytest 断言 Agent 对「32 节点 2D 最快布局」等题的回答与 benchmark README 头条数（64×2、794.8M equations/s、+13.1%）逐字一致，两个仓库的口径由测试锁死，演示时可直接查真实结果。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LLM function calling 与防御式解析：</w:t>
      </w:r>
      <w:r>
        <w:rPr>
          <w:rFonts w:ascii="Tahoma" w:hAnsi="Tahoma" w:cs="Tahoma"/>
          <w:sz w:val="19"/>
          <w:szCs w:val="19"/>
        </w:rPr>
        <w:t xml:space="preserve">tool schema 的 description 写明工具边界，unknowns 刻意设为可选——省略参数即「追问」、不调用工具即「拒答」；未调用工具、幻觉工具名、arguments 非合法 JSON 三类异常统一收敛为显式 unknown，绝不猜参数，以避免「静默算错」；API 失败向上抛出而非回退规则 router，以免污染评测。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评测机制与消融结论：</w:t>
      </w:r>
      <w:r>
        <w:rPr>
          <w:rFonts w:ascii="Tahoma" w:hAnsi="Tahoma" w:cs="Tahoma"/>
          <w:sz w:val="19"/>
          <w:szCs w:val="19"/>
        </w:rPr>
        <w:t xml:space="preserve">自建 30 问五类中文评测集（正常 / 追问 / 拒答 / 数字陷阱 / 对抗题），期望值是 tool call 而非答案文本，harness 对 router 实现无知；规则 83.3%、LLM 100%，消融显示同一模型去掉 system prompt 只有 63.3%——准确率主要由工具说明书与策略 prompt 决定。局限如实标注：题量 30、单模型、单次运行、出题人即作者。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可观测性：</w:t>
      </w:r>
      <w:r>
        <w:rPr>
          <w:rFonts w:ascii="Tahoma" w:hAnsi="Tahoma" w:cs="Tahoma"/>
          <w:sz w:val="19"/>
          <w:szCs w:val="19"/>
        </w:rPr>
        <w:t xml:space="preserve">为了让路由出错时能定位到具体哪一步，trace_id 贯穿的 JSON Lines 事件流把每次 ask 落成 ask_start / route_result / tool_call / tool_result / answer 5 个事件，可完整回放一次执行；脱敏收敛在单一出口点并由扫描测试强制。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自动化测试覆盖异常边界：</w:t>
      </w:r>
      <w:r>
        <w:rPr>
          <w:rFonts w:ascii="Tahoma" w:hAnsi="Tahoma" w:cs="Tahoma"/>
          <w:sz w:val="19"/>
          <w:szCs w:val="19"/>
        </w:rPr>
        <w:t xml:space="preserve">LLM 客户端经依赖注入换成 FakeLLM，229 项测试全量离线、不需要 API key，CI 每次 push 复跑；各层合同钉死——三类 LLM 异常各有用例，FastAPI 的 POST /ask 把非法 router 拦为 422、缺 key 映射 503。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超算上 4,096 核的 PETSc 布局对照实验——上一项目的数据来源</w:t>
      </w:r>
      <w:r>
        <w:rPr>
          <w:rFonts w:ascii="Tahoma" w:hAnsi="Tahoma" w:cs="Tahoma"/>
          <w:sz w:val="20"/>
          <w:szCs w:val="20"/>
        </w:rPr>
        <w:tab/>
      </w:r>
      <w:hyperlink r:id="rId93">
        <w:r>
          <w:rPr>
            <w:rFonts w:ascii="Tahoma" w:hAnsi="Tahoma" w:cs="Tahoma"/>
            <w:sz w:val="20"/>
            <w:szCs w:val="20"/>
          </w:rPr>
          <w:t xml:space="preserve">lionleepower/HPC_PETSC_Benchmark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｜C · PETSc · MPI · OpenMP · Slurm · Linaro MAP · Python / pandas · GitHub Actions（硕士毕业论文）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ARCHER2（AMD EPYC 7742、128 核/节点，Slingshot 互连）上研究一个受约束的配置问题：总核数固定时，MPI rank 数与每 rank 的 OpenMP 线程数怎么切分——真实作业里这两个值几乎都由提交脚本默认值决定，默认值的代价很少被量化。负载 2D/3D stencil + CG+GAMG，5M–165M unknowns，四种满节点布局 128×1 / 64×2 / 32×4 / 16×8。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自建可累加的同步指标：</w:t>
      </w:r>
      <w:r>
        <w:rPr>
          <w:rFonts w:ascii="Tahoma" w:hAnsi="Tahoma" w:cs="Tahoma"/>
          <w:sz w:val="19"/>
          <w:szCs w:val="19"/>
        </w:rPr>
        <w:t xml:space="preserve">-log_view 零插桩、覆盖 264 个 weak-scaling run，但事件嵌套使叶子事件直接相加达 KSPSolve 的 116–372%；由于 halo 交换与全局归约在互不相交的调用路径上，取二者之和定义「同步暴露占比」（MAP 扰动运行时间，只读占比排序）。32 节点上从 flat MPI 的 48.2% 降到 16×8 的 26.4%，使「为什么更快」可逐点度量而非事后解释。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性能结论（摘要）：</w:t>
      </w:r>
      <w:r>
        <w:rPr>
          <w:rFonts w:ascii="Tahoma" w:hAnsi="Tahoma" w:cs="Tahoma"/>
          <w:sz w:val="19"/>
          <w:szCs w:val="19"/>
        </w:rPr>
        <w:t xml:space="preserve">weak scaling 上 2D 最佳布局 64×2（165M / 32 节点 794.8M equations/s，比 flat MPI 高 13.1%）、3D 最佳 32×4（最大增益 33.2%）；fixed-20M strong scaling 上 2D 达 29.83× 加速 / 93.2% 累积效率，3D 的 16×8 比 flat MPI 快 3.81×。最佳布局随维度、规模与每核工作量改变，Linaro MAP 定位其机理为 MPI 通信暴露（46.7%→6.2%）与 OpenMP 空转等待（48.3%→76.5%）的交点。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对算力成本的含义：</w:t>
      </w:r>
      <w:r>
        <w:rPr>
          <w:rFonts w:ascii="Tahoma" w:hAnsi="Tahoma" w:cs="Tahoma"/>
          <w:sz w:val="19"/>
          <w:szCs w:val="19"/>
        </w:rPr>
        <w:t xml:space="preserve">只改提交脚本的两个默认值、不改代码不加节点：同一作业的节点时在 2D weak 最大点少用 11.6%、3D 最佳点少用 24.9%，3D fixed-20M 32 节点上降到 flat MPI 的 26%；交付的是「先量再定默认值」的方法而非固定配置。</w:t>
      </w:r>
    </w:p>
    <w:p>
      <w:pPr>
        <w:rPr>
          <w:sz w:val="12"/>
        </w:rPr>
      </w:pPr>
    </w:p>
    <w:p>
      <w:pPr>
        <w:jc w:val="left"/>
        <w:tabs>
          <w:tab w:val="right" w:pos="11338"/>
        </w:tabs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</w:t>
      </w:r>
      <w:r>
        <w:rPr>
          <w:rFonts w:ascii="Tahoma" w:hAnsi="Tahoma" w:cs="Tahoma"/>
          <w:sz w:val="20"/>
          <w:szCs w:val="20"/>
        </w:rPr>
        <w:tab/>
      </w:r>
      <w:hyperlink r:id="rId95">
        <w:r>
          <w:rPr>
            <w:rFonts w:ascii="Tahoma" w:hAnsi="Tahoma" w:cs="Tahoma"/>
            <w:sz w:val="20"/>
            <w:szCs w:val="20"/>
          </w:rPr>
          <w:t xml:space="preserve">lionleepower/MARL_VALUE_FACTORISATION</w:t>
        </w:r>
      </w:hyperlink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 xml:space="preserve">｜Python · PyTorch · PyMARL · MAPPO · VDN · QMIX · CTDE · PPO · PettingZoo / MPE2（本科毕业设计）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steps）上加性分解唯一学到正回报（≈150），单体 critic 始终为负，QMIX 的 critic loss 起手即 5.4×10⁴、200k 步后二次发散。根因是 MAPPO-QMIX 的 TD 目标沿用 value-based 的 max_a Qᵢ 而 actor 是 on-policy，td_error 并非合法 advantage 而是系统性偏乐观；非单调 mixer 的持续梯度爆炸作为负结果写进论文，归结为结构性归纳偏置是 actor-critic 稳定训练的前提。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onleepow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Relationship Id="rId92" Type="http://schemas.openxmlformats.org/officeDocument/2006/relationships/hyperlink" Target="https://github.com/lionleepower" TargetMode="External"/><Relationship Id="rId97" Type="http://schemas.openxmlformats.org/officeDocument/2006/relationships/hyperlink" Target="mailto:3073751449@qq.com" TargetMode="External"/><Relationship Id="rId93" Type="http://schemas.openxmlformats.org/officeDocument/2006/relationships/hyperlink" Target="https://github.com/lionleepower/HPC_PETSC_Benchmark" TargetMode="External"/><Relationship Id="rId94" Type="http://schemas.openxmlformats.org/officeDocument/2006/relationships/hyperlink" Target="https://github.com/lionleepower/HPC_Agent" TargetMode="External"/><Relationship Id="rId95" Type="http://schemas.openxmlformats.org/officeDocument/2006/relationships/hyperlink" Target="https://github.com/lionleepower/MARL_VALUE_FACTORISATION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