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D65D" w14:textId="77777777" w:rsidR="00437800" w:rsidRDefault="00437800">
      <w:pPr>
        <w:spacing w:after="360" w:line="480" w:lineRule="auto"/>
        <w:jc w:val="center"/>
        <w:divId w:val="2106341188"/>
      </w:pPr>
      <w:r>
        <w:t>ENGI 9839: Software Verification and Validation</w:t>
      </w:r>
    </w:p>
    <w:p w14:paraId="63C871F8" w14:textId="77777777" w:rsidR="00437800" w:rsidRDefault="00437800">
      <w:pPr>
        <w:spacing w:after="360" w:line="480" w:lineRule="auto"/>
        <w:jc w:val="center"/>
        <w:divId w:val="2106341188"/>
      </w:pPr>
      <w:r>
        <w:t>Course Project</w:t>
      </w:r>
    </w:p>
    <w:p w14:paraId="1BC91C2D" w14:textId="77777777" w:rsidR="00437800" w:rsidRDefault="00437800">
      <w:pPr>
        <w:pStyle w:val="main-title1"/>
        <w:spacing w:line="480" w:lineRule="auto"/>
        <w:divId w:val="2106341188"/>
      </w:pPr>
      <w:r>
        <w:t>Presentation Literature Summary</w:t>
      </w:r>
    </w:p>
    <w:p w14:paraId="0D4A9F1A" w14:textId="77777777" w:rsidR="00437800" w:rsidRDefault="00437800">
      <w:pPr>
        <w:spacing w:after="360" w:line="480" w:lineRule="auto"/>
        <w:jc w:val="center"/>
        <w:divId w:val="2106341188"/>
      </w:pPr>
      <w:r>
        <w:t>Comparing Human-Authored Deterministic API Tests with Schema-Driven API Fuzzing on a Django E-Commerce Application</w:t>
      </w:r>
    </w:p>
    <w:p w14:paraId="02C65721" w14:textId="77777777" w:rsidR="00437800" w:rsidRDefault="00437800">
      <w:pPr>
        <w:spacing w:after="360" w:line="480" w:lineRule="auto"/>
        <w:jc w:val="center"/>
        <w:divId w:val="2106341188"/>
      </w:pPr>
      <w:r>
        <w:t>Olaleye Adeniyi Akinuli - Student ID: 202488212</w:t>
      </w:r>
      <w:r>
        <w:br w:type="page"/>
      </w:r>
      <w:r>
        <w:lastRenderedPageBreak/>
        <w:t>Chiemerie Cletus Obijiaku - Student ID: 202492457</w:t>
      </w:r>
    </w:p>
    <w:p w14:paraId="0E0946B0" w14:textId="77777777" w:rsidR="00437800" w:rsidRDefault="00437800">
      <w:pPr>
        <w:spacing w:after="360" w:line="480" w:lineRule="auto"/>
        <w:jc w:val="center"/>
        <w:divId w:val="2106341188"/>
      </w:pPr>
      <w:r>
        <w:t>Instructor: Raja Abbas</w:t>
      </w:r>
    </w:p>
    <w:p w14:paraId="14E97C2C" w14:textId="77777777" w:rsidR="00437800" w:rsidRDefault="00437800">
      <w:pPr>
        <w:spacing w:after="360" w:line="480" w:lineRule="auto"/>
        <w:jc w:val="center"/>
        <w:divId w:val="2106341188"/>
      </w:pPr>
      <w:r>
        <w:t>July 16, 2026</w:t>
      </w:r>
    </w:p>
    <w:p w14:paraId="5C4D713C" w14:textId="77777777" w:rsidR="00437800" w:rsidRDefault="00437800">
      <w:pPr>
        <w:pStyle w:val="NormalWeb"/>
        <w:spacing w:line="480" w:lineRule="auto"/>
      </w:pPr>
      <w:r>
        <w:t>This document discusses the five academic sources used to prepare the presentation. Reference numbers match the slide deck and the complete IEEE bibliography at the end of this summary.</w:t>
      </w:r>
    </w:p>
    <w:p w14:paraId="21FDEF0E" w14:textId="77777777" w:rsidR="00437800" w:rsidRDefault="00437800">
      <w:pPr>
        <w:pStyle w:val="Heading1"/>
        <w:spacing w:line="480" w:lineRule="auto"/>
        <w:rPr>
          <w:rFonts w:eastAsia="Times New Roman"/>
        </w:rPr>
      </w:pPr>
      <w:r>
        <w:rPr>
          <w:rFonts w:eastAsia="Times New Roman"/>
        </w:rPr>
        <w:t>[1] Hatfield-Dodds and Dygalo</w:t>
      </w:r>
    </w:p>
    <w:p w14:paraId="25C8A0EA" w14:textId="77777777" w:rsidR="00437800" w:rsidRDefault="00437800">
      <w:pPr>
        <w:pStyle w:val="NormalWeb"/>
        <w:spacing w:line="480" w:lineRule="auto"/>
      </w:pPr>
      <w:r>
        <w:t>Hatfield-Dodds and Dygalo describe Schemathesis as a semantics-aware, property-based fuzzer derived from OpenAPI or GraphQL schemas. Their evaluation used eight API fuzzers, sixteen containerized open-source services, and thirty runs. Schemathesis handled more targets without fatal internal errors and found more unique defects than the next-best tool on each target. This source supports our selection of Schemathesis, seeded repetition, and the decision to compare unique root causes rather than raw generated</w:t>
      </w:r>
      <w:r>
        <w:t xml:space="preserve"> requests. Its short companion-paper format and selected open-source subjects limit generalization to our Django case.</w:t>
      </w:r>
    </w:p>
    <w:p w14:paraId="1CD1E6A9" w14:textId="77777777" w:rsidR="00437800" w:rsidRDefault="00437800">
      <w:pPr>
        <w:pStyle w:val="Heading1"/>
        <w:spacing w:line="480" w:lineRule="auto"/>
        <w:rPr>
          <w:rFonts w:eastAsia="Times New Roman"/>
        </w:rPr>
      </w:pPr>
      <w:r>
        <w:rPr>
          <w:rFonts w:eastAsia="Times New Roman"/>
        </w:rPr>
        <w:t>[2] Sartaj, Ali, and Gjøby</w:t>
      </w:r>
    </w:p>
    <w:p w14:paraId="3B8A96F8" w14:textId="77777777" w:rsidR="00437800" w:rsidRDefault="00437800">
      <w:pPr>
        <w:pStyle w:val="NormalWeb"/>
        <w:spacing w:line="480" w:lineRule="auto"/>
      </w:pPr>
      <w:r>
        <w:t xml:space="preserve">This industrial study compares RESTest, EvoMaster, Schemathesis, RESTler, and RestTestGen on 17 APIs, 120 endpoints, and 14 releases of an evolving healthcare IoT application. It separates generated tests from failures, potential faults, coverage, regressions, and cost. The tools collectively exposed 18 potential faults, reached up to 84 percent coverage, and identified 23 regressions. It is especially relevant because it shows why generated volume and raw failures must </w:t>
      </w:r>
      <w:r>
        <w:lastRenderedPageBreak/>
        <w:t>not be reported as unique defects. The single healthcare context means its tool ranking cannot automatically be transferred to our e-commerce application.</w:t>
      </w:r>
    </w:p>
    <w:p w14:paraId="4ECE7D10" w14:textId="77777777" w:rsidR="00437800" w:rsidRDefault="00437800">
      <w:pPr>
        <w:pStyle w:val="Heading1"/>
        <w:spacing w:line="480" w:lineRule="auto"/>
        <w:rPr>
          <w:rFonts w:eastAsia="Times New Roman"/>
        </w:rPr>
      </w:pPr>
      <w:r>
        <w:rPr>
          <w:rFonts w:eastAsia="Times New Roman"/>
        </w:rPr>
        <w:t>[3] Itkonen and Rautiainen</w:t>
      </w:r>
    </w:p>
    <w:p w14:paraId="62A0A7E7" w14:textId="77777777" w:rsidR="00437800" w:rsidRDefault="00437800">
      <w:pPr>
        <w:pStyle w:val="NormalWeb"/>
        <w:spacing w:line="480" w:lineRule="auto"/>
      </w:pPr>
      <w:r>
        <w:t>Itkonen and Rautiainen interviewed seven testing practitioners across three companies about exploratory testing. Participants emphasized versatility, rapid learning, complex-function testing, and the end-user perspective, while coverage management emerged as a major weakness. This evidence motivated our use of explicit charters, tour prompts, journals, evidence indexes, timeboxes, and debriefs instead of undocumented ad hoc clicking. Because the results are practitioner perceptions from a small multiple-cas</w:t>
      </w:r>
      <w:r>
        <w:t>e study, they do not prove that exploratory testing is causally superior.</w:t>
      </w:r>
    </w:p>
    <w:p w14:paraId="485621A2" w14:textId="77777777" w:rsidR="00437800" w:rsidRDefault="00437800">
      <w:pPr>
        <w:pStyle w:val="Heading1"/>
        <w:spacing w:line="480" w:lineRule="auto"/>
        <w:rPr>
          <w:rFonts w:eastAsia="Times New Roman"/>
        </w:rPr>
      </w:pPr>
      <w:r>
        <w:rPr>
          <w:rFonts w:eastAsia="Times New Roman"/>
        </w:rPr>
        <w:t>[4] Itkonen, Mäntylä, and Lassenius</w:t>
      </w:r>
    </w:p>
    <w:p w14:paraId="2B552017" w14:textId="77777777" w:rsidR="00437800" w:rsidRDefault="00437800">
      <w:pPr>
        <w:pStyle w:val="NormalWeb"/>
        <w:spacing w:line="480" w:lineRule="auto"/>
      </w:pPr>
      <w:r>
        <w:t xml:space="preserve">This controlled study compared test-case-based and exploratory manual testing in 90-minute sessions. It did not establish a statistically significant difference in defect-detection effectiveness in that setting, while the test-case-based condition produced more false defect reports. The study supports our equal exploratory timeboxes and explicit candidate rejection and deduplication. Differences in participant population, application, experience, and protocol mean that its result should not be treated as a </w:t>
      </w:r>
      <w:r>
        <w:t>universal ranking.</w:t>
      </w:r>
    </w:p>
    <w:p w14:paraId="7BBCDCD5" w14:textId="77777777" w:rsidR="00437800" w:rsidRDefault="00437800">
      <w:pPr>
        <w:pStyle w:val="Heading1"/>
        <w:spacing w:line="480" w:lineRule="auto"/>
        <w:rPr>
          <w:rFonts w:eastAsia="Times New Roman"/>
        </w:rPr>
      </w:pPr>
      <w:r>
        <w:rPr>
          <w:rFonts w:eastAsia="Times New Roman"/>
        </w:rPr>
        <w:t>[5] Inozemtseva and Holmes</w:t>
      </w:r>
    </w:p>
    <w:p w14:paraId="1770C65A" w14:textId="77777777" w:rsidR="00437800" w:rsidRDefault="00437800">
      <w:pPr>
        <w:pStyle w:val="NormalWeb"/>
        <w:spacing w:line="480" w:lineRule="auto"/>
      </w:pPr>
      <w:r>
        <w:t>Inozemtseva and Holmes generated 31,000 suites for five Java systems of up to 724,000 lines and evaluated effectiveness with mutation testing. After controlling for suite size, statement, decision, and modified-condition coverage showed only low-to-moderate correlation with effectiveness, and stronger coverage forms did not provide greater insight. We therefore report the manual suite's 64.5 percent coverage as supporting execution evidence, not proof of superior quality. The Java and mutation-testing conte</w:t>
      </w:r>
      <w:r>
        <w:t>xt differs from this small Python API experiment.</w:t>
      </w:r>
    </w:p>
    <w:p w14:paraId="5C761E9F" w14:textId="77777777" w:rsidR="00437800" w:rsidRDefault="00437800">
      <w:pPr>
        <w:pStyle w:val="Heading1"/>
        <w:spacing w:line="480" w:lineRule="auto"/>
        <w:rPr>
          <w:rFonts w:eastAsia="Times New Roman"/>
        </w:rPr>
      </w:pPr>
      <w:r>
        <w:rPr>
          <w:rFonts w:eastAsia="Times New Roman"/>
        </w:rPr>
        <w:t>Complete IEEE bibliography</w:t>
      </w:r>
    </w:p>
    <w:p w14:paraId="3A818EE2" w14:textId="77777777" w:rsidR="00437800" w:rsidRDefault="00437800">
      <w:pPr>
        <w:pStyle w:val="NormalWeb"/>
        <w:spacing w:line="480" w:lineRule="auto"/>
      </w:pPr>
      <w:r>
        <w:t xml:space="preserve">[1] Z. Hatfield-Dodds and D. Dygalo, "Deriving semantics-aware fuzzers from Web API schemas," in </w:t>
      </w:r>
      <w:r>
        <w:rPr>
          <w:rStyle w:val="Emphasis"/>
        </w:rPr>
        <w:t>2022 IEEE/ACM 44th International Conference on Software Engineering: Companion Proceedings</w:t>
      </w:r>
      <w:r>
        <w:t>, 2022, pp. 345-346, doi: 10.1109/ICSE-Companion55297.2022.9793781.</w:t>
      </w:r>
    </w:p>
    <w:p w14:paraId="175334C4" w14:textId="77777777" w:rsidR="00437800" w:rsidRDefault="00437800">
      <w:pPr>
        <w:pStyle w:val="NormalWeb"/>
        <w:spacing w:line="480" w:lineRule="auto"/>
      </w:pPr>
      <w:r>
        <w:t xml:space="preserve">[2] H. Sartaj, S. Ali, and J. M. Gjøby, "REST API testing in DevOps: A study on an evolving healthcare IoT application," </w:t>
      </w:r>
      <w:r>
        <w:rPr>
          <w:rStyle w:val="Emphasis"/>
        </w:rPr>
        <w:t>ACM Transactions on Software Engineering and Methodology</w:t>
      </w:r>
      <w:r>
        <w:t>, vol. 35, no. 6, pp. 1-46, 2026, doi: 10.1145/3765744.</w:t>
      </w:r>
    </w:p>
    <w:p w14:paraId="6E1C13AC" w14:textId="77777777" w:rsidR="00437800" w:rsidRDefault="00437800">
      <w:pPr>
        <w:pStyle w:val="NormalWeb"/>
        <w:spacing w:line="480" w:lineRule="auto"/>
      </w:pPr>
      <w:r>
        <w:t xml:space="preserve">[3] J. Itkonen and K. Rautiainen, "Exploratory testing: A multiple case study," in </w:t>
      </w:r>
      <w:r>
        <w:rPr>
          <w:rStyle w:val="Emphasis"/>
        </w:rPr>
        <w:t>2005 International Symposium on Empirical Software Engineering</w:t>
      </w:r>
      <w:r>
        <w:t>, 2005, pp. 84-93, doi: 10.1109/ISESE.2005.1541817.</w:t>
      </w:r>
    </w:p>
    <w:p w14:paraId="462BB0D5" w14:textId="77777777" w:rsidR="00437800" w:rsidRDefault="00437800">
      <w:pPr>
        <w:pStyle w:val="NormalWeb"/>
        <w:spacing w:line="480" w:lineRule="auto"/>
      </w:pPr>
      <w:r>
        <w:t xml:space="preserve">[4] J. Itkonen, M. V. Mäntylä, and C. Lassenius, "Defect detection efficiency: Test case based vs. exploratory testing," in </w:t>
      </w:r>
      <w:r>
        <w:rPr>
          <w:rStyle w:val="Emphasis"/>
        </w:rPr>
        <w:t>First International Symposium on Empirical Software Engineering and Measurement</w:t>
      </w:r>
      <w:r>
        <w:t>, 2007, pp. 61-70, doi: 10.1109/ESEM.2007.56.</w:t>
      </w:r>
    </w:p>
    <w:p w14:paraId="152BC541" w14:textId="77777777" w:rsidR="00437800" w:rsidRDefault="00437800">
      <w:pPr>
        <w:pStyle w:val="NormalWeb"/>
        <w:spacing w:line="480" w:lineRule="auto"/>
      </w:pPr>
      <w:r>
        <w:t xml:space="preserve">[5] L. Inozemtseva and R. Holmes, "Coverage is not strongly correlated with test suite effectiveness," in </w:t>
      </w:r>
      <w:r>
        <w:rPr>
          <w:rStyle w:val="Emphasis"/>
        </w:rPr>
        <w:t>Proceedings of the 36th International Conference on Software Engineering</w:t>
      </w:r>
      <w:r>
        <w:t>, 2014, pp. 435-445, doi: 10.1145/2568225.2568271.</w:t>
      </w:r>
    </w:p>
    <w:p w14:paraId="4B3B1B57" w14:textId="77777777" w:rsidR="00437800" w:rsidRDefault="00437800">
      <w:pPr>
        <w:pStyle w:val="NormalWeb"/>
        <w:spacing w:line="480" w:lineRule="auto"/>
      </w:pPr>
      <w:r>
        <w:t>Metadata and DOI fields were rechecked on 2026-07-16. Reference numbering matches the presentation slide deck.</w:t>
      </w:r>
    </w:p>
    <w:sectPr w:rsidR="0043780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EF806" w14:textId="77777777" w:rsidR="00437800" w:rsidRDefault="00437800" w:rsidP="00D31B4F">
      <w:r>
        <w:separator/>
      </w:r>
    </w:p>
  </w:endnote>
  <w:endnote w:type="continuationSeparator" w:id="0">
    <w:p w14:paraId="6A13C41C" w14:textId="77777777" w:rsidR="00437800" w:rsidRDefault="00437800" w:rsidP="00D31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625B0" w14:textId="77777777" w:rsidR="00D31B4F" w:rsidRDefault="00D31B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81F4" w14:textId="5BF0C867" w:rsidR="00D31B4F" w:rsidRPr="00D31B4F" w:rsidRDefault="00D31B4F" w:rsidP="00D31B4F">
    <w:pPr>
      <w:pStyle w:val="Foo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9D89" w14:textId="77777777" w:rsidR="00D31B4F" w:rsidRDefault="00D31B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CCD1D" w14:textId="77777777" w:rsidR="00437800" w:rsidRDefault="00437800" w:rsidP="00D31B4F">
      <w:r>
        <w:separator/>
      </w:r>
    </w:p>
  </w:footnote>
  <w:footnote w:type="continuationSeparator" w:id="0">
    <w:p w14:paraId="1A590607" w14:textId="77777777" w:rsidR="00437800" w:rsidRDefault="00437800" w:rsidP="00D31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99AD" w14:textId="77777777" w:rsidR="00D31B4F" w:rsidRDefault="00D31B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5C238" w14:textId="77777777" w:rsidR="00D31B4F" w:rsidRDefault="00D31B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19FA6" w14:textId="77777777" w:rsidR="00D31B4F" w:rsidRDefault="00D31B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1B4F"/>
    <w:rsid w:val="0042732B"/>
    <w:rsid w:val="00437800"/>
    <w:rsid w:val="00D31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73C7D3"/>
  <w15:chartTrackingRefBased/>
  <w15:docId w15:val="{BD066392-E89B-4ECF-95D0-96F4F4E79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kern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customStyle="1" w:styleId="msonormal0">
    <w:name w:val="msonormal"/>
    <w:basedOn w:val="Normal"/>
    <w:pPr>
      <w:spacing w:after="200"/>
      <w:jc w:val="both"/>
    </w:pPr>
  </w:style>
  <w:style w:type="paragraph" w:styleId="NormalWeb">
    <w:name w:val="Normal (Web)"/>
    <w:basedOn w:val="Normal"/>
    <w:uiPriority w:val="99"/>
    <w:semiHidden/>
    <w:unhideWhenUsed/>
    <w:pPr>
      <w:spacing w:after="200"/>
      <w:jc w:val="both"/>
    </w:pPr>
  </w:style>
  <w:style w:type="paragraph" w:customStyle="1" w:styleId="title">
    <w:name w:val="title"/>
    <w:basedOn w:val="Normal"/>
    <w:pPr>
      <w:spacing w:before="100" w:beforeAutospacing="1" w:after="100" w:afterAutospacing="1"/>
    </w:pPr>
  </w:style>
  <w:style w:type="paragraph" w:customStyle="1" w:styleId="main-title">
    <w:name w:val="main-title"/>
    <w:basedOn w:val="Normal"/>
    <w:pPr>
      <w:spacing w:before="2400" w:after="100" w:afterAutospacing="1"/>
    </w:pPr>
    <w:rPr>
      <w:b/>
      <w:bCs/>
      <w:caps/>
    </w:rPr>
  </w:style>
  <w:style w:type="paragraph" w:customStyle="1" w:styleId="main-title1">
    <w:name w:val="main-title1"/>
    <w:basedOn w:val="Normal"/>
    <w:pPr>
      <w:spacing w:before="2400" w:after="360"/>
      <w:jc w:val="center"/>
    </w:pPr>
    <w:rPr>
      <w:b/>
      <w:bCs/>
      <w:caps/>
    </w:rPr>
  </w:style>
  <w:style w:type="paragraph" w:styleId="Header">
    <w:name w:val="header"/>
    <w:basedOn w:val="Normal"/>
    <w:link w:val="HeaderChar"/>
    <w:uiPriority w:val="99"/>
    <w:unhideWhenUsed/>
    <w:rsid w:val="00D31B4F"/>
    <w:pPr>
      <w:tabs>
        <w:tab w:val="center" w:pos="4680"/>
        <w:tab w:val="right" w:pos="9360"/>
      </w:tabs>
    </w:pPr>
  </w:style>
  <w:style w:type="character" w:customStyle="1" w:styleId="HeaderChar">
    <w:name w:val="Header Char"/>
    <w:basedOn w:val="DefaultParagraphFont"/>
    <w:link w:val="Header"/>
    <w:uiPriority w:val="99"/>
    <w:rsid w:val="00D31B4F"/>
    <w:rPr>
      <w:rFonts w:eastAsiaTheme="minorEastAsia"/>
      <w:sz w:val="24"/>
      <w:szCs w:val="24"/>
    </w:rPr>
  </w:style>
  <w:style w:type="paragraph" w:styleId="Footer">
    <w:name w:val="footer"/>
    <w:basedOn w:val="Normal"/>
    <w:link w:val="FooterChar"/>
    <w:uiPriority w:val="99"/>
    <w:unhideWhenUsed/>
    <w:rsid w:val="00D31B4F"/>
    <w:pPr>
      <w:tabs>
        <w:tab w:val="center" w:pos="4680"/>
        <w:tab w:val="right" w:pos="9360"/>
      </w:tabs>
    </w:pPr>
  </w:style>
  <w:style w:type="character" w:customStyle="1" w:styleId="FooterChar">
    <w:name w:val="Footer Char"/>
    <w:basedOn w:val="DefaultParagraphFont"/>
    <w:link w:val="Footer"/>
    <w:uiPriority w:val="99"/>
    <w:rsid w:val="00D31B4F"/>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34118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734</Words>
  <Characters>4185</Characters>
  <Application>Microsoft Office Word</Application>
  <DocSecurity>0</DocSecurity>
  <Lines>34</Lines>
  <Paragraphs>9</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Olaleye Adeniyi Akinuli</dc:creator>
  <cp:keywords/>
  <dc:description/>
  <cp:lastModifiedBy>Olaleye Adeniyi Akinuli</cp:lastModifiedBy>
  <cp:revision>2</cp:revision>
  <dcterms:created xsi:type="dcterms:W3CDTF">2026-07-16T18:19:00Z</dcterms:created>
  <dcterms:modified xsi:type="dcterms:W3CDTF">2026-07-16T18:19:00Z</dcterms:modified>
</cp:coreProperties>
</file>