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Guion de voz en off por integrante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Video “Prevenir es cuidar” · Una mirada hacia la prevención de los individuos y las poblaciones</w:t>
      </w:r>
    </w:p>
    <w:p>
      <w:pPr>
        <w:spacing w:after="240"/>
        <w:jc w:val="center"/>
      </w:pPr>
      <w:r>
        <w:rPr>
          <w:rFonts w:ascii="Arial" w:cs="Arial" w:eastAsia="Arial" w:hAnsi="Arial"/>
          <w:sz w:val="22"/>
          <w:szCs w:val="22"/>
        </w:rPr>
        <w:t xml:space="preserve">Duración total: 7:50 · 24 escenas · 4 voces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5496"/>
          <w:sz w:val="23"/>
          <w:szCs w:val="23"/>
        </w:rPr>
        <w:t xml:space="preserve">Reparto de las escenas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700"/>
        <w:gridCol w:w="3260"/>
        <w:gridCol w:w="1100"/>
      </w:tblGrid>
      <w:tr>
        <w:trPr>
          <w:tblHeader/>
        </w:trPr>
        <w:tc>
          <w:tcPr>
            <w:tcW w:type="dxa" w:w="3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Integrante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Escenas</w:t>
            </w:r>
          </w:p>
        </w:tc>
        <w:tc>
          <w:tcPr>
            <w:tcW w:type="dxa" w:w="32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Tema</w:t>
            </w:r>
          </w:p>
        </w:tc>
        <w:tc>
          <w:tcPr>
            <w:tcW w:type="dxa" w:w="11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Tiempo de voz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Yina Vanessa Cadena Mantilla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2, 3, 4, 21, 22</w:t>
            </w:r>
          </w:p>
        </w:tc>
        <w:tc>
          <w:tcPr>
            <w:tcW w:type="dxa" w:w="32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Introducción · Niveles de prevención · Marco normativo · Beneficios del sistema · Cierre</w:t>
            </w:r>
          </w:p>
        </w:tc>
        <w:tc>
          <w:tcPr>
            <w:tcW w:type="dxa" w:w="11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1:45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Pedro Alexander Duarte Acosta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5, 6, 7, 8, 9</w:t>
            </w:r>
          </w:p>
        </w:tc>
        <w:tc>
          <w:tcPr>
            <w:tcW w:type="dxa" w:w="32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Caso 1: población y necesidades · Caso 1: riesgos · Caso 1: la actividad · Caso 1: ¿cómo se hace? · Caso 1: respaldo normativo y viabilidad</w:t>
            </w:r>
          </w:p>
        </w:tc>
        <w:tc>
          <w:tcPr>
            <w:tcW w:type="dxa" w:w="11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1:45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Carolina Jiménez Castellanos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10, 11, 12, 13, 14</w:t>
            </w:r>
          </w:p>
        </w:tc>
        <w:tc>
          <w:tcPr>
            <w:tcW w:type="dxa" w:w="32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Caso 2: población y necesidades · Caso 2: riesgos · Caso 2: la actividad · Caso 2: ¿cómo se hace? · Caso 2: respaldo normativo y viabilidad</w:t>
            </w:r>
          </w:p>
        </w:tc>
        <w:tc>
          <w:tcPr>
            <w:tcW w:type="dxa" w:w="11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1:45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Diana Milena Cárdenas Alvarado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15, 16, 17, 18, 19, 20</w:t>
            </w:r>
          </w:p>
        </w:tc>
        <w:tc>
          <w:tcPr>
            <w:tcW w:type="dxa" w:w="32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Caso 3: población y necesidades · Caso 3: riesgos · Caso 3: la actividad · Caso 3: ¿cómo se hace? · Caso 3: respaldo normativo y viabilidad · Beneficios para todos</w:t>
            </w:r>
          </w:p>
        </w:tc>
        <w:tc>
          <w:tcPr>
            <w:tcW w:type="dxa" w:w="11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2:05</w:t>
            </w:r>
          </w:p>
        </w:tc>
      </w:tr>
    </w:tbl>
    <w:p>
      <w:pPr>
        <w:spacing w:after="80" w:line="259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Sin voz: </w:t>
      </w:r>
      <w:r>
        <w:rPr>
          <w:rFonts w:ascii="Arial" w:cs="Arial" w:eastAsia="Arial" w:hAnsi="Arial"/>
          <w:sz w:val="22"/>
          <w:szCs w:val="22"/>
        </w:rPr>
        <w:t xml:space="preserve">escenas 1 (portada), 23 (referencias) y 24 (créditos), que llevan solo música.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 Yina Vanessa Cadena Mantilla</w:t>
      </w:r>
    </w:p>
    <w:p>
      <w:pPr>
        <w:spacing w:after="80" w:line="259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Escenas: </w:t>
      </w:r>
      <w:r>
        <w:rPr>
          <w:rFonts w:ascii="Arial" w:cs="Arial" w:eastAsia="Arial" w:hAnsi="Arial"/>
          <w:sz w:val="22"/>
          <w:szCs w:val="22"/>
        </w:rPr>
        <w:t xml:space="preserve">2, 3, 4, 21, 22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 Tiempo de voz: </w:t>
      </w:r>
      <w:r>
        <w:rPr>
          <w:rFonts w:ascii="Arial" w:cs="Arial" w:eastAsia="Arial" w:hAnsi="Arial"/>
          <w:sz w:val="22"/>
          <w:szCs w:val="22"/>
        </w:rPr>
        <w:t xml:space="preserve">1:45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1300"/>
        <w:gridCol w:w="5060"/>
      </w:tblGrid>
      <w:tr>
        <w:trPr>
          <w:tblHeader/>
        </w:trPr>
        <w:tc>
          <w:tcPr>
            <w:tcW w:type="dxa" w:w="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N.º</w:t>
            </w:r>
          </w:p>
        </w:tc>
        <w:tc>
          <w:tcPr>
            <w:tcW w:type="dxa" w:w="2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Escena</w:t>
            </w:r>
          </w:p>
        </w:tc>
        <w:tc>
          <w:tcPr>
            <w:tcW w:type="dxa" w:w="1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Tiempo</w:t>
            </w:r>
          </w:p>
        </w:tc>
        <w:tc>
          <w:tcPr>
            <w:tcW w:type="dxa" w:w="50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Texto para leer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Introducción</w:t>
            </w:r>
          </w:p>
        </w:tc>
        <w:tc>
          <w:tcPr>
            <w:tcW w:type="dxa" w:w="1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0:10 – 0:35</w:t>
            </w:r>
          </w:p>
        </w:tc>
        <w:tc>
          <w:tcPr>
            <w:tcW w:type="dxa" w:w="50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Hola, somos Yina Cadena, Pedro Duarte, Carolina Jiménez y Diana Cárdenas, estudiantes de la Especialización en Gerencia y Auditoría de la Calidad en Salud de UNIMINUTO. Este video está dirigido a la comunidad y a los equipos de salud, y presenta propuestas de prevención para una comunidad rural, estudiantes universitarios y adultos mayores.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Niveles de prevención</w:t>
            </w:r>
          </w:p>
        </w:tc>
        <w:tc>
          <w:tcPr>
            <w:tcW w:type="dxa" w:w="1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0:35 – 0:55</w:t>
            </w:r>
          </w:p>
        </w:tc>
        <w:tc>
          <w:tcPr>
            <w:tcW w:type="dxa" w:w="50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Promover la salud es dar a las personas herramientas para cuidarse. La prevención tiene tres niveles: la primaria evita que la enfermedad aparezca; la secundaria la detecta a tiempo, con tamizajes y controles; y la terciaria evita complicaciones en quien ya está enfermo.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Marco normativo</w:t>
            </w:r>
          </w:p>
        </w:tc>
        <w:tc>
          <w:tcPr>
            <w:tcW w:type="dxa" w:w="1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0:55 – 1:15</w:t>
            </w:r>
          </w:p>
        </w:tc>
        <w:tc>
          <w:tcPr>
            <w:tcW w:type="dxa" w:w="50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Estas propuestas no parten de cero: la Ley 1751 de 2015 reconoce la salud como un derecho fundamental; la Resolución 3280 de 2018 crea la Ruta de Promoción y Mantenimiento de la Salud; y la Resolución 1597 de 2025 define el Plan de Intervenciones Colectivas.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2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Beneficios del sistema</w:t>
            </w:r>
          </w:p>
        </w:tc>
        <w:tc>
          <w:tcPr>
            <w:tcW w:type="dxa" w:w="1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6:50 – 7:10</w:t>
            </w:r>
          </w:p>
        </w:tc>
        <w:tc>
          <w:tcPr>
            <w:tcW w:type="dxa" w:w="50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Además, el sistema de salud colombiano garantiza la Ruta de Promoción y Mantenimiento, servicios de promoción y prevención sin copagos ni cuotas moderadoras, acciones gratuitas del Plan de Intervenciones Colectivas y vacunación gratuita para toda la población.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2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Cierre</w:t>
            </w:r>
          </w:p>
        </w:tc>
        <w:tc>
          <w:tcPr>
            <w:tcW w:type="dxa" w:w="1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7:10 – 7:30</w:t>
            </w:r>
          </w:p>
        </w:tc>
        <w:tc>
          <w:tcPr>
            <w:tcW w:type="dxa" w:w="50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Prevenir no es esperar a que llegue la enfermedad, es adelantarse a ella. Con acciones sencillas, cercanas y pensadas para cada población, es posible ganar años de vida con salud. Gracias por acompañarnos.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 Pedro Alexander Duarte Acosta</w:t>
      </w:r>
    </w:p>
    <w:p>
      <w:pPr>
        <w:spacing w:after="80" w:line="259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Escenas: </w:t>
      </w:r>
      <w:r>
        <w:rPr>
          <w:rFonts w:ascii="Arial" w:cs="Arial" w:eastAsia="Arial" w:hAnsi="Arial"/>
          <w:sz w:val="22"/>
          <w:szCs w:val="22"/>
        </w:rPr>
        <w:t xml:space="preserve">5, 6, 7, 8, 9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 Tiempo de voz: </w:t>
      </w:r>
      <w:r>
        <w:rPr>
          <w:rFonts w:ascii="Arial" w:cs="Arial" w:eastAsia="Arial" w:hAnsi="Arial"/>
          <w:sz w:val="22"/>
          <w:szCs w:val="22"/>
        </w:rPr>
        <w:t xml:space="preserve">1:45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1300"/>
        <w:gridCol w:w="5060"/>
      </w:tblGrid>
      <w:tr>
        <w:trPr>
          <w:tblHeader/>
        </w:trPr>
        <w:tc>
          <w:tcPr>
            <w:tcW w:type="dxa" w:w="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N.º</w:t>
            </w:r>
          </w:p>
        </w:tc>
        <w:tc>
          <w:tcPr>
            <w:tcW w:type="dxa" w:w="2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Escena</w:t>
            </w:r>
          </w:p>
        </w:tc>
        <w:tc>
          <w:tcPr>
            <w:tcW w:type="dxa" w:w="1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Tiempo</w:t>
            </w:r>
          </w:p>
        </w:tc>
        <w:tc>
          <w:tcPr>
            <w:tcW w:type="dxa" w:w="50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Texto para leer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Caso 1: población y necesidades</w:t>
            </w:r>
          </w:p>
        </w:tc>
        <w:tc>
          <w:tcPr>
            <w:tcW w:type="dxa" w:w="1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1:15 – 1:40</w:t>
            </w:r>
          </w:p>
        </w:tc>
        <w:tc>
          <w:tcPr>
            <w:tcW w:type="dxa" w:w="50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 primer caso es una vereda agrícola, con familias campesinas de varias generaciones: adultos de 30 a 50 años y niños que acompañan las labores del campo. En salud, consultan poco de forma preventiva; en nutrición, manipulan los alimentos sin higiene; en su entorno, el agua no se trata y las letrinas son improvisadas; y en prevención, fumigan sin protección.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Caso 1: riesgos</w:t>
            </w:r>
          </w:p>
        </w:tc>
        <w:tc>
          <w:tcPr>
            <w:tcW w:type="dxa" w:w="1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1:40 – 2:00</w:t>
            </w:r>
          </w:p>
        </w:tc>
        <w:tc>
          <w:tcPr>
            <w:tcW w:type="dxa" w:w="50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 eso aparecen intoxicaciones leves, enfermedades de la piel y respiratorias, diarrea en los niños y lesiones articulares. Es un riesgo ambiental y ocupacional, de tipo colectivo, porque toda la vereda comparte la misma agua y la misma exposición. Su prioridad es alta.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Caso 1: la actividad</w:t>
            </w:r>
          </w:p>
        </w:tc>
        <w:tc>
          <w:tcPr>
            <w:tcW w:type="dxa" w:w="1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2:00 – 2:20</w:t>
            </w:r>
          </w:p>
        </w:tc>
        <w:tc>
          <w:tcPr>
            <w:tcW w:type="dxa" w:w="50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Proponemos la jornada “Finca sana, familia sana”, de prevención primaria. Su objetivo es reducir la exposición al agua no segura y a los agroquímicos. Lo novedoso es que se hace en la misma vereda, sin interrumpir el trabajo, y con juegos entre madres e hijos.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Caso 1: ¿cómo se hace?</w:t>
            </w:r>
          </w:p>
        </w:tc>
        <w:tc>
          <w:tcPr>
            <w:tcW w:type="dxa" w:w="1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2:20 – 2:40</w:t>
            </w:r>
          </w:p>
        </w:tc>
        <w:tc>
          <w:tcPr>
            <w:tcW w:type="dxa" w:w="50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 jornada tiene tres estaciones: agua segura, agroquímicos sin riesgo y cuerpo sano. La atienden el técnico de saneamiento, enfermería y un promotor de salud, junto con la Secretaría de Salud, la ESE, la UMATA y la escuela. Se mide cuántos hogares tratan el agua.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Caso 1: respaldo normativo y viabilidad</w:t>
            </w:r>
          </w:p>
        </w:tc>
        <w:tc>
          <w:tcPr>
            <w:tcW w:type="dxa" w:w="1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2:40 – 3:00</w:t>
            </w:r>
          </w:p>
        </w:tc>
        <w:tc>
          <w:tcPr>
            <w:tcW w:type="dxa" w:w="50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 financia con el Plan de Intervenciones Colectivas y se apoya en la Ley 9 de 1979 y en la Resolución 2115 de 2007, sobre calidad del agua. Es de bajo costo, pero tiene un reto: la Secretaría de Salud debe incluirla en su plan territorial.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 Carolina Jiménez Castellanos</w:t>
      </w:r>
    </w:p>
    <w:p>
      <w:pPr>
        <w:spacing w:after="80" w:line="259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Escenas: </w:t>
      </w:r>
      <w:r>
        <w:rPr>
          <w:rFonts w:ascii="Arial" w:cs="Arial" w:eastAsia="Arial" w:hAnsi="Arial"/>
          <w:sz w:val="22"/>
          <w:szCs w:val="22"/>
        </w:rPr>
        <w:t xml:space="preserve">10, 11, 12, 13, 14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 Tiempo de voz: </w:t>
      </w:r>
      <w:r>
        <w:rPr>
          <w:rFonts w:ascii="Arial" w:cs="Arial" w:eastAsia="Arial" w:hAnsi="Arial"/>
          <w:sz w:val="22"/>
          <w:szCs w:val="22"/>
        </w:rPr>
        <w:t xml:space="preserve">1:45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1300"/>
        <w:gridCol w:w="5060"/>
      </w:tblGrid>
      <w:tr>
        <w:trPr>
          <w:tblHeader/>
        </w:trPr>
        <w:tc>
          <w:tcPr>
            <w:tcW w:type="dxa" w:w="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N.º</w:t>
            </w:r>
          </w:p>
        </w:tc>
        <w:tc>
          <w:tcPr>
            <w:tcW w:type="dxa" w:w="2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Escena</w:t>
            </w:r>
          </w:p>
        </w:tc>
        <w:tc>
          <w:tcPr>
            <w:tcW w:type="dxa" w:w="1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Tiempo</w:t>
            </w:r>
          </w:p>
        </w:tc>
        <w:tc>
          <w:tcPr>
            <w:tcW w:type="dxa" w:w="50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Texto para leer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Caso 2: población y necesidades</w:t>
            </w:r>
          </w:p>
        </w:tc>
        <w:tc>
          <w:tcPr>
            <w:tcW w:type="dxa" w:w="1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3:00 – 3:25</w:t>
            </w:r>
          </w:p>
        </w:tc>
        <w:tc>
          <w:tcPr>
            <w:tcW w:type="dxa" w:w="50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 segundo caso es el de estudiantes universitarios de 18 a 25 años que vienen de otras regiones y viven en residencias o viviendas compartidas. En salud, no tienen hábitos de autocuidado; en nutrición, comen comida rápida y toman mucho café y bebidas energéticas; en su entorno, pasan horas frente a pantallas; y en prevención, se mueven poco y duermen mal.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2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Caso 2: riesgos</w:t>
            </w:r>
          </w:p>
        </w:tc>
        <w:tc>
          <w:tcPr>
            <w:tcW w:type="dxa" w:w="1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3:25 – 3:45</w:t>
            </w:r>
          </w:p>
        </w:tc>
        <w:tc>
          <w:tcPr>
            <w:tcW w:type="dxa" w:w="50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Esto genera sobrepeso, sedentarismo, problemas posturales, ansiedad, insomnio y, con los años, riesgo cardiovascular. Es un riesgo por estilos de vida y psicosocial; es individual, pero se repite en muchos estudiantes. Por eso su prioridad es media-alta.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2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Caso 2: la actividad</w:t>
            </w:r>
          </w:p>
        </w:tc>
        <w:tc>
          <w:tcPr>
            <w:tcW w:type="dxa" w:w="1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3:45 – 4:05</w:t>
            </w:r>
          </w:p>
        </w:tc>
        <w:tc>
          <w:tcPr>
            <w:tcW w:type="dxa" w:w="50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Proponemos la campaña “Recarga tu bienestar”, de prevención primaria y secundaria. Busca que los estudiantes cuiden su alimentación, su actividad física, su descanso y su salud mental. Lo innovador es que la feria se hace antes de los parciales y continúa con retos en redes sociales.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2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Caso 2: ¿cómo se hace?</w:t>
            </w:r>
          </w:p>
        </w:tc>
        <w:tc>
          <w:tcPr>
            <w:tcW w:type="dxa" w:w="1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4:05 – 4:25</w:t>
            </w:r>
          </w:p>
        </w:tc>
        <w:tc>
          <w:tcPr>
            <w:tcW w:type="dxa" w:w="50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 feria tiene tres estaciones: tamizaje, comida rápida pero sana, y muévete y desconéctate. La atienden enfermería, nutrición, psicología y deporte, con Bienestar Universitario y la EPS. Quien tenga un riesgo se remite a atención, y se mide cuántos estudiantes fueron tamizados.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2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Caso 2: respaldo normativo y viabilidad</w:t>
            </w:r>
          </w:p>
        </w:tc>
        <w:tc>
          <w:tcPr>
            <w:tcW w:type="dxa" w:w="1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4:25 – 4:45</w:t>
            </w:r>
          </w:p>
        </w:tc>
        <w:tc>
          <w:tcPr>
            <w:tcW w:type="dxa" w:w="50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 respaldan la Resolución 3280, en la juventud; las leyes 1355, de obesidad, y 2120, de etiquetado frontal; y el Decreto 729 de 2025, de salud mental. Es viable con el presupuesto de Bienestar Universitario; el reto es lograr que los estudiantes participen.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 Diana Milena Cárdenas Alvarado</w:t>
      </w:r>
    </w:p>
    <w:p>
      <w:pPr>
        <w:spacing w:after="80" w:line="259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Escenas: </w:t>
      </w:r>
      <w:r>
        <w:rPr>
          <w:rFonts w:ascii="Arial" w:cs="Arial" w:eastAsia="Arial" w:hAnsi="Arial"/>
          <w:sz w:val="22"/>
          <w:szCs w:val="22"/>
        </w:rPr>
        <w:t xml:space="preserve">15, 16, 17, 18, 19, 20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 Tiempo de voz: </w:t>
      </w:r>
      <w:r>
        <w:rPr>
          <w:rFonts w:ascii="Arial" w:cs="Arial" w:eastAsia="Arial" w:hAnsi="Arial"/>
          <w:sz w:val="22"/>
          <w:szCs w:val="22"/>
        </w:rPr>
        <w:t xml:space="preserve">2:05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1300"/>
        <w:gridCol w:w="5060"/>
      </w:tblGrid>
      <w:tr>
        <w:trPr>
          <w:tblHeader/>
        </w:trPr>
        <w:tc>
          <w:tcPr>
            <w:tcW w:type="dxa" w:w="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N.º</w:t>
            </w:r>
          </w:p>
        </w:tc>
        <w:tc>
          <w:tcPr>
            <w:tcW w:type="dxa" w:w="2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Escena</w:t>
            </w:r>
          </w:p>
        </w:tc>
        <w:tc>
          <w:tcPr>
            <w:tcW w:type="dxa" w:w="1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Tiempo</w:t>
            </w:r>
          </w:p>
        </w:tc>
        <w:tc>
          <w:tcPr>
            <w:tcW w:type="dxa" w:w="50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Texto para leer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2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Caso 3: población y necesidades</w:t>
            </w:r>
          </w:p>
        </w:tc>
        <w:tc>
          <w:tcPr>
            <w:tcW w:type="dxa" w:w="1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4:45 – 5:10</w:t>
            </w:r>
          </w:p>
        </w:tc>
        <w:tc>
          <w:tcPr>
            <w:tcW w:type="dxa" w:w="50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 tercer caso es el de adultos mayores de un barrio periférico, con bajos ingresos; muchos viven solos. En salud, tienen hipertensión y diabetes y no siguen bien sus tratamientos; en nutrición, comen poca proteína, fruta y verdura; en su entorno, las casas tienen pisos resbalosos y poca luz; y en prevención, casi no asisten a los encuentros comunitarios.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2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Caso 3: riesgos</w:t>
            </w:r>
          </w:p>
        </w:tc>
        <w:tc>
          <w:tcPr>
            <w:tcW w:type="dxa" w:w="1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5:10 – 5:30</w:t>
            </w:r>
          </w:p>
        </w:tc>
        <w:tc>
          <w:tcPr>
            <w:tcW w:type="dxa" w:w="50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Los riesgos son las complicaciones de la hipertensión y la diabetes, la pérdida de masa muscular, las caídas y la soledad. Es un riesgo cardiovascular, de caídas y psicosocial. Su prioridad es alta, porque una caída o un infarto pueden quitarle la autonomía a quien vive solo.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2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Caso 3: la actividad</w:t>
            </w:r>
          </w:p>
        </w:tc>
        <w:tc>
          <w:tcPr>
            <w:tcW w:type="dxa" w:w="1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5:30 – 5:50</w:t>
            </w:r>
          </w:p>
        </w:tc>
        <w:tc>
          <w:tcPr>
            <w:tcW w:type="dxa" w:w="50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Proponemos el club “Envejecer con salud”, de prevención secundaria y terciaria, para personas de 60 años o más y sus cuidadores. Su objetivo es controlar las enfermedades crónicas, prevenir caídas y reducir la soledad. Lo innovador es el “vecino acompañante” y que los mayores enseñan sus oficios.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2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Caso 3: ¿cómo se hace?</w:t>
            </w:r>
          </w:p>
        </w:tc>
        <w:tc>
          <w:tcPr>
            <w:tcW w:type="dxa" w:w="1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5:50 – 6:10</w:t>
            </w:r>
          </w:p>
        </w:tc>
        <w:tc>
          <w:tcPr>
            <w:tcW w:type="dxa" w:w="50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Cada semana se toma la presión y la glucosa, se hacen ejercicios de fuerza y equilibrio y talleres de alimentación económica. Además, se visitan las casas para revisar riesgos de caídas. Participan enfermería, medicina, nutrición y trabajo social, con el Centro Vida, la ESE y la EPS.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2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Caso 3: respaldo normativo y viabilidad</w:t>
            </w:r>
          </w:p>
        </w:tc>
        <w:tc>
          <w:tcPr>
            <w:tcW w:type="dxa" w:w="1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6:10 – 6:30</w:t>
            </w:r>
          </w:p>
        </w:tc>
        <w:tc>
          <w:tcPr>
            <w:tcW w:type="dxa" w:w="50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 respaldan la Resolución 3280 en el momento de vejez, la Ley 1251, la Ley 1276, que crea los Centros Vida, y el Decreto 681 de 2022. Se financia con la estampilla del adulto mayor; el reto es llegar a quienes no pueden salir de casa.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2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Beneficios para todos</w:t>
            </w:r>
          </w:p>
        </w:tc>
        <w:tc>
          <w:tcPr>
            <w:tcW w:type="dxa" w:w="1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6:30 – 6:50</w:t>
            </w:r>
          </w:p>
        </w:tc>
        <w:tc>
          <w:tcPr>
            <w:tcW w:type="dxa" w:w="50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¿Cuáles son los beneficios para todos? Las personas viven más años con salud y autonomía; las familias gastan menos y tienen menos enfermos que cuidar; y el sistema ahorra hospitalizaciones y tratamientos costosos. Prevenir siempre cuesta menos que tratar una enfermedad avanzada.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Guion completo en orden</w:t>
      </w:r>
    </w:p>
    <w:p>
      <w:pPr>
        <w:spacing w:after="80" w:line="259"/>
        <w:jc w:val="both"/>
      </w:pPr>
      <w:r>
        <w:rPr>
          <w:rFonts w:ascii="Arial" w:cs="Arial" w:eastAsia="Arial" w:hAnsi="Arial"/>
          <w:sz w:val="22"/>
          <w:szCs w:val="22"/>
        </w:rPr>
        <w:t xml:space="preserve">Así se escucha el video de principio a fin. Use esta tabla para ubicar cada grabación en Canva o Clipchamp.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1150"/>
        <w:gridCol w:w="1700"/>
        <w:gridCol w:w="4110"/>
      </w:tblGrid>
      <w:tr>
        <w:trPr>
          <w:tblHeader/>
        </w:trPr>
        <w:tc>
          <w:tcPr>
            <w:tcW w:type="dxa" w:w="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N.º</w:t>
            </w:r>
          </w:p>
        </w:tc>
        <w:tc>
          <w:tcPr>
            <w:tcW w:type="dxa" w:w="1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Escena</w:t>
            </w:r>
          </w:p>
        </w:tc>
        <w:tc>
          <w:tcPr>
            <w:tcW w:type="dxa" w:w="11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Tiempo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Voz</w:t>
            </w:r>
          </w:p>
        </w:tc>
        <w:tc>
          <w:tcPr>
            <w:tcW w:type="dxa" w:w="411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Texto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Portada</w:t>
            </w:r>
          </w:p>
        </w:tc>
        <w:tc>
          <w:tcPr>
            <w:tcW w:type="dxa" w:w="11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0:00 – 0:10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Sin voz</w:t>
            </w:r>
          </w:p>
        </w:tc>
        <w:tc>
          <w:tcPr>
            <w:tcW w:type="dxa" w:w="411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(Sin voz. Solo música de apertura.)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Introducción</w:t>
            </w:r>
          </w:p>
        </w:tc>
        <w:tc>
          <w:tcPr>
            <w:tcW w:type="dxa" w:w="11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0:10 – 0:35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Yina Vanessa Cadena Mantilla</w:t>
            </w:r>
          </w:p>
        </w:tc>
        <w:tc>
          <w:tcPr>
            <w:tcW w:type="dxa" w:w="411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Hola, somos Yina Cadena, Pedro Duarte, Carolina Jiménez y Diana Cárdenas, estudiantes de la Especialización en Gerencia y Auditoría de la Calidad en Salud de UNIMINUTO. Este video está dirigido a la comunidad y a los equipos de salud, y presenta propuestas de prevención para una comunidad rural, estudiantes universitarios y adultos mayores.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Niveles de prevención</w:t>
            </w:r>
          </w:p>
        </w:tc>
        <w:tc>
          <w:tcPr>
            <w:tcW w:type="dxa" w:w="11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0:35 – 0:55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Yina Vanessa Cadena Mantilla</w:t>
            </w:r>
          </w:p>
        </w:tc>
        <w:tc>
          <w:tcPr>
            <w:tcW w:type="dxa" w:w="411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Promover la salud es dar a las personas herramientas para cuidarse. La prevención tiene tres niveles: la primaria evita que la enfermedad aparezca; la secundaria la detecta a tiempo, con tamizajes y controles; y la terciaria evita complicaciones en quien ya está enfermo.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Marco normativo</w:t>
            </w:r>
          </w:p>
        </w:tc>
        <w:tc>
          <w:tcPr>
            <w:tcW w:type="dxa" w:w="11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0:55 – 1:15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Yina Vanessa Cadena Mantilla</w:t>
            </w:r>
          </w:p>
        </w:tc>
        <w:tc>
          <w:tcPr>
            <w:tcW w:type="dxa" w:w="411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Estas propuestas no parten de cero: la Ley 1751 de 2015 reconoce la salud como un derecho fundamental; la Resolución 3280 de 2018 crea la Ruta de Promoción y Mantenimiento de la Salud; y la Resolución 1597 de 2025 define el Plan de Intervenciones Colectivas.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Caso 1: población y necesidades</w:t>
            </w:r>
          </w:p>
        </w:tc>
        <w:tc>
          <w:tcPr>
            <w:tcW w:type="dxa" w:w="11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1:15 – 1:40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Pedro Alexander Duarte Acosta</w:t>
            </w:r>
          </w:p>
        </w:tc>
        <w:tc>
          <w:tcPr>
            <w:tcW w:type="dxa" w:w="411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 primer caso es una vereda agrícola, con familias campesinas de varias generaciones: adultos de 30 a 50 años y niños que acompañan las labores del campo. En salud, consultan poco de forma preventiva; en nutrición, manipulan los alimentos sin higiene; en su entorno, el agua no se trata y las letrinas son improvisadas; y en prevención, fumigan sin protección.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Caso 1: riesgos</w:t>
            </w:r>
          </w:p>
        </w:tc>
        <w:tc>
          <w:tcPr>
            <w:tcW w:type="dxa" w:w="11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1:40 – 2:00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Pedro Alexander Duarte Acosta</w:t>
            </w:r>
          </w:p>
        </w:tc>
        <w:tc>
          <w:tcPr>
            <w:tcW w:type="dxa" w:w="411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 eso aparecen intoxicaciones leves, enfermedades de la piel y respiratorias, diarrea en los niños y lesiones articulares. Es un riesgo ambiental y ocupacional, de tipo colectivo, porque toda la vereda comparte la misma agua y la misma exposición. Su prioridad es alta.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Caso 1: la actividad</w:t>
            </w:r>
          </w:p>
        </w:tc>
        <w:tc>
          <w:tcPr>
            <w:tcW w:type="dxa" w:w="11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2:00 – 2:20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Pedro Alexander Duarte Acosta</w:t>
            </w:r>
          </w:p>
        </w:tc>
        <w:tc>
          <w:tcPr>
            <w:tcW w:type="dxa" w:w="411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Proponemos la jornada “Finca sana, familia sana”, de prevención primaria. Su objetivo es reducir la exposición al agua no segura y a los agroquímicos. Lo novedoso es que se hace en la misma vereda, sin interrumpir el trabajo, y con juegos entre madres e hijos.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Caso 1: ¿cómo se hace?</w:t>
            </w:r>
          </w:p>
        </w:tc>
        <w:tc>
          <w:tcPr>
            <w:tcW w:type="dxa" w:w="11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2:20 – 2:40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Pedro Alexander Duarte Acosta</w:t>
            </w:r>
          </w:p>
        </w:tc>
        <w:tc>
          <w:tcPr>
            <w:tcW w:type="dxa" w:w="411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 jornada tiene tres estaciones: agua segura, agroquímicos sin riesgo y cuerpo sano. La atienden el técnico de saneamiento, enfermería y un promotor de salud, junto con la Secretaría de Salud, la ESE, la UMATA y la escuela. Se mide cuántos hogares tratan el agua.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Caso 1: respaldo normativo y viabilidad</w:t>
            </w:r>
          </w:p>
        </w:tc>
        <w:tc>
          <w:tcPr>
            <w:tcW w:type="dxa" w:w="11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2:40 – 3:00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Pedro Alexander Duarte Acosta</w:t>
            </w:r>
          </w:p>
        </w:tc>
        <w:tc>
          <w:tcPr>
            <w:tcW w:type="dxa" w:w="411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 financia con el Plan de Intervenciones Colectivas y se apoya en la Ley 9 de 1979 y en la Resolución 2115 de 2007, sobre calidad del agua. Es de bajo costo, pero tiene un reto: la Secretaría de Salud debe incluirla en su plan territorial.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Caso 2: población y necesidades</w:t>
            </w:r>
          </w:p>
        </w:tc>
        <w:tc>
          <w:tcPr>
            <w:tcW w:type="dxa" w:w="11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3:00 – 3:25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Carolina Jiménez Castellanos</w:t>
            </w:r>
          </w:p>
        </w:tc>
        <w:tc>
          <w:tcPr>
            <w:tcW w:type="dxa" w:w="411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 segundo caso es el de estudiantes universitarios de 18 a 25 años que vienen de otras regiones y viven en residencias o viviendas compartidas. En salud, no tienen hábitos de autocuidado; en nutrición, comen comida rápida y toman mucho café y bebidas energéticas; en su entorno, pasan horas frente a pantallas; y en prevención, se mueven poco y duermen mal.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1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Caso 2: riesgos</w:t>
            </w:r>
          </w:p>
        </w:tc>
        <w:tc>
          <w:tcPr>
            <w:tcW w:type="dxa" w:w="11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3:25 – 3:45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Carolina Jiménez Castellanos</w:t>
            </w:r>
          </w:p>
        </w:tc>
        <w:tc>
          <w:tcPr>
            <w:tcW w:type="dxa" w:w="411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Esto genera sobrepeso, sedentarismo, problemas posturales, ansiedad, insomnio y, con los años, riesgo cardiovascular. Es un riesgo por estilos de vida y psicosocial; es individual, pero se repite en muchos estudiantes. Por eso su prioridad es media-alta.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1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Caso 2: la actividad</w:t>
            </w:r>
          </w:p>
        </w:tc>
        <w:tc>
          <w:tcPr>
            <w:tcW w:type="dxa" w:w="11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3:45 – 4:05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Carolina Jiménez Castellanos</w:t>
            </w:r>
          </w:p>
        </w:tc>
        <w:tc>
          <w:tcPr>
            <w:tcW w:type="dxa" w:w="411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Proponemos la campaña “Recarga tu bienestar”, de prevención primaria y secundaria. Busca que los estudiantes cuiden su alimentación, su actividad física, su descanso y su salud mental. Lo innovador es que la feria se hace antes de los parciales y continúa con retos en redes sociales.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1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Caso 2: ¿cómo se hace?</w:t>
            </w:r>
          </w:p>
        </w:tc>
        <w:tc>
          <w:tcPr>
            <w:tcW w:type="dxa" w:w="11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4:05 – 4:25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Carolina Jiménez Castellanos</w:t>
            </w:r>
          </w:p>
        </w:tc>
        <w:tc>
          <w:tcPr>
            <w:tcW w:type="dxa" w:w="411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 feria tiene tres estaciones: tamizaje, comida rápida pero sana, y muévete y desconéctate. La atienden enfermería, nutrición, psicología y deporte, con Bienestar Universitario y la EPS. Quien tenga un riesgo se remite a atención, y se mide cuántos estudiantes fueron tamizados.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1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Caso 2: respaldo normativo y viabilidad</w:t>
            </w:r>
          </w:p>
        </w:tc>
        <w:tc>
          <w:tcPr>
            <w:tcW w:type="dxa" w:w="11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4:25 – 4:45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Carolina Jiménez Castellanos</w:t>
            </w:r>
          </w:p>
        </w:tc>
        <w:tc>
          <w:tcPr>
            <w:tcW w:type="dxa" w:w="411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 respaldan la Resolución 3280, en la juventud; las leyes 1355, de obesidad, y 2120, de etiquetado frontal; y el Decreto 729 de 2025, de salud mental. Es viable con el presupuesto de Bienestar Universitario; el reto es lograr que los estudiantes participen.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1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Caso 3: población y necesidades</w:t>
            </w:r>
          </w:p>
        </w:tc>
        <w:tc>
          <w:tcPr>
            <w:tcW w:type="dxa" w:w="11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4:45 – 5:10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Diana Milena Cárdenas Alvarado</w:t>
            </w:r>
          </w:p>
        </w:tc>
        <w:tc>
          <w:tcPr>
            <w:tcW w:type="dxa" w:w="411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 tercer caso es el de adultos mayores de un barrio periférico, con bajos ingresos; muchos viven solos. En salud, tienen hipertensión y diabetes y no siguen bien sus tratamientos; en nutrición, comen poca proteína, fruta y verdura; en su entorno, las casas tienen pisos resbalosos y poca luz; y en prevención, casi no asisten a los encuentros comunitarios.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1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Caso 3: riesgos</w:t>
            </w:r>
          </w:p>
        </w:tc>
        <w:tc>
          <w:tcPr>
            <w:tcW w:type="dxa" w:w="11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5:10 – 5:30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Diana Milena Cárdenas Alvarado</w:t>
            </w:r>
          </w:p>
        </w:tc>
        <w:tc>
          <w:tcPr>
            <w:tcW w:type="dxa" w:w="411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Los riesgos son las complicaciones de la hipertensión y la diabetes, la pérdida de masa muscular, las caídas y la soledad. Es un riesgo cardiovascular, de caídas y psicosocial. Su prioridad es alta, porque una caída o un infarto pueden quitarle la autonomía a quien vive solo.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1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Caso 3: la actividad</w:t>
            </w:r>
          </w:p>
        </w:tc>
        <w:tc>
          <w:tcPr>
            <w:tcW w:type="dxa" w:w="11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5:30 – 5:50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Diana Milena Cárdenas Alvarado</w:t>
            </w:r>
          </w:p>
        </w:tc>
        <w:tc>
          <w:tcPr>
            <w:tcW w:type="dxa" w:w="411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Proponemos el club “Envejecer con salud”, de prevención secundaria y terciaria, para personas de 60 años o más y sus cuidadores. Su objetivo es controlar las enfermedades crónicas, prevenir caídas y reducir la soledad. Lo innovador es el “vecino acompañante” y que los mayores enseñan sus oficios.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1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Caso 3: ¿cómo se hace?</w:t>
            </w:r>
          </w:p>
        </w:tc>
        <w:tc>
          <w:tcPr>
            <w:tcW w:type="dxa" w:w="11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5:50 – 6:10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Diana Milena Cárdenas Alvarado</w:t>
            </w:r>
          </w:p>
        </w:tc>
        <w:tc>
          <w:tcPr>
            <w:tcW w:type="dxa" w:w="411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Cada semana se toma la presión y la glucosa, se hacen ejercicios de fuerza y equilibrio y talleres de alimentación económica. Además, se visitan las casas para revisar riesgos de caídas. Participan enfermería, medicina, nutrición y trabajo social, con el Centro Vida, la ESE y la EPS.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1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Caso 3: respaldo normativo y viabilidad</w:t>
            </w:r>
          </w:p>
        </w:tc>
        <w:tc>
          <w:tcPr>
            <w:tcW w:type="dxa" w:w="11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6:10 – 6:30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Diana Milena Cárdenas Alvarado</w:t>
            </w:r>
          </w:p>
        </w:tc>
        <w:tc>
          <w:tcPr>
            <w:tcW w:type="dxa" w:w="411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 respaldan la Resolución 3280 en el momento de vejez, la Ley 1251, la Ley 1276, que crea los Centros Vida, y el Decreto 681 de 2022. Se financia con la estampilla del adulto mayor; el reto es llegar a quienes no pueden salir de casa.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1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Beneficios para todos</w:t>
            </w:r>
          </w:p>
        </w:tc>
        <w:tc>
          <w:tcPr>
            <w:tcW w:type="dxa" w:w="11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6:30 – 6:50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Diana Milena Cárdenas Alvarado</w:t>
            </w:r>
          </w:p>
        </w:tc>
        <w:tc>
          <w:tcPr>
            <w:tcW w:type="dxa" w:w="411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¿Cuáles son los beneficios para todos? Las personas viven más años con salud y autonomía; las familias gastan menos y tienen menos enfermos que cuidar; y el sistema ahorra hospitalizaciones y tratamientos costosos. Prevenir siempre cuesta menos que tratar una enfermedad avanzada.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1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Beneficios del sistema</w:t>
            </w:r>
          </w:p>
        </w:tc>
        <w:tc>
          <w:tcPr>
            <w:tcW w:type="dxa" w:w="11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6:50 – 7:10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Yina Vanessa Cadena Mantilla</w:t>
            </w:r>
          </w:p>
        </w:tc>
        <w:tc>
          <w:tcPr>
            <w:tcW w:type="dxa" w:w="411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Además, el sistema de salud colombiano garantiza la Ruta de Promoción y Mantenimiento, servicios de promoción y prevención sin copagos ni cuotas moderadoras, acciones gratuitas del Plan de Intervenciones Colectivas y vacunación gratuita para toda la población.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1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Cierre</w:t>
            </w:r>
          </w:p>
        </w:tc>
        <w:tc>
          <w:tcPr>
            <w:tcW w:type="dxa" w:w="11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7:10 – 7:30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Yina Vanessa Cadena Mantilla</w:t>
            </w:r>
          </w:p>
        </w:tc>
        <w:tc>
          <w:tcPr>
            <w:tcW w:type="dxa" w:w="411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Prevenir no es esperar a que llegue la enfermedad, es adelantarse a ella. Con acciones sencillas, cercanas y pensadas para cada población, es posible ganar años de vida con salud. Gracias por acompañarnos.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tcW w:type="dxa" w:w="1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Referencias</w:t>
            </w:r>
          </w:p>
        </w:tc>
        <w:tc>
          <w:tcPr>
            <w:tcW w:type="dxa" w:w="11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7:30 – 7:40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Sin voz</w:t>
            </w:r>
          </w:p>
        </w:tc>
        <w:tc>
          <w:tcPr>
            <w:tcW w:type="dxa" w:w="411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(Sin voz.)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1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Créditos</w:t>
            </w:r>
          </w:p>
        </w:tc>
        <w:tc>
          <w:tcPr>
            <w:tcW w:type="dxa" w:w="11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7:40 – 7:50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Sin voz</w:t>
            </w:r>
          </w:p>
        </w:tc>
        <w:tc>
          <w:tcPr>
            <w:tcW w:type="dxa" w:w="411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(Sin voz.)</w:t>
            </w:r>
          </w:p>
        </w:tc>
      </w:tr>
    </w:tbl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5496"/>
          <w:sz w:val="23"/>
          <w:szCs w:val="23"/>
        </w:rPr>
        <w:t xml:space="preserve">Recomendaciones para grabar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Cada integrante graba solo sus escenas: </w:t>
      </w:r>
      <w:r>
        <w:rPr>
          <w:rFonts w:ascii="Arial" w:cs="Arial" w:eastAsia="Arial" w:hAnsi="Arial"/>
          <w:sz w:val="22"/>
          <w:szCs w:val="22"/>
        </w:rPr>
        <w:t xml:space="preserve">una grabación por escena, nombrada con su número (por ejemplo, “05_Pedro.mp3”), para ubicarla fácil en la línea de tiempo.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Mismo ambiente: </w:t>
      </w:r>
      <w:r>
        <w:rPr>
          <w:rFonts w:ascii="Arial" w:cs="Arial" w:eastAsia="Arial" w:hAnsi="Arial"/>
          <w:sz w:val="22"/>
          <w:szCs w:val="22"/>
        </w:rPr>
        <w:t xml:space="preserve">lugar silencioso, celular a unos 20 cm de la boca y el mismo tipo de micrófono, para que las cuatro voces suenen parejas.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Ritmo: </w:t>
      </w:r>
      <w:r>
        <w:rPr>
          <w:rFonts w:ascii="Arial" w:cs="Arial" w:eastAsia="Arial" w:hAnsi="Arial"/>
          <w:sz w:val="22"/>
          <w:szCs w:val="22"/>
        </w:rPr>
        <w:t xml:space="preserve">cada texto está calculado para la duración de su escena; lean despacio y con naturalidad.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Identificación: </w:t>
      </w:r>
      <w:r>
        <w:rPr>
          <w:rFonts w:ascii="Arial" w:cs="Arial" w:eastAsia="Arial" w:hAnsi="Arial"/>
          <w:sz w:val="22"/>
          <w:szCs w:val="22"/>
        </w:rPr>
        <w:t xml:space="preserve">los cuatro nombres completos deben aparecer en la portada y en los créditos del video, como pide la rúbrica.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Revisión final: </w:t>
      </w:r>
      <w:r>
        <w:rPr>
          <w:rFonts w:ascii="Arial" w:cs="Arial" w:eastAsia="Arial" w:hAnsi="Arial"/>
          <w:sz w:val="22"/>
          <w:szCs w:val="22"/>
        </w:rPr>
        <w:t xml:space="preserve">vean el video completo con audífonos antes de subirlo a YouTube para confirmar que el audio se escucha bien.</w:t>
      </w:r>
    </w:p>
    <w:sectPr>
      <w:headerReference w:type="default" r:id="rId7"/>
      <w:headerReference w:type="first" r:id="rId8"/>
      <w:pgSz w:w="12240" w:h="15840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2026-10-17T15:07:19.779Z</dcterms:created>
  <dcterms:modified xsi:type="dcterms:W3CDTF">2026-10-17T15:07:19.786Z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