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jc w:val="center"/>
      </w:pPr>
      <w:r>
        <w:rPr>
          <w:rFonts w:ascii="Arial" w:cs="Arial" w:eastAsia="Arial" w:hAnsi="Arial"/>
          <w:b w:val="false"/>
          <w:bCs w:val="false"/>
          <w:sz w:val="24"/>
          <w:szCs w:val="24"/>
        </w:rPr>
        <w:t xml:space="preserve"/>
      </w:r>
    </w:p>
    <w:p>
      <w:pPr>
        <w:spacing w:after="200"/>
        <w:jc w:val="center"/>
      </w:pPr>
      <w:r>
        <w:rPr>
          <w:rFonts w:ascii="Arial" w:cs="Arial" w:eastAsia="Arial" w:hAnsi="Arial"/>
          <w:b/>
          <w:bCs/>
          <w:sz w:val="36"/>
          <w:szCs w:val="36"/>
        </w:rPr>
        <w:t xml:space="preserve">La guía no es un papel</w:t>
      </w:r>
    </w:p>
    <w:p>
      <w:pPr>
        <w:spacing w:after="900"/>
        <w:jc w:val="center"/>
      </w:pPr>
      <w:r>
        <w:rPr>
          <w:rFonts w:ascii="Arial" w:cs="Arial" w:eastAsia="Arial" w:hAnsi="Arial"/>
          <w:b w:val="false"/>
          <w:bCs w:val="false"/>
          <w:sz w:val="26"/>
          <w:szCs w:val="26"/>
        </w:rPr>
        <w:t xml:space="preserve">Análisis de la importancia de las guías y protocolos en salud</w:t>
      </w:r>
    </w:p>
    <w:p>
      <w:pPr>
        <w:spacing w:after="700"/>
        <w:jc w:val="center"/>
      </w:pPr>
      <w:r>
        <w:rPr>
          <w:rFonts w:ascii="Arial" w:cs="Arial" w:eastAsia="Arial" w:hAnsi="Arial"/>
          <w:b w:val="false"/>
          <w:bCs w:val="false"/>
          <w:sz w:val="22"/>
          <w:szCs w:val="22"/>
        </w:rPr>
        <w:t xml:space="preserve">Video</w:t>
      </w:r>
    </w:p>
    <w:p>
      <w:pPr>
        <w:spacing w:after="5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[N.º]: Video. Análisis de la importancia de las guías y protocolos en salud</w:t>
      </w:r>
    </w:p>
    <w:p>
      <w:pPr>
        <w:spacing w:after="500"/>
        <w:jc w:val="center"/>
      </w:pPr>
      <w:r>
        <w:rPr>
          <w:rFonts w:ascii="Arial" w:cs="Arial" w:eastAsia="Arial" w:hAnsi="Arial"/>
          <w:b w:val="false"/>
          <w:bCs w:val="false"/>
          <w:sz w:val="24"/>
          <w:szCs w:val="24"/>
        </w:rPr>
        <w:t xml:space="preserve">Docente: [Nombre del docente]</w:t>
      </w:r>
    </w:p>
    <w:p>
      <w:pPr>
        <w:spacing w:after="120"/>
        <w:jc w:val="center"/>
      </w:pPr>
      <w:r>
        <w:rPr>
          <w:rFonts w:ascii="Arial" w:cs="Arial" w:eastAsia="Arial" w:hAnsi="Arial"/>
          <w:b w:val="false"/>
          <w:bCs w:val="false"/>
          <w:sz w:val="24"/>
          <w:szCs w:val="24"/>
        </w:rPr>
        <w:t xml:space="preserve">Corporación Universitaria Minuto de Dios – UNIMINUTO</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Introducción</w:t>
      </w:r>
    </w:p>
    <w:p>
      <w:pPr>
        <w:spacing w:after="80" w:line="259"/>
        <w:ind w:firstLine="567"/>
        <w:jc w:val="both"/>
      </w:pPr>
      <w:r>
        <w:rPr>
          <w:rFonts w:ascii="Arial" w:cs="Arial" w:eastAsia="Arial" w:hAnsi="Arial"/>
          <w:sz w:val="22"/>
          <w:szCs w:val="22"/>
        </w:rPr>
        <w:t xml:space="preserve">Las guías de práctica clínica y los protocolos traducen la mejor evidencia científica en decisiones concretas al lado del paciente. Como señalan Arias Capote et al. (2019), reducen la variabilidad injustificada de la práctica clínica sin reemplazar el juicio del profesional, y su calidad depende de una metodología rigurosa de elaboración y actualización (Torres-Tamayo et al., 2020). Este trabajo analiza su importancia a partir de un caso real ocurrido en Santander en 2025, revisa el marco normativo colombiano por cursos de vida y el marco legal del daño médico, y propone acciones de mejora. Al final se presenta el guion del video y la guía para editarlo en Clipchamp.</w:t>
      </w:r>
    </w:p>
    <w:p>
      <w:pPr>
        <w:pStyle w:val="Heading1"/>
        <w:spacing w:after="120" w:before="240"/>
      </w:pPr>
      <w:r>
        <w:rPr>
          <w:rFonts w:ascii="Arial" w:cs="Arial" w:eastAsia="Arial" w:hAnsi="Arial"/>
          <w:b/>
          <w:bCs/>
          <w:color w:val="1F3864"/>
          <w:sz w:val="26"/>
          <w:szCs w:val="26"/>
        </w:rPr>
        <w:t xml:space="preserve">1. Situación real: muerte de una niña por dengue en Floridablanca</w:t>
      </w:r>
    </w:p>
    <w:p>
      <w:pPr>
        <w:spacing w:after="80" w:line="259"/>
        <w:ind w:firstLine="567"/>
        <w:jc w:val="both"/>
      </w:pPr>
      <w:r>
        <w:rPr>
          <w:rFonts w:ascii="Arial" w:cs="Arial" w:eastAsia="Arial" w:hAnsi="Arial"/>
          <w:sz w:val="22"/>
          <w:szCs w:val="22"/>
        </w:rPr>
        <w:t xml:space="preserve">En 2025, Santander fue el departamento con más casos de dengue del país, con más de 9.000 casos notificados (Vanguardia, 2025; El Tiempo, 2025). En ese contexto, una niña de 10 años de Floridablanca empezó con fiebre alta el 26 de octubre. Según el relato de su familia, en el primer centro de atención le aplicaron suero y le dieron salida el mismo día porque sus plaquetas estaban bien. El 28 de octubre regresó con dengue grave, fue hospitalizada e intubada, y falleció el 1 de noviembre de 2025 (El Tiempo, 2025; Infobae, 2025).</w:t>
      </w:r>
    </w:p>
    <w:p>
      <w:pPr>
        <w:spacing w:after="80" w:line="259"/>
        <w:jc w:val="both"/>
      </w:pPr>
      <w:r>
        <w:rPr>
          <w:rFonts w:ascii="Arial" w:cs="Arial" w:eastAsia="Arial" w:hAnsi="Arial"/>
          <w:b/>
          <w:bCs/>
          <w:sz w:val="22"/>
          <w:szCs w:val="22"/>
        </w:rPr>
        <w:t xml:space="preserve">Aclaración ética: </w:t>
      </w:r>
      <w:r>
        <w:rPr>
          <w:rFonts w:ascii="Arial" w:cs="Arial" w:eastAsia="Arial" w:hAnsi="Arial"/>
          <w:sz w:val="22"/>
          <w:szCs w:val="22"/>
        </w:rPr>
        <w:t xml:space="preserve">la familia denuncia una presunta negligencia y el caso está en investigación; por eso el análisis se plantea en términos de lo que la guía exige y no da por probada una falla. Por respeto a la menor, el video no usa su nombre.</w:t>
      </w:r>
    </w:p>
    <w:p>
      <w:pPr>
        <w:pStyle w:val="Heading1"/>
        <w:spacing w:after="120" w:before="240"/>
      </w:pPr>
      <w:r>
        <w:rPr>
          <w:rFonts w:ascii="Arial" w:cs="Arial" w:eastAsia="Arial" w:hAnsi="Arial"/>
          <w:b/>
          <w:bCs/>
          <w:color w:val="1F3864"/>
          <w:sz w:val="26"/>
          <w:szCs w:val="26"/>
        </w:rPr>
        <w:t xml:space="preserve">2. Proceso clínico: qué se debía hacer según la guía</w:t>
      </w:r>
    </w:p>
    <w:p>
      <w:pPr>
        <w:spacing w:after="80" w:line="259"/>
        <w:ind w:firstLine="567"/>
        <w:jc w:val="both"/>
      </w:pPr>
      <w:r>
        <w:rPr>
          <w:rFonts w:ascii="Arial" w:cs="Arial" w:eastAsia="Arial" w:hAnsi="Arial"/>
          <w:sz w:val="22"/>
          <w:szCs w:val="22"/>
        </w:rPr>
        <w:t xml:space="preserve">La Guía para la atención clínica integral del paciente con dengue del Ministerio de Salud y Protección Social, su algoritmo clínico (2019) y los algoritmos de la Organización Panamericana de la Salud (2020) establecen que todo paciente con sospecha de dengue debe clasificarse según la presencia de signos de alarma, las condiciones asociadas y el riesgo social:</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Clasificación y conducta según la guía de dengue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Grupo</w:t>
            </w:r>
          </w:p>
        </w:tc>
        <w:tc>
          <w:tcPr>
            <w:tcW w:type="dxa" w:w="393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Criterios</w:t>
            </w:r>
          </w:p>
        </w:tc>
        <w:tc>
          <w:tcPr>
            <w:tcW w:type="dxa" w:w="393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Conducta</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signos de alarma, tolera la vía oral, orina con normalidad, sin comorbilidades ni riesgo social.</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Manejo en casa con hidratación oral y acetaminofén (sin antiinflamatorios), control médico diario durante la fase crítica y signos de alarma entregados por escrito.</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 signos de alarma, o con condiciones asociadas (comorbilidades, embarazo, riesgo social).</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Hospitalización, líquidos intravenosos y vigilancia estrecha del hematocrito y los signos vitales.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Dengue grave: choque, sangrado grave o compromiso grave de órganos.</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Atención de urgencia y manejo en cuidado intensivo.</w:t>
            </w:r>
          </w:p>
        </w:tc>
      </w:tr>
    </w:tbl>
    <w:p>
      <w:pPr>
        <w:spacing w:after="80" w:line="259"/>
        <w:jc w:val="both"/>
      </w:pPr>
      <w:r>
        <w:rPr>
          <w:rFonts w:ascii="Arial" w:cs="Arial" w:eastAsia="Arial" w:hAnsi="Arial"/>
          <w:b/>
          <w:bCs/>
          <w:sz w:val="22"/>
          <w:szCs w:val="22"/>
        </w:rPr>
        <w:t xml:space="preserve">Signos de alarma: </w:t>
      </w:r>
      <w:r>
        <w:rPr>
          <w:rFonts w:ascii="Arial" w:cs="Arial" w:eastAsia="Arial" w:hAnsi="Arial"/>
          <w:sz w:val="22"/>
          <w:szCs w:val="22"/>
        </w:rPr>
        <w:t xml:space="preserve">dolor abdominal intenso y continuo, vómito persistente, acumulación de líquidos, sangrado de mucosas, somnolencia o irritabilidad, hepatomegalia y aumento progresivo del hematocrito. La fase crítica suele aparecer cuando cede la fiebre, entre el tercer y el séptimo día.</w:t>
      </w:r>
    </w:p>
    <w:p>
      <w:pPr>
        <w:spacing w:after="80" w:line="259"/>
        <w:jc w:val="both"/>
      </w:pPr>
      <w:r>
        <w:rPr>
          <w:rFonts w:ascii="Arial" w:cs="Arial" w:eastAsia="Arial" w:hAnsi="Arial"/>
          <w:b/>
          <w:bCs/>
          <w:sz w:val="22"/>
          <w:szCs w:val="22"/>
        </w:rPr>
        <w:t xml:space="preserve">Análisis frente al caso: </w:t>
      </w:r>
      <w:r>
        <w:rPr>
          <w:rFonts w:ascii="Arial" w:cs="Arial" w:eastAsia="Arial" w:hAnsi="Arial"/>
          <w:sz w:val="22"/>
          <w:szCs w:val="22"/>
        </w:rPr>
        <w:t xml:space="preserve">si se confirma el relato de la familia, la decisión de salida se habría basado en el recuento de plaquetas, un dato que por sí solo no descarta el riesgo. La guía exige clasificar por signos de alarma y, si el paciente se maneja en casa, garantizar el control en 24 horas, la educación escrita sobre signos de alarma y el registro completo en la historia clínica. La investigación del caso determinará si esto se cumplió.</w:t>
      </w:r>
    </w:p>
    <w:p>
      <w:pPr>
        <w:pStyle w:val="Heading1"/>
        <w:spacing w:after="120" w:before="240"/>
      </w:pPr>
      <w:r>
        <w:rPr>
          <w:rFonts w:ascii="Arial" w:cs="Arial" w:eastAsia="Arial" w:hAnsi="Arial"/>
          <w:b/>
          <w:bCs/>
          <w:color w:val="1F3864"/>
          <w:sz w:val="26"/>
          <w:szCs w:val="26"/>
        </w:rPr>
        <w:t xml:space="preserve">3. Marco normativo colombiano por cursos de vida</w:t>
      </w:r>
    </w:p>
    <w:p>
      <w:pPr>
        <w:spacing w:after="80" w:line="259"/>
        <w:ind w:firstLine="567"/>
        <w:jc w:val="both"/>
      </w:pPr>
      <w:r>
        <w:rPr>
          <w:rFonts w:ascii="Arial" w:cs="Arial" w:eastAsia="Arial" w:hAnsi="Arial"/>
          <w:sz w:val="22"/>
          <w:szCs w:val="22"/>
        </w:rPr>
        <w:t xml:space="preserve">En Colombia, las guías y protocolos tienen respaldo legal. La Ley 1751 de 2015 (art. 17) garantiza la autonomía profesional, pero ejercida con ética, racionalidad y evidencia científica; la Ley 1438 de 2011 (art. 94) define los estándares, guías y protocolos como referentes basados en evidencia; el Decreto 780 de 2016 incorpora el Sistema Obligatorio de Garantía de Calidad, con la auditoría para el mejoramiento (PAMEC), y la Resolución 3100 de 2019, modificada entre otras por la Resolución 465 de 2025, exige a los prestadores adoptar guías y protocolos para habilitar sus servicios. La Resolución 3280 de 2018 organiza la atención por cursos de vida mediante las Rutas Integrales de Atención en Salud (RIAS):</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Normas, guías y protocolos por curso de vida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160"/>
        <w:gridCol w:w="3100"/>
      </w:tblGrid>
      <w:tr>
        <w:trPr>
          <w:tblHeader/>
        </w:trPr>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Curso de vida</w:t>
            </w:r>
          </w:p>
        </w:tc>
        <w:tc>
          <w:tcPr>
            <w:tcW w:type="dxa" w:w="41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Normas, guías y protocolos</w:t>
            </w:r>
          </w:p>
        </w:tc>
        <w:tc>
          <w:tcPr>
            <w:tcW w:type="dxa" w:w="3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Aplicación</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Gestación</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(Ruta Integral de Atención Materno Perinatal); guías de práctica clínica de embarazo y puerperio; Ley 2244 de 2022 (parto digno).</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Control prenatal, código rojo ante hemorragia obstétrica, manejo de la preeclampsia y atención humanizada del parto.</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Primera infancia e infancia</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(valoración integral y vacunación); estrategia AIEPI; Resolución 2350 de 2020, modificada por la Resolución 115 de 2026 (desnutrición aguda); Guía de atención clínica integral del dengue.</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Crecimiento y desarrollo, enfermedades prevalentes de la infancia, desnutrición aguda y dengue en niños.</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Adolescencia y juventud</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(salud sexual y reproductiva, salud mental); Resolución 459 de 2012 (protocolo de atención a víctimas de violencia sexual); Ley 1616 de 2013 (salud mental).</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Anticoncepción, prevención del embarazo adolescente, atención de violencias y tamizaje en salud mental.</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Adultez</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(tamizajes de riesgo cardiovascular y cáncer); guías de práctica clínica de hipertensión arterial y diabetes tipo 2 del Ministerio de Salud.</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Detección temprana y control de enfermedades crónicas no transmisibles.</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Vejez</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(valoración integral de la persona mayor); Decreto 681 de 2022 (Política Pública Nacional de Envejecimiento y Vejez 2022-2031).</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Funcionalidad, prevención de caídas, control de enfermedades crónicas y atención integral.</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Vigencia verificada en fuentes oficiales y compilaciones normativas. La Resolución 459 de 2012 tiene un proyecto de reemplazo publicado en 2026 que aún no ha sido expedido.</w:t>
      </w:r>
    </w:p>
    <w:p>
      <w:pPr>
        <w:pStyle w:val="Heading1"/>
        <w:spacing w:after="120" w:before="240"/>
      </w:pPr>
      <w:r>
        <w:rPr>
          <w:rFonts w:ascii="Arial" w:cs="Arial" w:eastAsia="Arial" w:hAnsi="Arial"/>
          <w:b/>
          <w:bCs/>
          <w:color w:val="1F3864"/>
          <w:sz w:val="26"/>
          <w:szCs w:val="26"/>
        </w:rPr>
        <w:t xml:space="preserve">4. Marco legal del daño médico</w:t>
      </w:r>
    </w:p>
    <w:p>
      <w:pPr>
        <w:spacing w:after="80" w:line="259"/>
        <w:ind w:firstLine="567"/>
        <w:jc w:val="both"/>
      </w:pPr>
      <w:r>
        <w:rPr>
          <w:rFonts w:ascii="Arial" w:cs="Arial" w:eastAsia="Arial" w:hAnsi="Arial"/>
          <w:sz w:val="22"/>
          <w:szCs w:val="22"/>
        </w:rPr>
        <w:t xml:space="preserve">Cuando la falta de adherencia a una guía o protocolo causa un daño, pueden surgir cuatro tipos de responsabilidad:</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Tipos de responsabilidad por daño en la atención en salud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Tipo</w:t>
            </w:r>
          </w:p>
        </w:tc>
        <w:tc>
          <w:tcPr>
            <w:tcW w:type="dxa" w:w="32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Fundamento</w:t>
            </w:r>
          </w:p>
        </w:tc>
        <w:tc>
          <w:tcPr>
            <w:tcW w:type="dxa" w:w="4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Consecuencia</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Civil</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Código Civil, art. 2341 (responsabilidad extracontractual) y responsabilidad contractual con el paciente.</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Indemnizar los perjuicios materiales y morales causados al paciente y a su familia.</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Penal</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599 de 2000 (Código Penal), arts. 109 (homicidio culposo) y 120 (lesiones personales culposas).</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Prisión, multa e inhabilidad para ejercer la profesión.</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Ético-disciplinaria</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23 de 1981 (ética médica) y Ley 911 de 2004 (ética de enfermería), con sus tribunales de ética.</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Amonestación, censura o suspensión del ejercicio profesional.</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Administrativa</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Constitución Política, art. 90 (responsabilidad patrimonial del Estado), medio de control de reparación directa y Ley 1949 de 2019 (régimen sancionatorio de la Supersalud).</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Condena patrimonial de la institución pública; multas y medidas de la Superintendencia Nacional de Salud contra la EPS o la IPS.</w:t>
            </w:r>
          </w:p>
        </w:tc>
      </w:tr>
    </w:tbl>
    <w:p>
      <w:pPr>
        <w:spacing w:after="80" w:line="259"/>
        <w:ind w:firstLine="567"/>
        <w:jc w:val="both"/>
      </w:pPr>
      <w:r>
        <w:rPr>
          <w:rFonts w:ascii="Arial" w:cs="Arial" w:eastAsia="Arial" w:hAnsi="Arial"/>
          <w:sz w:val="22"/>
          <w:szCs w:val="22"/>
        </w:rPr>
        <w:t xml:space="preserve">La jurisprudencia del Consejo de Estado aplica a la actividad médica el régimen de la falla probada del servicio, y en general la obligación del médico se entiende como de medios y no de resultados: no se le exige curar, sino actuar con la diligencia de la lex artis. Para que exista responsabilidad deben probarse el daño, la falla y el nexo causal. En ese análisis, las guías de práctica clínica son el referente con el que se compara la atención, y la historia clínica (Resolución 1995 de 1999) es la prueba de si se siguieron y de por qué se tomaron las decisiones.</w:t>
      </w:r>
    </w:p>
    <w:p>
      <w:pPr>
        <w:pStyle w:val="Heading1"/>
        <w:spacing w:after="120" w:before="240"/>
      </w:pPr>
      <w:r>
        <w:rPr>
          <w:rFonts w:ascii="Arial" w:cs="Arial" w:eastAsia="Arial" w:hAnsi="Arial"/>
          <w:b/>
          <w:bCs/>
          <w:color w:val="1F3864"/>
          <w:sz w:val="26"/>
          <w:szCs w:val="26"/>
        </w:rPr>
        <w:t xml:space="preserve">5. Análisis crítico y acciones de mejora</w:t>
      </w:r>
    </w:p>
    <w:p>
      <w:pPr>
        <w:pStyle w:val="Heading2"/>
        <w:spacing w:after="100" w:before="180"/>
      </w:pPr>
      <w:r>
        <w:rPr>
          <w:rFonts w:ascii="Arial" w:cs="Arial" w:eastAsia="Arial" w:hAnsi="Arial"/>
          <w:b/>
          <w:bCs/>
          <w:color w:val="2E5496"/>
          <w:sz w:val="23"/>
          <w:szCs w:val="23"/>
        </w:rPr>
        <w:t xml:space="preserve">5.1 Barreras para cumplir la guía</w:t>
      </w:r>
    </w:p>
    <w:p>
      <w:pPr>
        <w:pStyle w:val="ListParagraph"/>
        <w:numPr>
          <w:ilvl w:val="0"/>
          <w:numId w:val="2"/>
        </w:numPr>
        <w:spacing w:after="60" w:line="290"/>
        <w:jc w:val="both"/>
      </w:pPr>
      <w:r>
        <w:rPr>
          <w:rFonts w:ascii="Arial" w:cs="Arial" w:eastAsia="Arial" w:hAnsi="Arial"/>
          <w:b/>
          <w:bCs/>
          <w:sz w:val="22"/>
          <w:szCs w:val="22"/>
        </w:rPr>
        <w:t xml:space="preserve">Recursos: </w:t>
      </w:r>
      <w:r>
        <w:rPr>
          <w:rFonts w:ascii="Arial" w:cs="Arial" w:eastAsia="Arial" w:hAnsi="Arial"/>
          <w:sz w:val="22"/>
          <w:szCs w:val="22"/>
        </w:rPr>
        <w:t xml:space="preserve">servicios de urgencias saturados durante la epidemia y acceso limitado a laboratorio de control.</w:t>
      </w:r>
    </w:p>
    <w:p>
      <w:pPr>
        <w:pStyle w:val="ListParagraph"/>
        <w:numPr>
          <w:ilvl w:val="0"/>
          <w:numId w:val="2"/>
        </w:numPr>
        <w:spacing w:after="60" w:line="290"/>
        <w:jc w:val="both"/>
      </w:pPr>
      <w:r>
        <w:rPr>
          <w:rFonts w:ascii="Arial" w:cs="Arial" w:eastAsia="Arial" w:hAnsi="Arial"/>
          <w:b/>
          <w:bCs/>
          <w:sz w:val="22"/>
          <w:szCs w:val="22"/>
        </w:rPr>
        <w:t xml:space="preserve">Capacitación: </w:t>
      </w:r>
      <w:r>
        <w:rPr>
          <w:rFonts w:ascii="Arial" w:cs="Arial" w:eastAsia="Arial" w:hAnsi="Arial"/>
          <w:sz w:val="22"/>
          <w:szCs w:val="22"/>
        </w:rPr>
        <w:t xml:space="preserve">rotación del personal y desconocimiento de la clasificación por signos de alarma.</w:t>
      </w:r>
    </w:p>
    <w:p>
      <w:pPr>
        <w:pStyle w:val="ListParagraph"/>
        <w:numPr>
          <w:ilvl w:val="0"/>
          <w:numId w:val="2"/>
        </w:numPr>
        <w:spacing w:after="60" w:line="290"/>
        <w:jc w:val="both"/>
      </w:pPr>
      <w:r>
        <w:rPr>
          <w:rFonts w:ascii="Arial" w:cs="Arial" w:eastAsia="Arial" w:hAnsi="Arial"/>
          <w:b/>
          <w:bCs/>
          <w:sz w:val="22"/>
          <w:szCs w:val="22"/>
        </w:rPr>
        <w:t xml:space="preserve">Cultura de seguridad: </w:t>
      </w:r>
      <w:r>
        <w:rPr>
          <w:rFonts w:ascii="Arial" w:cs="Arial" w:eastAsia="Arial" w:hAnsi="Arial"/>
          <w:sz w:val="22"/>
          <w:szCs w:val="22"/>
        </w:rPr>
        <w:t xml:space="preserve">decisiones basadas en un solo dato de laboratorio y poco reporte de eventos adversos.</w:t>
      </w:r>
    </w:p>
    <w:p>
      <w:pPr>
        <w:pStyle w:val="ListParagraph"/>
        <w:numPr>
          <w:ilvl w:val="0"/>
          <w:numId w:val="2"/>
        </w:numPr>
        <w:spacing w:after="60" w:line="290"/>
        <w:jc w:val="both"/>
      </w:pPr>
      <w:r>
        <w:rPr>
          <w:rFonts w:ascii="Arial" w:cs="Arial" w:eastAsia="Arial" w:hAnsi="Arial"/>
          <w:b/>
          <w:bCs/>
          <w:sz w:val="22"/>
          <w:szCs w:val="22"/>
        </w:rPr>
        <w:t xml:space="preserve">Liderazgo: </w:t>
      </w:r>
      <w:r>
        <w:rPr>
          <w:rFonts w:ascii="Arial" w:cs="Arial" w:eastAsia="Arial" w:hAnsi="Arial"/>
          <w:sz w:val="22"/>
          <w:szCs w:val="22"/>
        </w:rPr>
        <w:t xml:space="preserve">falta de medición de la adherencia a las guías y de seguimiento por parte de la dirección.</w:t>
      </w:r>
    </w:p>
    <w:p>
      <w:pPr>
        <w:pStyle w:val="Heading2"/>
        <w:spacing w:after="100" w:before="180"/>
      </w:pPr>
      <w:r>
        <w:rPr>
          <w:rFonts w:ascii="Arial" w:cs="Arial" w:eastAsia="Arial" w:hAnsi="Arial"/>
          <w:b/>
          <w:bCs/>
          <w:color w:val="2E5496"/>
          <w:sz w:val="23"/>
          <w:szCs w:val="23"/>
        </w:rPr>
        <w:t xml:space="preserve">5.2 Acciones de mejora realistas</w:t>
      </w:r>
    </w:p>
    <w:p>
      <w:pPr>
        <w:keepNext/>
        <w:spacing w:after="60" w:before="120"/>
      </w:pPr>
      <w:r>
        <w:rPr>
          <w:rFonts w:ascii="Arial" w:cs="Arial" w:eastAsia="Arial" w:hAnsi="Arial"/>
          <w:b/>
          <w:bCs/>
          <w:sz w:val="20"/>
          <w:szCs w:val="20"/>
        </w:rPr>
        <w:t xml:space="preserve">Tabla 4</w:t>
      </w:r>
    </w:p>
    <w:p>
      <w:pPr>
        <w:keepNext/>
        <w:spacing w:after="80"/>
      </w:pPr>
      <w:r>
        <w:rPr>
          <w:rFonts w:ascii="Arial" w:cs="Arial" w:eastAsia="Arial" w:hAnsi="Arial"/>
          <w:i/>
          <w:iCs/>
          <w:sz w:val="20"/>
          <w:szCs w:val="20"/>
        </w:rPr>
        <w:t xml:space="preserve">Plan de mejora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60"/>
        <w:gridCol w:w="2900"/>
      </w:tblGrid>
      <w:tr>
        <w:trPr>
          <w:tblHeader/>
        </w:trPr>
        <w:tc>
          <w:tcPr>
            <w:tcW w:type="dxa" w:w="26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Acción</w:t>
            </w:r>
          </w:p>
        </w:tc>
        <w:tc>
          <w:tcPr>
            <w:tcW w:type="dxa" w:w="38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Descripción</w:t>
            </w:r>
          </w:p>
        </w:tc>
        <w:tc>
          <w:tcPr>
            <w:tcW w:type="dxa" w:w="29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Indicador</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Capacitación en GPC y RIAS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 de la guía de dengue con casos reales para el personal de urgencias y consulta externa.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personal capacitado</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Estandarización de formatos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Hoja de egreso con signos de alarma y cita de control en 24 horas para todo paciente con dengue que se maneje en casa.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Reconsultas en menos de 72 horas</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Auditorías internas (PAMEC)</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Revisión mensual de una muestra de historias clínicas de pacientes con dengue.</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a la guía (meta: 90 % o más)</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Simulacros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Simulacro trimestral de atención del dengue grave y del choque.</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Tiempo del triage a la valoración médica</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Análisis de casos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Unidad de análisis de toda muerte por dengue, con enfoque de aprendizaje y no de culpa.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Eventos adversos analizados; letalidad por dengue</w:t>
            </w:r>
          </w:p>
        </w:tc>
      </w:tr>
    </w:tbl>
    <w:p>
      <w:pPr>
        <w:pStyle w:val="Heading1"/>
        <w:spacing w:after="120" w:before="240"/>
      </w:pPr>
      <w:r>
        <w:rPr>
          <w:rFonts w:ascii="Arial" w:cs="Arial" w:eastAsia="Arial" w:hAnsi="Arial"/>
          <w:b/>
          <w:bCs/>
          <w:color w:val="1F3864"/>
          <w:sz w:val="26"/>
          <w:szCs w:val="26"/>
        </w:rPr>
        <w:t xml:space="preserve">6. Postura sobre el papel de las guías y protocolos</w:t>
      </w:r>
    </w:p>
    <w:p>
      <w:pPr>
        <w:spacing w:after="80" w:line="259"/>
        <w:ind w:firstLine="567"/>
        <w:jc w:val="both"/>
      </w:pPr>
      <w:r>
        <w:rPr>
          <w:rFonts w:ascii="Arial" w:cs="Arial" w:eastAsia="Arial" w:hAnsi="Arial"/>
          <w:sz w:val="22"/>
          <w:szCs w:val="22"/>
        </w:rPr>
        <w:t xml:space="preserve">Considero que las guías no limitan la autonomía médica, sino que le dan un piso común de calidad. Son el piso, no el techo: garantizan que todos los pacientes reciban como mínimo la atención que la evidencia ha demostrado efectiva y dejan espacio al juicio clínico para adaptar las decisiones a cada persona. Apartarse de una guía es posible, pero debe estar justificado y registrado en la historia clínica. Así entendidas, las guías son una herramienta central de la seguridad del paciente, porque convierten el conocimiento en barreras concretas contra el error.</w:t>
      </w:r>
    </w:p>
    <w:p>
      <w:pPr>
        <w:pStyle w:val="Heading1"/>
        <w:spacing w:after="120" w:before="240"/>
      </w:pPr>
      <w:r>
        <w:rPr>
          <w:rFonts w:ascii="Arial" w:cs="Arial" w:eastAsia="Arial" w:hAnsi="Arial"/>
          <w:b/>
          <w:bCs/>
          <w:color w:val="1F3864"/>
          <w:sz w:val="26"/>
          <w:szCs w:val="26"/>
        </w:rPr>
        <w:t xml:space="preserve">7. Respuesta a las preguntas orientadoras</w:t>
      </w:r>
    </w:p>
    <w:p>
      <w:pPr>
        <w:spacing w:after="80" w:line="259"/>
        <w:jc w:val="both"/>
      </w:pPr>
      <w:r>
        <w:rPr>
          <w:rFonts w:ascii="Arial" w:cs="Arial" w:eastAsia="Arial" w:hAnsi="Arial"/>
          <w:b/>
          <w:bCs/>
          <w:sz w:val="22"/>
          <w:szCs w:val="22"/>
        </w:rPr>
        <w:t xml:space="preserve">¿Cuál es la importancia de la adherencia a guías y protocolos según el marco legal? </w:t>
      </w:r>
      <w:r>
        <w:rPr>
          <w:rFonts w:ascii="Arial" w:cs="Arial" w:eastAsia="Arial" w:hAnsi="Arial"/>
          <w:sz w:val="22"/>
          <w:szCs w:val="22"/>
        </w:rPr>
        <w:t xml:space="preserve">La adherencia protege al paciente, porque reduce la variabilidad y los errores; protege al profesional, porque demuestra que actuó conforme a la lex artis, y protege a la institución, porque es un requisito de habilitación y del Sistema Obligatorio de Garantía de Calidad (Ley 1751 de 2015, art. 17; Ley 1438 de 2011, art. 94; Resolución 3100 de 2019).</w:t>
      </w:r>
    </w:p>
    <w:p>
      <w:pPr>
        <w:spacing w:after="80" w:line="259"/>
        <w:jc w:val="both"/>
      </w:pPr>
      <w:r>
        <w:rPr>
          <w:rFonts w:ascii="Arial" w:cs="Arial" w:eastAsia="Arial" w:hAnsi="Arial"/>
          <w:b/>
          <w:bCs/>
          <w:sz w:val="22"/>
          <w:szCs w:val="22"/>
        </w:rPr>
        <w:t xml:space="preserve">¿Cuáles son las repercusiones de la falta de adherencia en una institución de salud? </w:t>
      </w:r>
      <w:r>
        <w:rPr>
          <w:rFonts w:ascii="Arial" w:cs="Arial" w:eastAsia="Arial" w:hAnsi="Arial"/>
          <w:sz w:val="22"/>
          <w:szCs w:val="22"/>
        </w:rPr>
        <w:t xml:space="preserve">Clínicas (complicaciones, secuelas y muertes evitables), éticas (pérdida de confianza de la comunidad y afectación de los profesionales como segundas víctimas), legales (demandas, condenas penales y sanciones ético-disciplinarias y de la Supersalud) e institucionales (mayores costos, daño a la reputación y riesgo para la habilitación y la acreditación).</w:t>
      </w:r>
    </w:p>
    <w:p>
      <w:r>
        <w:br w:type="page"/>
      </w:r>
    </w:p>
    <w:p>
      <w:pPr>
        <w:pStyle w:val="Heading1"/>
        <w:spacing w:after="120" w:before="240"/>
      </w:pPr>
      <w:r>
        <w:rPr>
          <w:rFonts w:ascii="Arial" w:cs="Arial" w:eastAsia="Arial" w:hAnsi="Arial"/>
          <w:b/>
          <w:bCs/>
          <w:color w:val="1F3864"/>
          <w:sz w:val="26"/>
          <w:szCs w:val="26"/>
        </w:rPr>
        <w:t xml:space="preserve">8. Guion del video</w:t>
      </w:r>
    </w:p>
    <w:p>
      <w:pPr>
        <w:spacing w:after="80" w:line="259"/>
        <w:jc w:val="both"/>
      </w:pPr>
      <w:r>
        <w:rPr>
          <w:rFonts w:ascii="Arial" w:cs="Arial" w:eastAsia="Arial" w:hAnsi="Arial"/>
          <w:b/>
          <w:bCs/>
          <w:sz w:val="22"/>
          <w:szCs w:val="22"/>
        </w:rPr>
        <w:t xml:space="preserve">Duración total: </w:t>
      </w:r>
      <w:r>
        <w:rPr>
          <w:rFonts w:ascii="Arial" w:cs="Arial" w:eastAsia="Arial" w:hAnsi="Arial"/>
          <w:sz w:val="22"/>
          <w:szCs w:val="22"/>
        </w:rPr>
        <w:t xml:space="preserve">7:42 (23 escenas), dentro del rango de 5 a 8 minutos. </w:t>
      </w:r>
      <w:r>
        <w:rPr>
          <w:rFonts w:ascii="Arial" w:cs="Arial" w:eastAsia="Arial" w:hAnsi="Arial"/>
          <w:b/>
          <w:bCs/>
          <w:sz w:val="22"/>
          <w:szCs w:val="22"/>
        </w:rPr>
        <w:t xml:space="preserve">Formato: </w:t>
      </w:r>
      <w:r>
        <w:rPr>
          <w:rFonts w:ascii="Arial" w:cs="Arial" w:eastAsia="Arial" w:hAnsi="Arial"/>
          <w:sz w:val="22"/>
          <w:szCs w:val="22"/>
        </w:rPr>
        <w:t xml:space="preserve">video editado en Clipchamp con tarjetas gráficas propias (diagramas y tablas), videos de stock de la biblioteca de Clipchamp, textos en pantalla, voz en off y música de fondo. </w:t>
      </w:r>
      <w:r>
        <w:rPr>
          <w:rFonts w:ascii="Arial" w:cs="Arial" w:eastAsia="Arial" w:hAnsi="Arial"/>
          <w:b/>
          <w:bCs/>
          <w:sz w:val="22"/>
          <w:szCs w:val="22"/>
        </w:rPr>
        <w:t xml:space="preserve">Escenario: </w:t>
      </w:r>
      <w:r>
        <w:rPr>
          <w:rFonts w:ascii="Arial" w:cs="Arial" w:eastAsia="Arial" w:hAnsi="Arial"/>
          <w:sz w:val="22"/>
          <w:szCs w:val="22"/>
        </w:rPr>
        <w:t xml:space="preserve">servicios de urgencias y consulta, representados con videos de stock de hospitales y de atención de pacientes.</w:t>
      </w:r>
    </w:p>
    <w:p>
      <w:pPr>
        <w:keepNext/>
        <w:spacing w:after="60" w:before="120"/>
      </w:pPr>
      <w:r>
        <w:rPr>
          <w:rFonts w:ascii="Arial" w:cs="Arial" w:eastAsia="Arial" w:hAnsi="Arial"/>
          <w:b/>
          <w:bCs/>
          <w:sz w:val="20"/>
          <w:szCs w:val="20"/>
        </w:rPr>
        <w:t xml:space="preserve">Tabla 5</w:t>
      </w:r>
    </w:p>
    <w:p>
      <w:pPr>
        <w:keepNext/>
        <w:spacing w:after="80"/>
      </w:pPr>
      <w:r>
        <w:rPr>
          <w:rFonts w:ascii="Arial" w:cs="Arial" w:eastAsia="Arial" w:hAnsi="Arial"/>
          <w:i/>
          <w:iCs/>
          <w:sz w:val="20"/>
          <w:szCs w:val="20"/>
        </w:rPr>
        <w:t xml:space="preserve">Guion técnico del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50"/>
        <w:gridCol w:w="2350"/>
        <w:gridCol w:w="2050"/>
        <w:gridCol w:w="1610"/>
        <w:gridCol w:w="100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8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23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Imagen (bosquejo)</w:t>
            </w:r>
          </w:p>
        </w:tc>
        <w:tc>
          <w:tcPr>
            <w:tcW w:type="dxa" w:w="2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en pantalla</w:t>
            </w:r>
          </w:p>
        </w:tc>
        <w:tc>
          <w:tcPr>
            <w:tcW w:type="dxa" w:w="161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Audio</w:t>
            </w:r>
          </w:p>
        </w:tc>
        <w:tc>
          <w:tcPr>
            <w:tcW w:type="dxa" w:w="1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 Portada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0:08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Tarjeta de portada: título, tema, logo de UNIMINUTO, nombre, curso y semana.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no es un papel · Análisis de la importancia de las guías y protocolos en salud</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apertura (piano y cuerdas).</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 Presentación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0:08 – 0:28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 pasillo de hospital; panel lateral con el nombre y el objetivo. Video de stock: “hospital corridor”.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 caso real · Santander, 2025</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 Guía, protocolo y algoritmo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0:28 – 0:50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tarjetas con íconos: libro (guía), lista de chequeo (protocolo) y flechas de decisión (algoritmo).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 Protocolo · Algoritmo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 ¿Cómo se construye una guía?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0:50 – 1:10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Flujo de cinco pasos con flechas: pregunta clínica, búsqueda de evidencia, calificación, recomendaciones y actualización.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Pregunta → Evidencia → Calificación → Recomendación → Actualización</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 Contexto: dengue en Santander</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1:10 – 1:30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 mosquito o de fumigación; panel con la cifra destacada. Video de stock: “mosquito”.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Santander, 2025: más de 9.000 casos de dengue</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 El caso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1:30 – 1:52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 tiempo del 26 de octubre al 1 de noviembre de 2025, con la fuente y la aclaración de que el caso está en investigación.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Floridablanca, octubre de 2025 · Caso en investigación</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 Lo que dice la guía: clasificación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1:52 – 2:17</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columnas de colores: grupo A (casa con control diario), grupo B (hospitalización) y grupo C (cuidado intensivo).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Grupo A · Grupo B · Grupo C</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 Signos de alarma y fase crítica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2:17 – 2:39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signos de alarma con íconos y una barra de días de enfermedad que resalta la fase crítica (días 3 a 7).</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fase crítica llega cuando baja la fiebre · Plaquetas normales no descartan el riesgo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 La guía frente al caso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2:39 – 3:01</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Comparación en dos columnas: lo que exige la guía y lo que reporta la familia.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exige la guía · Lo que reporta la familia</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 Marco normativo general</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3:01 – 3:26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bloques de normas con su año y lo que exige cada una.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1751 de 2015 · Ley 1438 de 2011 · Decreto 780 de 2016 · Resolución 3100 de 2019</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 Cursos de vida: gestación e infancia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3:26 – 3:48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del curso de vida (gestación → infancia) con las normas y guías de cada momento.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Gestación · Primera infancia e infancia</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 Cursos de vida: adolescencia a vejez</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3:48 – 4:12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Continuación de la línea del curso de vida (adolescencia → adultez → vejez) con sus normas y guías.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Adolescencia y juventud · Adultez · Vejez</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24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 Marco legal del daño médico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4:12 – 4:37</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tarjetas: responsabilidad civil, penal, ético-disciplinaria y administrativa, con su norma.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Civil · Penal · Ético-disciplinaria · Administrativa</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 La guía como prueba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4:37 – 4:59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Ecuación visual: daño + falla + nexo causal = responsabilidad; debajo, la historia clínica como prueba.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Daño + Falla + Nexo causal · Obligación de medios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 Consecuencias de no adherirse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4:59 – 5:19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íconos en fila: clínicas, éticas, legales e institucionales.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clínicas · éticas · legales · institucionales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 Barreras para cumplir la guía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5:19 – 5:39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una sala de urgencias congestionada; panel con las cuatro barreras. Video de stock: “busy emergency room”.</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Recursos · Capacitación · Cultura de seguridad · Liderazgo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reflexiva.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 Acciones de mejora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5:39 – 6:04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chequeo con cinco acciones de mejora y sus responsables.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Capacitación · Formatos · Auditorías · Simulacros · Análisis de casos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 Indicadores de seguimiento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6:04 – 6:24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Tablero de cinco indicadores con su fórmula y meta.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 Reconsultas · Eventos adversos · Tiempos · Letalidad</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 Mi postura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6:24 – 6:49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Balanza: a un lado lo que aporta la guía y al otro su límite; abajo, la postura personal.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es el piso, no el techo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reflexiva.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 Importancia según el marco legal</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6:49 – 7:09</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escudos: protege al paciente, al profesional y a la institución.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 seguridad del paciente</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 Cierre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7:09 – 7:24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una médica atendiendo a un niño; frase final. Video de stock: “doctor child patient”.</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bien aplicada es una decisión a tiempo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crece y se desvanece.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 Referencias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7:24 – 7:34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referencias en dos columnas.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 Créditos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7:34 – 7:42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 autora, curso, docente, imágenes, música y edición.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se desvanece.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8 s</w:t>
            </w:r>
          </w:p>
        </w:tc>
      </w:tr>
    </w:tbl>
    <w:p>
      <w:pPr>
        <w:pStyle w:val="Heading1"/>
        <w:spacing w:after="120" w:before="240"/>
      </w:pPr>
      <w:r>
        <w:rPr>
          <w:rFonts w:ascii="Arial" w:cs="Arial" w:eastAsia="Arial" w:hAnsi="Arial"/>
          <w:b/>
          <w:bCs/>
          <w:color w:val="1F3864"/>
          <w:sz w:val="26"/>
          <w:szCs w:val="26"/>
        </w:rPr>
        <w:t xml:space="preserve">9. Texto de la voz en off</w:t>
      </w:r>
    </w:p>
    <w:p>
      <w:pPr>
        <w:spacing w:after="80" w:line="259"/>
        <w:jc w:val="both"/>
      </w:pPr>
      <w:r>
        <w:rPr>
          <w:rFonts w:ascii="Arial" w:cs="Arial" w:eastAsia="Arial" w:hAnsi="Arial"/>
          <w:sz w:val="22"/>
          <w:szCs w:val="22"/>
        </w:rPr>
        <w:t xml:space="preserve">Cada texto está calculado para la duración de su escena. Lea despacio y con naturalidad; si le sobra tiempo, deje la tarjeta unos segundos más en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300"/>
        <w:gridCol w:w="5260"/>
      </w:tblGrid>
      <w:tr>
        <w:trPr>
          <w:tblHeader/>
        </w:trPr>
        <w:tc>
          <w:tcPr>
            <w:tcW w:type="dxa" w:w="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N.º</w:t>
            </w:r>
          </w:p>
        </w:tc>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1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52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para leer</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Portada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0:08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Solo música.)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Presentación</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0:08 – 0:28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Hola, soy Yina Vanessa Cadena Mantilla, estudiante de la Especialización en Gerencia y Auditoría de la Calidad en Salud de UNIMINUTO. En este video analizo, a partir de un caso real de Santander, por qué seguir las guías y los protocolos puede salvar una vida.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protocolo y algoritmo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0:28 – 0:50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Primero, tres conceptos. Una guía de práctica clínica reúne recomendaciones basadas en la mejor evidencia. Un protocolo las adapta a cada institución y dice quién hace qué. Y un algoritmo resume las decisiones paso a paso. Ninguno reemplaza el juicio clínico: lo orientan.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¿Cómo se construye una guía?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0:50 – 1:10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no se escribe por opinión. Según Torres-Tamayo y colaboradores, parte de preguntas clínicas concretas, busca y califica la evidencia, formula recomendaciones con un grupo de expertos y se actualiza periódicamente. Por eso es confiable.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Contexto: dengue en Santander</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1:10 – 1:30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 ocurrió en Santander, el departamento con más casos de dengue del país en 2025, con más de nueve mil casos notificados. En medio de esa epidemia, la guía de dengue era la herramienta clave para decidir quién podía irse a casa y quién no.</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1:30 – 1:52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octubre de 2025, una niña de diez años de Floridablanca empezó con fiebre alta. Según su familia, en el primer centro le aplicaron suero y la enviaron a casa porque sus plaquetas estaban bien. Un día después regresó con dengue grave, fue intubada y murió el 1 de noviembre.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dice la guía: clasificación</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1:52 – 2:17</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¿Qué dice la guía? Todo paciente con dengue se clasifica en tres grupos. El grupo A puede manejarse en casa, pero con control médico diario. El grupo B, con signos de alarma o condiciones de riesgo, debe hospitalizarse. Y el grupo C, con dengue grave, necesita cuidado intensivo.</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Signos de alarma y fase crítica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2:17 – 2:39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advierte que el momento más peligroso llega cuando la fiebre baja, entre el tercer y el séptimo día. Por eso, quien se va a casa debe recibir por escrito los signos de alarma, como dolor abdominal intenso, vómito o sangrados, y volver de inmediato si aparecen.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frente al caso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2:39 – 3:01</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 el relato de la familia se confirma, la decisión se basó en las plaquetas, un dato que por sí solo no descarta el riesgo. La guía pide clasificar por signos de alarma y asegurar el control diario. Solo la investigación dirá si hubo una falla.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normativo general</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3:01 – 3:26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Colombia, seguir las guías no es opcional. La Ley 1751 de 2015 garantiza la autonomía médica, pero dentro de la ética y la evidencia científica. La Ley 1438 de 2011 define las guías como referentes basados en evidencia, y la Resolución 3100 de 2019 exige adoptarlas para habilitar los servicios.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gestación e infancia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3:26 – 3:48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normatividad también organiza las guías por cursos de vida. En la gestación, la Resolución 3280 de 2018 adopta la Ruta Materno Perinatal, y las guías de embarazo incluyen el código rojo. En la infancia, la ruta define la valoración integral, y la Resolución 2350 de 2020 orienta la atención de la desnutrición aguda.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adolescencia a vejez</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3:48 – 4:12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la adolescencia y la juventud, la ruta incluye la salud sexual y mental, y la Resolución 459 de 2012 fija el protocolo para víctimas de violencia sexual. En la adultez, las guías de hipertensión y diabetes orientan el control del riesgo cardiovascular. Y en la vejez, se suma el Decreto 681 de 2022.</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legal del daño médico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4:12 – 4:37</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Cuando no se sigue una guía y se causa un daño, la responsabilidad puede ser de cuatro tipos: civil, que obliga a reparar los perjuicios; penal, por homicidio o lesiones culposas; ético-disciplinaria, ante los tribunales de ética; y administrativa, cuando responde una institución pública, además de las sanciones de la Supersalud.</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como prueba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4:37 – 4:59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Para que haya responsabilidad deben probarse tres cosas: el daño, la falla y la relación entre ambos. La obligación del médico es de medios, no de resultados; por eso los jueces comparan la atención con la lex artis, y las guías y la historia clínica son la prueba.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de no adherirse</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4:59 – 5:19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¿Qué pasa cuando una institución no se adhiere a sus guías? Hay consecuencias clínicas, como complicaciones y muertes evitables; éticas, como la pérdida de confianza; legales, como demandas y sanciones; e institucionales, como mayores costos y daño a su reputación.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Barreras para cumplir la guía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5:19 – 5:39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casos como este, las barreras suelen repetirse: urgencias saturadas durante la epidemia, personal que rota y no conoce la guía, una cultura que decide por un solo dato de laboratorio, y líderes que no miden la adherencia.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Acciones de mejora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5:39 – 6:04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Propongo acciones realistas: capacitar al personal en la guía de dengue y en las rutas integrales; estandarizar una hoja de egreso con los signos de alarma y la cita de control en 24 horas; hacer auditorías internas de historias clínicas dentro del PAMEC; y realizar simulacros de dengue grave.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Indicadores de seguimiento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6:04 – 6:24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Y para saber si funciona, se miden indicadores: el porcentaje de adherencia a la guía, las reconsultas en menos de 72 horas, los eventos adversos, el tiempo de atención en urgencias y la letalidad por dengue.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Mi postura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6:24 – 6:49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¿Las guías limitan la autonomía médica? Mi postura es que no. La guía es el piso, no el techo: garantiza un mínimo de calidad para todos y deja espacio al juicio clínico. Apartarse de ella es posible, pero debe justificarse y quedar escrito en la historia clínica.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Importancia según el marco legal</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6:49 – 7:09</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 eso, según el marco legal, la adherencia a las guías es clave: protege al paciente, porque reduce errores; protege al profesional, porque demuestra que actuó con diligencia; y protege a la institución, porque es parte de la calidad que exige el sistema.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Cierre</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7:09 – 7:24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bien aplicada es una decisión tomada a tiempo. Y en salud, decidir a tiempo es la diferencia entre volver a casa y no volver. Gracias.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7:24 – 7:34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7:34 – 7:42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w:t>
            </w:r>
          </w:p>
        </w:tc>
      </w:tr>
    </w:tbl>
    <w:p>
      <w:r>
        <w:br w:type="page"/>
      </w:r>
    </w:p>
    <w:p>
      <w:pPr>
        <w:pStyle w:val="Heading1"/>
        <w:spacing w:after="120" w:before="240"/>
      </w:pPr>
      <w:r>
        <w:rPr>
          <w:rFonts w:ascii="Arial" w:cs="Arial" w:eastAsia="Arial" w:hAnsi="Arial"/>
          <w:b/>
          <w:bCs/>
          <w:color w:val="1F3864"/>
          <w:sz w:val="26"/>
          <w:szCs w:val="26"/>
        </w:rPr>
        <w:t xml:space="preserve">10. Cómo armar el video en Clipchamp</w:t>
      </w:r>
    </w:p>
    <w:p>
      <w:pPr>
        <w:pStyle w:val="ListParagraph"/>
        <w:numPr>
          <w:ilvl w:val="0"/>
          <w:numId w:val="2"/>
        </w:numPr>
        <w:spacing w:after="60" w:line="290"/>
        <w:jc w:val="both"/>
      </w:pPr>
      <w:r>
        <w:rPr>
          <w:rFonts w:ascii="Arial" w:cs="Arial" w:eastAsia="Arial" w:hAnsi="Arial"/>
          <w:b/>
          <w:bCs/>
          <w:sz w:val="22"/>
          <w:szCs w:val="22"/>
        </w:rPr>
        <w:t xml:space="preserve">Crear el proyecto: </w:t>
      </w:r>
      <w:r>
        <w:rPr>
          <w:rFonts w:ascii="Arial" w:cs="Arial" w:eastAsia="Arial" w:hAnsi="Arial"/>
          <w:sz w:val="22"/>
          <w:szCs w:val="22"/>
        </w:rPr>
        <w:t xml:space="preserve">en Clipchamp, cree un video nuevo en formato 16:9 (1920 × 1080).</w:t>
      </w:r>
    </w:p>
    <w:p>
      <w:pPr>
        <w:pStyle w:val="ListParagraph"/>
        <w:numPr>
          <w:ilvl w:val="0"/>
          <w:numId w:val="2"/>
        </w:numPr>
        <w:spacing w:after="60" w:line="290"/>
        <w:jc w:val="both"/>
      </w:pPr>
      <w:r>
        <w:rPr>
          <w:rFonts w:ascii="Arial" w:cs="Arial" w:eastAsia="Arial" w:hAnsi="Arial"/>
          <w:b/>
          <w:bCs/>
          <w:sz w:val="22"/>
          <w:szCs w:val="22"/>
        </w:rPr>
        <w:t xml:space="preserve">Importar las tarjetas: </w:t>
      </w:r>
      <w:r>
        <w:rPr>
          <w:rFonts w:ascii="Arial" w:cs="Arial" w:eastAsia="Arial" w:hAnsi="Arial"/>
          <w:sz w:val="22"/>
          <w:szCs w:val="22"/>
        </w:rPr>
        <w:t xml:space="preserve">en “Tus medios”, importe la carpeta “escenas”. Los archivos “tarjeta” ocupan toda la pantalla; los archivos “OVERLAY” tienen fondo transparente.</w:t>
      </w:r>
    </w:p>
    <w:p>
      <w:pPr>
        <w:pStyle w:val="ListParagraph"/>
        <w:numPr>
          <w:ilvl w:val="0"/>
          <w:numId w:val="2"/>
        </w:numPr>
        <w:spacing w:after="60" w:line="290"/>
        <w:jc w:val="both"/>
      </w:pPr>
      <w:r>
        <w:rPr>
          <w:rFonts w:ascii="Arial" w:cs="Arial" w:eastAsia="Arial" w:hAnsi="Arial"/>
          <w:b/>
          <w:bCs/>
          <w:sz w:val="22"/>
          <w:szCs w:val="22"/>
        </w:rPr>
        <w:t xml:space="preserve">Escenas con video de stock (2, 5, 16 y 21): </w:t>
      </w:r>
      <w:r>
        <w:rPr>
          <w:rFonts w:ascii="Arial" w:cs="Arial" w:eastAsia="Arial" w:hAnsi="Arial"/>
          <w:sz w:val="22"/>
          <w:szCs w:val="22"/>
        </w:rPr>
        <w:t xml:space="preserve">en “Biblioteca de contenido → Videos”, busque el término indicado en la tabla, arrástrelo a la línea de tiempo y ponga encima, en una pista superior, el PNG “OVERLAY”. El video se verá a la derecha y el texto a la izquierda.</w:t>
      </w:r>
    </w:p>
    <w:p>
      <w:pPr>
        <w:pStyle w:val="ListParagraph"/>
        <w:numPr>
          <w:ilvl w:val="0"/>
          <w:numId w:val="2"/>
        </w:numPr>
        <w:spacing w:after="60" w:line="290"/>
        <w:jc w:val="both"/>
      </w:pPr>
      <w:r>
        <w:rPr>
          <w:rFonts w:ascii="Arial" w:cs="Arial" w:eastAsia="Arial" w:hAnsi="Arial"/>
          <w:b/>
          <w:bCs/>
          <w:sz w:val="22"/>
          <w:szCs w:val="22"/>
        </w:rPr>
        <w:t xml:space="preserve">Duraciones: </w:t>
      </w:r>
      <w:r>
        <w:rPr>
          <w:rFonts w:ascii="Arial" w:cs="Arial" w:eastAsia="Arial" w:hAnsi="Arial"/>
          <w:sz w:val="22"/>
          <w:szCs w:val="22"/>
        </w:rPr>
        <w:t xml:space="preserve">ajuste cada elemento a la duración de la tabla siguiente. Puede agregar transiciones suaves (“disolver”) de medio segundo entre escenas.</w:t>
      </w:r>
    </w:p>
    <w:p>
      <w:pPr>
        <w:pStyle w:val="ListParagraph"/>
        <w:numPr>
          <w:ilvl w:val="0"/>
          <w:numId w:val="2"/>
        </w:numPr>
        <w:spacing w:after="60" w:line="290"/>
        <w:jc w:val="both"/>
      </w:pPr>
      <w:r>
        <w:rPr>
          <w:rFonts w:ascii="Arial" w:cs="Arial" w:eastAsia="Arial" w:hAnsi="Arial"/>
          <w:b/>
          <w:bCs/>
          <w:sz w:val="22"/>
          <w:szCs w:val="22"/>
        </w:rPr>
        <w:t xml:space="preserve">Logo y datos: </w:t>
      </w:r>
      <w:r>
        <w:rPr>
          <w:rFonts w:ascii="Arial" w:cs="Arial" w:eastAsia="Arial" w:hAnsi="Arial"/>
          <w:sz w:val="22"/>
          <w:szCs w:val="22"/>
        </w:rPr>
        <w:t xml:space="preserve">en la tarjeta 1, ponga encima el logo de UNIMINUTO y, con la herramienta de texto, el nombre del curso, el docente y el número de la semana (o edítelos antes en este Word y en la tarjeta).</w:t>
      </w:r>
    </w:p>
    <w:p>
      <w:pPr>
        <w:pStyle w:val="ListParagraph"/>
        <w:numPr>
          <w:ilvl w:val="0"/>
          <w:numId w:val="2"/>
        </w:numPr>
        <w:spacing w:after="60" w:line="290"/>
        <w:jc w:val="both"/>
      </w:pPr>
      <w:r>
        <w:rPr>
          <w:rFonts w:ascii="Arial" w:cs="Arial" w:eastAsia="Arial" w:hAnsi="Arial"/>
          <w:b/>
          <w:bCs/>
          <w:sz w:val="22"/>
          <w:szCs w:val="22"/>
        </w:rPr>
        <w:t xml:space="preserve">Voz en off: </w:t>
      </w:r>
      <w:r>
        <w:rPr>
          <w:rFonts w:ascii="Arial" w:cs="Arial" w:eastAsia="Arial" w:hAnsi="Arial"/>
          <w:sz w:val="22"/>
          <w:szCs w:val="22"/>
        </w:rPr>
        <w:t xml:space="preserve">grabe cada texto con “Grabar y crear → Audio” o con el celular, y ubíquelo al inicio de su escena.</w:t>
      </w:r>
    </w:p>
    <w:p>
      <w:pPr>
        <w:pStyle w:val="ListParagraph"/>
        <w:numPr>
          <w:ilvl w:val="0"/>
          <w:numId w:val="2"/>
        </w:numPr>
        <w:spacing w:after="60" w:line="290"/>
        <w:jc w:val="both"/>
      </w:pPr>
      <w:r>
        <w:rPr>
          <w:rFonts w:ascii="Arial" w:cs="Arial" w:eastAsia="Arial" w:hAnsi="Arial"/>
          <w:b/>
          <w:bCs/>
          <w:sz w:val="22"/>
          <w:szCs w:val="22"/>
        </w:rPr>
        <w:t xml:space="preserve">Música: </w:t>
      </w:r>
      <w:r>
        <w:rPr>
          <w:rFonts w:ascii="Arial" w:cs="Arial" w:eastAsia="Arial" w:hAnsi="Arial"/>
          <w:sz w:val="22"/>
          <w:szCs w:val="22"/>
        </w:rPr>
        <w:t xml:space="preserve">agregue la música en una pista inferior y bájela al 15 o 20 % para que la voz se escuche clara.</w:t>
      </w:r>
    </w:p>
    <w:p>
      <w:pPr>
        <w:pStyle w:val="ListParagraph"/>
        <w:numPr>
          <w:ilvl w:val="0"/>
          <w:numId w:val="2"/>
        </w:numPr>
        <w:spacing w:after="60" w:line="290"/>
        <w:jc w:val="both"/>
      </w:pPr>
      <w:r>
        <w:rPr>
          <w:rFonts w:ascii="Arial" w:cs="Arial" w:eastAsia="Arial" w:hAnsi="Arial"/>
          <w:b/>
          <w:bCs/>
          <w:sz w:val="22"/>
          <w:szCs w:val="22"/>
        </w:rPr>
        <w:t xml:space="preserve">Exportar: </w:t>
      </w:r>
      <w:r>
        <w:rPr>
          <w:rFonts w:ascii="Arial" w:cs="Arial" w:eastAsia="Arial" w:hAnsi="Arial"/>
          <w:sz w:val="22"/>
          <w:szCs w:val="22"/>
        </w:rPr>
        <w:t xml:space="preserve">exporte en 1080p, revise el video completo con audífonos y súbalo a YouTube como “Público” o “No listado”, sin restricciones.</w:t>
      </w:r>
    </w:p>
    <w:p>
      <w:pPr>
        <w:keepNext/>
        <w:spacing w:after="60" w:before="120"/>
      </w:pPr>
      <w:r>
        <w:rPr>
          <w:rFonts w:ascii="Arial" w:cs="Arial" w:eastAsia="Arial" w:hAnsi="Arial"/>
          <w:b/>
          <w:bCs/>
          <w:sz w:val="20"/>
          <w:szCs w:val="20"/>
        </w:rPr>
        <w:t xml:space="preserve">Tabla 6</w:t>
      </w:r>
    </w:p>
    <w:p>
      <w:pPr>
        <w:keepNext/>
        <w:spacing w:after="80"/>
      </w:pPr>
      <w:r>
        <w:rPr>
          <w:rFonts w:ascii="Arial" w:cs="Arial" w:eastAsia="Arial" w:hAnsi="Arial"/>
          <w:i/>
          <w:iCs/>
          <w:sz w:val="20"/>
          <w:szCs w:val="20"/>
        </w:rPr>
        <w:t xml:space="preserve">Archivo, video de stock y duración por escena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2500"/>
        <w:gridCol w:w="2460"/>
        <w:gridCol w:w="1000"/>
      </w:tblGrid>
      <w:tr>
        <w:trPr>
          <w:tblHeader/>
        </w:trPr>
        <w:tc>
          <w:tcPr>
            <w:tcW w:type="dxa" w:w="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N.º</w:t>
            </w:r>
          </w:p>
        </w:tc>
        <w:tc>
          <w:tcPr>
            <w:tcW w:type="dxa" w:w="2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2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Archivo</w:t>
            </w:r>
          </w:p>
        </w:tc>
        <w:tc>
          <w:tcPr>
            <w:tcW w:type="dxa" w:w="24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Video de stock (buscar en Clipchamp)</w:t>
            </w:r>
          </w:p>
        </w:tc>
        <w:tc>
          <w:tcPr>
            <w:tcW w:type="dxa" w:w="1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Portada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01_tarjeta.png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Presentación</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“hospital corridor”</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protocolo y algoritmo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¿Cómo se construye una guía?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04_tarjeta.png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Contexto: dengue en Santander</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“mosquito”</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06_tarjeta.png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dice la guía: clasificación</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07_tarjeta.png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Signos de alarma y fase crítica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08_tarjeta.png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frente al caso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09_tarjeta.png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normativo general</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gestación e infancia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adolescencia a vejez</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12_tarjeta.png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24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legal del daño médico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como prueba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14_tarjeta.png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de no adherirse</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Barreras para cumplir la guía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“busy emergency room”</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Acciones de mejora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17_tarjeta.png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Indicadores de seguimiento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Mi postura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19_tarjeta.png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Importancia según el marco legal</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Cierre</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21_OVERLAY.png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“doctor child patient”</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8 s</w:t>
            </w:r>
          </w:p>
        </w:tc>
      </w:tr>
    </w:tbl>
    <w:p>
      <w:pPr>
        <w:pStyle w:val="Heading1"/>
        <w:spacing w:after="120" w:before="240"/>
      </w:pPr>
      <w:r>
        <w:rPr>
          <w:rFonts w:ascii="Arial" w:cs="Arial" w:eastAsia="Arial" w:hAnsi="Arial"/>
          <w:b/>
          <w:bCs/>
          <w:color w:val="1F3864"/>
          <w:sz w:val="26"/>
          <w:szCs w:val="26"/>
        </w:rPr>
        <w:t xml:space="preserve">Conclusiones</w:t>
      </w:r>
    </w:p>
    <w:p>
      <w:pPr>
        <w:spacing w:after="80" w:line="259"/>
        <w:ind w:firstLine="567"/>
        <w:jc w:val="both"/>
      </w:pPr>
      <w:r>
        <w:rPr>
          <w:rFonts w:ascii="Arial" w:cs="Arial" w:eastAsia="Arial" w:hAnsi="Arial"/>
          <w:sz w:val="22"/>
          <w:szCs w:val="22"/>
        </w:rPr>
        <w:t xml:space="preserve">El caso de Floridablanca muestra que una guía no es un papel: es la herramienta que permite decidir a tiempo, sobre todo en una epidemia. La normatividad colombiana respalda su uso en todos los cursos de vida, y el marco legal del daño médico las convierte en el referente con el que se juzga la atención. Por eso, la adherencia a las guías debe gestionarse como parte de la calidad: con capacitación, formatos estandarizados, auditoría, simulacros e indicadores que permitan aprender de cada caso.</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Arias Capote, J. C., Hidalgo Mesa, C. J., &amp; Hidalgo Cepero, H. E. (2019). Utilidad de las guías, protocolos y algoritmos en la práctica clínica. </w:t>
      </w:r>
      <w:r>
        <w:rPr>
          <w:rFonts w:ascii="Arial" w:cs="Arial" w:eastAsia="Arial" w:hAnsi="Arial"/>
          <w:i/>
          <w:iCs/>
          <w:sz w:val="22"/>
          <w:szCs w:val="22"/>
        </w:rPr>
        <w:t xml:space="preserve">Revista Cubana de Medicina, 58</w:t>
      </w:r>
      <w:r>
        <w:rPr>
          <w:rFonts w:ascii="Arial" w:cs="Arial" w:eastAsia="Arial" w:hAnsi="Arial"/>
          <w:i w:val="false"/>
          <w:iCs w:val="false"/>
          <w:sz w:val="22"/>
          <w:szCs w:val="22"/>
        </w:rPr>
        <w:t xml:space="preserve">(1), 1-10.</w:t>
      </w:r>
    </w:p>
    <w:p>
      <w:pPr>
        <w:spacing w:after="100" w:line="276"/>
        <w:ind w:left="567" w:hanging="567"/>
        <w:jc w:val="left"/>
      </w:pPr>
      <w:r>
        <w:rPr>
          <w:rFonts w:ascii="Arial" w:cs="Arial" w:eastAsia="Arial" w:hAnsi="Arial"/>
          <w:i w:val="false"/>
          <w:iCs w:val="false"/>
          <w:sz w:val="22"/>
          <w:szCs w:val="22"/>
        </w:rPr>
        <w:t xml:space="preserve">Congreso de Colombia. (1981). Ley 23 de 1981, por la cual se dictan normas en materia de ética médica.</w:t>
      </w:r>
    </w:p>
    <w:p>
      <w:pPr>
        <w:spacing w:after="100" w:line="276"/>
        <w:ind w:left="567" w:hanging="567"/>
        <w:jc w:val="left"/>
      </w:pPr>
      <w:r>
        <w:rPr>
          <w:rFonts w:ascii="Arial" w:cs="Arial" w:eastAsia="Arial" w:hAnsi="Arial"/>
          <w:i w:val="false"/>
          <w:iCs w:val="false"/>
          <w:sz w:val="22"/>
          <w:szCs w:val="22"/>
        </w:rPr>
        <w:t xml:space="preserve">Congreso de Colombia. (2000). Ley 599 de 2000, por la cual se expide el Código Penal.</w:t>
      </w:r>
    </w:p>
    <w:p>
      <w:pPr>
        <w:spacing w:after="100" w:line="276"/>
        <w:ind w:left="567" w:hanging="567"/>
        <w:jc w:val="left"/>
      </w:pPr>
      <w:r>
        <w:rPr>
          <w:rFonts w:ascii="Arial" w:cs="Arial" w:eastAsia="Arial" w:hAnsi="Arial"/>
          <w:i w:val="false"/>
          <w:iCs w:val="false"/>
          <w:sz w:val="22"/>
          <w:szCs w:val="22"/>
        </w:rPr>
        <w:t xml:space="preserve">Congreso de Colombia. (2004). Ley 911 de 2004, por la cual se dictan disposiciones en materia de responsabilidad deontológica para el ejercicio de la profesión de enfermería.</w:t>
      </w:r>
    </w:p>
    <w:p>
      <w:pPr>
        <w:spacing w:after="100" w:line="276"/>
        <w:ind w:left="567" w:hanging="567"/>
        <w:jc w:val="left"/>
      </w:pPr>
      <w:r>
        <w:rPr>
          <w:rFonts w:ascii="Arial" w:cs="Arial" w:eastAsia="Arial" w:hAnsi="Arial"/>
          <w:i w:val="false"/>
          <w:iCs w:val="false"/>
          <w:sz w:val="22"/>
          <w:szCs w:val="22"/>
        </w:rPr>
        <w:t xml:space="preserve">Congreso de Colombia. (2011). Ley 1438 de 2011, por medio de la cual se reforma el Sistema General de Seguridad Social en Salud.</w:t>
      </w:r>
    </w:p>
    <w:p>
      <w:pPr>
        <w:spacing w:after="100" w:line="276"/>
        <w:ind w:left="567" w:hanging="567"/>
        <w:jc w:val="left"/>
      </w:pPr>
      <w:r>
        <w:rPr>
          <w:rFonts w:ascii="Arial" w:cs="Arial" w:eastAsia="Arial" w:hAnsi="Arial"/>
          <w:i w:val="false"/>
          <w:iCs w:val="false"/>
          <w:sz w:val="22"/>
          <w:szCs w:val="22"/>
        </w:rPr>
        <w:t xml:space="preserve">Congreso de Colombia. (2013). Ley 1616 de 2013, por medio de la cual se expide la ley de salud mental.</w:t>
      </w:r>
    </w:p>
    <w:p>
      <w:pPr>
        <w:spacing w:after="100" w:line="276"/>
        <w:ind w:left="567" w:hanging="567"/>
        <w:jc w:val="left"/>
      </w:pPr>
      <w:r>
        <w:rPr>
          <w:rFonts w:ascii="Arial" w:cs="Arial" w:eastAsia="Arial" w:hAnsi="Arial"/>
          <w:i w:val="false"/>
          <w:iCs w:val="false"/>
          <w:sz w:val="22"/>
          <w:szCs w:val="22"/>
        </w:rPr>
        <w:t xml:space="preserve">Congreso de Colombia. (2015). Ley Estatutaria 1751 de 2015, por medio de la cual se regula el derecho fundamental a la salud.</w:t>
      </w:r>
    </w:p>
    <w:p>
      <w:pPr>
        <w:spacing w:after="100" w:line="276"/>
        <w:ind w:left="567" w:hanging="567"/>
        <w:jc w:val="left"/>
      </w:pPr>
      <w:r>
        <w:rPr>
          <w:rFonts w:ascii="Arial" w:cs="Arial" w:eastAsia="Arial" w:hAnsi="Arial"/>
          <w:i w:val="false"/>
          <w:iCs w:val="false"/>
          <w:sz w:val="22"/>
          <w:szCs w:val="22"/>
        </w:rPr>
        <w:t xml:space="preserve">Congreso de Colombia. (2019). Ley 1949 de 2019, por la cual se adicionan y modifican algunos artículos de las Leyes 1122 de 2007 y 1438 de 2011.</w:t>
      </w:r>
    </w:p>
    <w:p>
      <w:pPr>
        <w:spacing w:after="100" w:line="276"/>
        <w:ind w:left="567" w:hanging="567"/>
        <w:jc w:val="left"/>
      </w:pPr>
      <w:r>
        <w:rPr>
          <w:rFonts w:ascii="Arial" w:cs="Arial" w:eastAsia="Arial" w:hAnsi="Arial"/>
          <w:i w:val="false"/>
          <w:iCs w:val="false"/>
          <w:sz w:val="22"/>
          <w:szCs w:val="22"/>
        </w:rPr>
        <w:t xml:space="preserve">Congreso de Colombia. (2022). Ley 2244 de 2022, por medio de la cual se reconocen los derechos de la mujer en embarazo, trabajo de parto, parto y posparto.</w:t>
      </w:r>
    </w:p>
    <w:p>
      <w:pPr>
        <w:spacing w:after="100" w:line="276"/>
        <w:ind w:left="567" w:hanging="567"/>
        <w:jc w:val="left"/>
      </w:pPr>
      <w:r>
        <w:rPr>
          <w:rFonts w:ascii="Arial" w:cs="Arial" w:eastAsia="Arial" w:hAnsi="Arial"/>
          <w:i w:val="false"/>
          <w:iCs w:val="false"/>
          <w:sz w:val="22"/>
          <w:szCs w:val="22"/>
        </w:rPr>
        <w:t xml:space="preserve">El Tiempo. (2025, noviembre). La preocupante historia de niña que murió por dengue en Bucaramanga: denuncian que en primer hospital la devolvieron para cuidado en casa y falleció. https://www.eltiempo.com/colombia/santander/la-preocupante-historia-de-nina-que-murio-por-dengue-en-bucaramanga-denuncian-que-en-primer-hospital-la-devolvieron-para-cuidado-en-casa-y-fallecio-3505931</w:t>
      </w:r>
    </w:p>
    <w:p>
      <w:pPr>
        <w:spacing w:after="100" w:line="276"/>
        <w:ind w:left="567" w:hanging="567"/>
        <w:jc w:val="left"/>
      </w:pPr>
      <w:r>
        <w:rPr>
          <w:rFonts w:ascii="Arial" w:cs="Arial" w:eastAsia="Arial" w:hAnsi="Arial"/>
          <w:i w:val="false"/>
          <w:iCs w:val="false"/>
          <w:sz w:val="22"/>
          <w:szCs w:val="22"/>
        </w:rPr>
        <w:t xml:space="preserve">Infobae. (2025, 3 de noviembre). Niña de 10 años falleció, presuntamente, por dengue en Floridablanca, Santander: esto se sabe. https://www.infobae.com/colombia/2025/11/03/nina-de-10-anos-fallecio-presuntamente-por-dengue-en-floridablanca-santander-esto-se-sabe/</w:t>
      </w:r>
    </w:p>
    <w:p>
      <w:pPr>
        <w:spacing w:after="100" w:line="276"/>
        <w:ind w:left="567" w:hanging="567"/>
        <w:jc w:val="left"/>
      </w:pPr>
      <w:r>
        <w:rPr>
          <w:rFonts w:ascii="Arial" w:cs="Arial" w:eastAsia="Arial" w:hAnsi="Arial"/>
          <w:i w:val="false"/>
          <w:iCs w:val="false"/>
          <w:sz w:val="22"/>
          <w:szCs w:val="22"/>
        </w:rPr>
        <w:t xml:space="preserve">Ministerio de Salud. (1999). Resolución 1995 de 1999, por la cual se establecen normas para el manejo de la historia clínica.</w:t>
      </w:r>
    </w:p>
    <w:p>
      <w:pPr>
        <w:spacing w:after="100" w:line="276"/>
        <w:ind w:left="567" w:hanging="567"/>
        <w:jc w:val="left"/>
      </w:pPr>
      <w:r>
        <w:rPr>
          <w:rFonts w:ascii="Arial" w:cs="Arial" w:eastAsia="Arial" w:hAnsi="Arial"/>
          <w:i w:val="false"/>
          <w:iCs w:val="false"/>
          <w:sz w:val="22"/>
          <w:szCs w:val="22"/>
        </w:rPr>
        <w:t xml:space="preserve">Ministerio de Salud y Protección Social. (2012). Resolución 459 de 2012, por la cual se adopta el Protocolo y Modelo de Atención Integral en Salud para Víctimas de Violencia Sexual.</w:t>
      </w:r>
    </w:p>
    <w:p>
      <w:pPr>
        <w:spacing w:after="100" w:line="276"/>
        <w:ind w:left="567" w:hanging="567"/>
        <w:jc w:val="left"/>
      </w:pPr>
      <w:r>
        <w:rPr>
          <w:rFonts w:ascii="Arial" w:cs="Arial" w:eastAsia="Arial" w:hAnsi="Arial"/>
          <w:i w:val="false"/>
          <w:iCs w:val="false"/>
          <w:sz w:val="22"/>
          <w:szCs w:val="22"/>
        </w:rPr>
        <w:t xml:space="preserve">Ministerio de Salud y Protección Social. (2016). Decreto 780 de 2016, por medio del cual se expide el Decreto Único Reglamentario del Sector Salud y Protección Social.</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 y la Ruta Integral de Atención en Salud para la Población Materno Perinatal.</w:t>
      </w:r>
    </w:p>
    <w:p>
      <w:pPr>
        <w:spacing w:after="100" w:line="276"/>
        <w:ind w:left="567" w:hanging="567"/>
        <w:jc w:val="left"/>
      </w:pPr>
      <w:r>
        <w:rPr>
          <w:rFonts w:ascii="Arial" w:cs="Arial" w:eastAsia="Arial" w:hAnsi="Arial"/>
          <w:i w:val="false"/>
          <w:iCs w:val="false"/>
          <w:sz w:val="22"/>
          <w:szCs w:val="22"/>
        </w:rPr>
        <w:t xml:space="preserve">Ministerio de Salud y Protección Social. (2019). </w:t>
      </w:r>
      <w:r>
        <w:rPr>
          <w:rFonts w:ascii="Arial" w:cs="Arial" w:eastAsia="Arial" w:hAnsi="Arial"/>
          <w:i/>
          <w:iCs/>
          <w:sz w:val="22"/>
          <w:szCs w:val="22"/>
        </w:rPr>
        <w:t xml:space="preserve">Algoritmo de diagnóstico y tratamiento de dengue</w:t>
      </w:r>
      <w:r>
        <w:rPr>
          <w:rFonts w:ascii="Arial" w:cs="Arial" w:eastAsia="Arial" w:hAnsi="Arial"/>
          <w:i w:val="false"/>
          <w:iCs w:val="false"/>
          <w:sz w:val="22"/>
          <w:szCs w:val="22"/>
        </w:rPr>
        <w:t xml:space="preserve">.</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3100 de 2019, por la cual se definen los procedimientos y condiciones de inscripción de los prestadores de servicios de salud y de habilitación de los servicios de salud.</w:t>
      </w:r>
    </w:p>
    <w:p>
      <w:pPr>
        <w:spacing w:after="100" w:line="276"/>
        <w:ind w:left="567" w:hanging="567"/>
        <w:jc w:val="left"/>
      </w:pPr>
      <w:r>
        <w:rPr>
          <w:rFonts w:ascii="Arial" w:cs="Arial" w:eastAsia="Arial" w:hAnsi="Arial"/>
          <w:i w:val="false"/>
          <w:iCs w:val="false"/>
          <w:sz w:val="22"/>
          <w:szCs w:val="22"/>
        </w:rPr>
        <w:t xml:space="preserve">Ministerio de Salud y Protección Social. (2020). Resolución 2350 de 2020, por la cual se adopta el lineamiento técnico para el manejo integral de atención a la desnutrición aguda moderada y severa en niños de 0 a 59 meses.</w:t>
      </w:r>
    </w:p>
    <w:p>
      <w:pPr>
        <w:spacing w:after="100" w:line="276"/>
        <w:ind w:left="567" w:hanging="567"/>
        <w:jc w:val="left"/>
      </w:pPr>
      <w:r>
        <w:rPr>
          <w:rFonts w:ascii="Arial" w:cs="Arial" w:eastAsia="Arial" w:hAnsi="Arial"/>
          <w:i w:val="false"/>
          <w:iCs w:val="false"/>
          <w:sz w:val="22"/>
          <w:szCs w:val="22"/>
        </w:rPr>
        <w:t xml:space="preserve">Ministerio de Salud y Protección Social. (2022). Decreto 681 de 2022, por medio del cual se adopta la Política Pública Nacional de Envejecimiento y Vejez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(2025). Resolución 465 de 2025, por la cual se modifica la Resolución 3100 de 2019.</w:t>
      </w:r>
    </w:p>
    <w:p>
      <w:pPr>
        <w:spacing w:after="100" w:line="276"/>
        <w:ind w:left="567" w:hanging="567"/>
        <w:jc w:val="left"/>
      </w:pPr>
      <w:r>
        <w:rPr>
          <w:rFonts w:ascii="Arial" w:cs="Arial" w:eastAsia="Arial" w:hAnsi="Arial"/>
          <w:i w:val="false"/>
          <w:iCs w:val="false"/>
          <w:sz w:val="22"/>
          <w:szCs w:val="22"/>
        </w:rPr>
        <w:t xml:space="preserve">Ministerio de Salud y Protección Social. (2026). Resolución 115 de 2026, por la cual se modifica parcialmente la Resolución 2350 de 2020.</w:t>
      </w:r>
    </w:p>
    <w:p>
      <w:pPr>
        <w:spacing w:after="100" w:line="276"/>
        <w:ind w:left="567" w:hanging="567"/>
        <w:jc w:val="left"/>
      </w:pPr>
      <w:r>
        <w:rPr>
          <w:rFonts w:ascii="Arial" w:cs="Arial" w:eastAsia="Arial" w:hAnsi="Arial"/>
          <w:i w:val="false"/>
          <w:iCs w:val="false"/>
          <w:sz w:val="22"/>
          <w:szCs w:val="22"/>
        </w:rPr>
        <w:t xml:space="preserve">Ministerio de Salud y Protección Social, Instituto Nacional de Salud y Organización Panamericana de la Salud. (2010). </w:t>
      </w:r>
      <w:r>
        <w:rPr>
          <w:rFonts w:ascii="Arial" w:cs="Arial" w:eastAsia="Arial" w:hAnsi="Arial"/>
          <w:i/>
          <w:iCs/>
          <w:sz w:val="22"/>
          <w:szCs w:val="22"/>
        </w:rPr>
        <w:t xml:space="preserve">Guía para la atención clínica integral del paciente con dengue</w:t>
      </w:r>
      <w:r>
        <w:rPr>
          <w:rFonts w:ascii="Arial" w:cs="Arial" w:eastAsia="Arial" w:hAnsi="Arial"/>
          <w:i w:val="false"/>
          <w:iCs w:val="false"/>
          <w:sz w:val="22"/>
          <w:szCs w:val="22"/>
        </w:rPr>
        <w:t xml:space="preserve">. Ministerio de Salud y Protección Social.</w:t>
      </w:r>
    </w:p>
    <w:p>
      <w:pPr>
        <w:spacing w:after="100" w:line="276"/>
        <w:ind w:left="567" w:hanging="567"/>
        <w:jc w:val="left"/>
      </w:pPr>
      <w:r>
        <w:rPr>
          <w:rFonts w:ascii="Arial" w:cs="Arial" w:eastAsia="Arial" w:hAnsi="Arial"/>
          <w:i w:val="false"/>
          <w:iCs w:val="false"/>
          <w:sz w:val="22"/>
          <w:szCs w:val="22"/>
        </w:rPr>
        <w:t xml:space="preserve">Organización Panamericana de la Salud. (2020). </w:t>
      </w:r>
      <w:r>
        <w:rPr>
          <w:rFonts w:ascii="Arial" w:cs="Arial" w:eastAsia="Arial" w:hAnsi="Arial"/>
          <w:i/>
          <w:iCs/>
          <w:sz w:val="22"/>
          <w:szCs w:val="22"/>
        </w:rPr>
        <w:t xml:space="preserve">Algoritmos para el manejo clínico de los casos de dengue</w:t>
      </w:r>
      <w:r>
        <w:rPr>
          <w:rFonts w:ascii="Arial" w:cs="Arial" w:eastAsia="Arial" w:hAnsi="Arial"/>
          <w:i w:val="false"/>
          <w:iCs w:val="false"/>
          <w:sz w:val="22"/>
          <w:szCs w:val="22"/>
        </w:rPr>
        <w:t xml:space="preserve">. OPS.</w:t>
      </w:r>
    </w:p>
    <w:p>
      <w:pPr>
        <w:spacing w:after="100" w:line="276"/>
        <w:ind w:left="567" w:hanging="567"/>
        <w:jc w:val="left"/>
      </w:pPr>
      <w:r>
        <w:rPr>
          <w:rFonts w:ascii="Arial" w:cs="Arial" w:eastAsia="Arial" w:hAnsi="Arial"/>
          <w:i w:val="false"/>
          <w:iCs w:val="false"/>
          <w:sz w:val="22"/>
          <w:szCs w:val="22"/>
        </w:rPr>
        <w:t xml:space="preserve">Torres-Tamayo, M., Zurita-Cruz, J. N., Aguilar-Herrera, B. E., Miranda-Lora, A. L., Calzada-León, R., Rivera-Hernández, A. J., … &amp; Castilla-Peón, M. F. (2020). Metodología para la elaboración de la guía de práctica clínica. </w:t>
      </w:r>
      <w:r>
        <w:rPr>
          <w:rFonts w:ascii="Arial" w:cs="Arial" w:eastAsia="Arial" w:hAnsi="Arial"/>
          <w:i/>
          <w:iCs/>
          <w:sz w:val="22"/>
          <w:szCs w:val="22"/>
        </w:rPr>
        <w:t xml:space="preserve">Boletín Médico del Hospital Infantil de México</w:t>
      </w:r>
      <w:r>
        <w:rPr>
          <w:rFonts w:ascii="Arial" w:cs="Arial" w:eastAsia="Arial" w:hAnsi="Arial"/>
          <w:i w:val="false"/>
          <w:iCs w:val="false"/>
          <w:sz w:val="22"/>
          <w:szCs w:val="22"/>
        </w:rPr>
        <w:t xml:space="preserve">, 1-9.</w:t>
      </w:r>
    </w:p>
    <w:p>
      <w:pPr>
        <w:spacing w:after="100" w:line="276"/>
        <w:ind w:left="567" w:hanging="567"/>
        <w:jc w:val="left"/>
      </w:pPr>
      <w:r>
        <w:rPr>
          <w:rFonts w:ascii="Arial" w:cs="Arial" w:eastAsia="Arial" w:hAnsi="Arial"/>
          <w:i w:val="false"/>
          <w:iCs w:val="false"/>
          <w:sz w:val="22"/>
          <w:szCs w:val="22"/>
        </w:rPr>
        <w:t xml:space="preserve">Vanguardia. (2025, 9 de noviembre). ¿Por qué Santander es el departamento con más casos de dengue? https://www.vanguardia.com/area-metropolitana/bucaramanga/2025/11/09/por-que-santander-es-el-departamento-con-mas-casos-de-dengue/</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2026-10-16T15:55:04.983Z</dcterms:created>
  <dcterms:modified xsi:type="dcterms:W3CDTF">2026-10-16T15:55:04.983Z</dcterms:modified>
</cp:coreProperties>
</file>

<file path=docProps/custom.xml><?xml version="1.0" encoding="utf-8"?>
<Properties xmlns="http://schemas.openxmlformats.org/officeDocument/2006/custom-properties" xmlns:vt="http://schemas.openxmlformats.org/officeDocument/2006/docPropsVTypes"/>
</file>