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jc w:val="center"/>
      </w:pPr>
      <w:r>
        <w:rPr>
          <w:rFonts w:ascii="Arial" w:cs="Arial" w:eastAsia="Arial" w:hAnsi="Arial"/>
          <w:b w:val="false"/>
          <w:bCs w:val="false"/>
          <w:sz w:val="24"/>
          <w:szCs w:val="24"/>
        </w:rPr>
        <w:t xml:space="preserve"/>
      </w:r>
    </w:p>
    <w:p>
      <w:pPr>
        <w:spacing w:after="300"/>
        <w:jc w:val="center"/>
      </w:pPr>
      <w:r>
        <w:rPr>
          <w:rFonts w:ascii="Arial" w:cs="Arial" w:eastAsia="Arial" w:hAnsi="Arial"/>
          <w:b/>
          <w:bCs/>
          <w:sz w:val="30"/>
          <w:szCs w:val="30"/>
        </w:rPr>
        <w:t xml:space="preserve">Podcast “Barranca se Previene”: una mirada sobre la prevención</w:t>
      </w:r>
    </w:p>
    <w:p>
      <w:pPr>
        <w:spacing w:after="1400"/>
        <w:jc w:val="center"/>
      </w:pPr>
      <w:r>
        <w:rPr>
          <w:rFonts w:ascii="Arial" w:cs="Arial" w:eastAsia="Arial" w:hAnsi="Arial"/>
          <w:b w:val="false"/>
          <w:bCs w:val="false"/>
          <w:sz w:val="24"/>
          <w:szCs w:val="24"/>
        </w:rPr>
        <w:t xml:space="preserve">Actividades de promoción de la salud y prevención de la enfermedad en Barrancabermeja</w:t>
      </w:r>
    </w:p>
    <w:p>
      <w:pPr>
        <w:spacing w:after="600"/>
        <w:jc w:val="center"/>
      </w:pPr>
      <w:r>
        <w:rPr>
          <w:rFonts w:ascii="Arial" w:cs="Arial" w:eastAsia="Arial" w:hAnsi="Arial"/>
          <w:b/>
          <w:bCs/>
          <w:sz w:val="24"/>
          <w:szCs w:val="24"/>
        </w:rPr>
        <w:t xml:space="preserve">Yina Vanessa Cadena Mantilla</w:t>
      </w:r>
    </w:p>
    <w:p>
      <w:pPr>
        <w:spacing w:after="120"/>
        <w:jc w:val="center"/>
      </w:pPr>
      <w:r>
        <w:rPr>
          <w:rFonts w:ascii="Arial" w:cs="Arial" w:eastAsia="Arial" w:hAnsi="Arial"/>
          <w:b w:val="false"/>
          <w:bCs w:val="false"/>
          <w:sz w:val="24"/>
          <w:szCs w:val="24"/>
        </w:rPr>
        <w:t xml:space="preserve">Especialización en Gerencia y Auditoría de la Calidad en Salud</w:t>
      </w:r>
    </w:p>
    <w:p>
      <w:pPr>
        <w:spacing w:after="120"/>
        <w:jc w:val="center"/>
      </w:pPr>
      <w:r>
        <w:rPr>
          <w:rFonts w:ascii="Arial" w:cs="Arial" w:eastAsia="Arial" w:hAnsi="Arial"/>
          <w:b w:val="false"/>
          <w:bCs w:val="false"/>
          <w:sz w:val="24"/>
          <w:szCs w:val="24"/>
        </w:rPr>
        <w:t xml:space="preserve">Curso: [Nombre del curso]</w:t>
      </w:r>
    </w:p>
    <w:p>
      <w:pPr>
        <w:spacing w:after="600"/>
        <w:jc w:val="center"/>
      </w:pPr>
      <w:r>
        <w:rPr>
          <w:rFonts w:ascii="Arial" w:cs="Arial" w:eastAsia="Arial" w:hAnsi="Arial"/>
          <w:b w:val="false"/>
          <w:bCs w:val="false"/>
          <w:sz w:val="24"/>
          <w:szCs w:val="24"/>
        </w:rPr>
        <w:t xml:space="preserve">Semana [N.º]: Podcast. Mirada sobre la prevención</w:t>
      </w:r>
    </w:p>
    <w:p>
      <w:pPr>
        <w:spacing w:after="600"/>
        <w:jc w:val="center"/>
      </w:pPr>
      <w:r>
        <w:rPr>
          <w:rFonts w:ascii="Arial" w:cs="Arial" w:eastAsia="Arial" w:hAnsi="Arial"/>
          <w:b w:val="false"/>
          <w:bCs w:val="false"/>
          <w:sz w:val="24"/>
          <w:szCs w:val="24"/>
        </w:rPr>
        <w:t xml:space="preserve">Docente: [Nombre del docente]</w:t>
      </w:r>
    </w:p>
    <w:p>
      <w:pPr>
        <w:spacing w:after="600"/>
        <w:jc w:val="center"/>
      </w:pPr>
      <w:r>
        <w:rPr>
          <w:rFonts w:ascii="Arial" w:cs="Arial" w:eastAsia="Arial" w:hAnsi="Arial"/>
          <w:b w:val="false"/>
          <w:bCs w:val="false"/>
          <w:sz w:val="24"/>
          <w:szCs w:val="24"/>
        </w:rPr>
        <w:t xml:space="preserve">6 de octubre de 2026</w:t>
      </w:r>
    </w:p>
    <w:p>
      <w:pPr>
        <w:spacing w:after="120"/>
        <w:jc w:val="center"/>
      </w:pPr>
      <w:r>
        <w:rPr>
          <w:rFonts w:ascii="Arial" w:cs="Arial" w:eastAsia="Arial" w:hAnsi="Arial"/>
          <w:b/>
          <w:bCs/>
          <w:sz w:val="24"/>
          <w:szCs w:val="24"/>
        </w:rPr>
        <w:t xml:space="preserve">Enlace del podcast en YouTube: [pegar aquí el enlace]</w:t>
      </w:r>
    </w:p>
    <w:p>
      <w:r>
        <w:br w:type="page"/>
      </w:r>
    </w:p>
    <w:p>
      <w:pPr>
        <w:pStyle w:val="Heading1"/>
        <w:spacing w:after="120" w:before="240"/>
      </w:pPr>
      <w:r>
        <w:rPr>
          <w:rFonts w:ascii="Arial" w:cs="Arial" w:eastAsia="Arial" w:hAnsi="Arial"/>
          <w:b/>
          <w:bCs/>
          <w:color w:val="1F3864"/>
          <w:sz w:val="26"/>
          <w:szCs w:val="26"/>
        </w:rPr>
        <w:t xml:space="preserve">1. Investigación</w:t>
      </w:r>
    </w:p>
    <w:p>
      <w:pPr>
        <w:spacing w:after="80" w:line="259"/>
        <w:ind w:firstLine="567"/>
        <w:jc w:val="both"/>
      </w:pPr>
      <w:r>
        <w:rPr>
          <w:rFonts w:ascii="Arial" w:cs="Arial" w:eastAsia="Arial" w:hAnsi="Arial"/>
          <w:sz w:val="22"/>
          <w:szCs w:val="22"/>
        </w:rPr>
        <w:t xml:space="preserve">Entre septiembre y octubre de 2026 realicé un proceso de observación en barrios y centros de salud de Barrancabermeja (Santander) para identificar actividades de promoción de la salud y prevención de la enfermedad. Seleccioné tres: la Liga contra el dengue, las jornadas de vacunación del Programa Ampliado de Inmunizaciones (PAI) y las jornadas de detección temprana del cáncer de mama del Octubre Rosa. Las dos primeras combinan acciones colectivas con acciones individuales, y la tercera se centra en la detección temprana individual dentro de una estrategia poblacional, lo que permite analizar la diferencia entre ambos tipos de prevención (Fernández-Costales Muñiz, 2021).</w:t>
      </w:r>
    </w:p>
    <w:p>
      <w:pPr>
        <w:pStyle w:val="Heading2"/>
        <w:spacing w:after="100" w:before="180"/>
      </w:pPr>
      <w:r>
        <w:rPr>
          <w:rFonts w:ascii="Arial" w:cs="Arial" w:eastAsia="Arial" w:hAnsi="Arial"/>
          <w:b/>
          <w:bCs/>
          <w:color w:val="2E5496"/>
          <w:sz w:val="23"/>
          <w:szCs w:val="23"/>
        </w:rPr>
        <w:t xml:space="preserve">Marco legal</w:t>
      </w:r>
    </w:p>
    <w:p>
      <w:pPr>
        <w:spacing w:after="80" w:line="259"/>
        <w:ind w:firstLine="567"/>
        <w:jc w:val="both"/>
      </w:pPr>
      <w:r>
        <w:rPr>
          <w:rFonts w:ascii="Arial" w:cs="Arial" w:eastAsia="Arial" w:hAnsi="Arial"/>
          <w:sz w:val="22"/>
          <w:szCs w:val="22"/>
        </w:rPr>
        <w:t xml:space="preserve">En Colombia, la Ley Estatutaria 1751 de 2015 reconoce la salud como derecho fundamental e incluye la promoción y la prevención como parte de ese derecho. La Resolución 3280 de 2018 adopta la Ruta Integral de Atención para la Promoción y Mantenimiento de la Salud (RPMS), que define las intervenciones individuales por momento de curso de vida, incluidas la vacunación y la detección temprana del cáncer. La Resolución 518 de 2015 regula el Plan de Salud Pública de Intervenciones Colectivas (PIC), en el que se enmarcan acciones como el control de vectores y la educación comunitaria. Estas acciones se orientan por el Plan Decenal de Salud Pública 2022-2031 (Resolución 1035 de 2022) y se coordinan en el territorio mediante el Modelo de Acción Integral Territorial, MAITE (Resolución 2626 de 2019). A ello se suman normas específicas: la Ley 1373 de 2010 para la vacunación y la Ley 1384 de 2010 para el cáncer. Desde la gestión del riesgo, la norma ISO 31000:2018 orienta el proceso de identificar, analizar, evaluar y tratar los riesgos (Organización Internacional de Normalización, 2018).</w:t>
      </w:r>
    </w:p>
    <w:p>
      <w:pPr>
        <w:keepNext/>
        <w:spacing w:after="60" w:before="120"/>
      </w:pPr>
      <w:r>
        <w:rPr>
          <w:rFonts w:ascii="Arial" w:cs="Arial" w:eastAsia="Arial" w:hAnsi="Arial"/>
          <w:b/>
          <w:bCs/>
          <w:sz w:val="20"/>
          <w:szCs w:val="20"/>
        </w:rPr>
        <w:t xml:space="preserve">Tabla 1</w:t>
      </w:r>
    </w:p>
    <w:p>
      <w:pPr>
        <w:keepNext/>
        <w:spacing w:after="80"/>
      </w:pPr>
      <w:r>
        <w:rPr>
          <w:rFonts w:ascii="Arial" w:cs="Arial" w:eastAsia="Arial" w:hAnsi="Arial"/>
          <w:i/>
          <w:iCs/>
          <w:sz w:val="20"/>
          <w:szCs w:val="20"/>
        </w:rPr>
        <w:t xml:space="preserve">Actividades de promoción y prevención observadas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000"/>
        <w:gridCol w:w="1900"/>
        <w:gridCol w:w="2060"/>
      </w:tblGrid>
      <w:tr>
        <w:trPr>
          <w:cantSplit/>
          <w:tblHeader/>
        </w:trPr>
        <w:tc>
          <w:tcPr>
            <w:tcW w:type="dxa" w:w="15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Actividad</w:t>
            </w:r>
          </w:p>
        </w:tc>
        <w:tc>
          <w:tcPr>
            <w:tcW w:type="dxa" w:w="19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Normatividad</w:t>
            </w:r>
          </w:p>
        </w:tc>
        <w:tc>
          <w:tcPr>
            <w:tcW w:type="dxa" w:w="20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Metodología</w:t>
            </w:r>
          </w:p>
        </w:tc>
        <w:tc>
          <w:tcPr>
            <w:tcW w:type="dxa" w:w="19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Impacto en la comunidad</w:t>
            </w:r>
          </w:p>
        </w:tc>
        <w:tc>
          <w:tcPr>
            <w:tcW w:type="dxa" w:w="206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Estrategia de mejora</w:t>
            </w:r>
          </w:p>
        </w:tc>
      </w:tr>
      <w:tr>
        <w:trPr>
          <w:cantSplit/>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Liga contra el dengue (Secretaría de Salud Distrital)</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Resolución 518 de 2015 (PIC).</w:t>
            </w:r>
          </w:p>
          <w:p>
            <w:pPr>
              <w:spacing w:after="20"/>
            </w:pPr>
            <w:r>
              <w:rPr>
                <w:rFonts w:ascii="Arial" w:cs="Arial" w:eastAsia="Arial" w:hAnsi="Arial"/>
                <w:b w:val="false"/>
                <w:bCs w:val="false"/>
                <w:color w:val="000000"/>
                <w:sz w:val="17"/>
                <w:szCs w:val="17"/>
              </w:rPr>
              <w:t xml:space="preserve">Resolución 1035 de 2022 (PDSP 2022-2031).</w:t>
            </w:r>
          </w:p>
          <w:p>
            <w:pPr>
              <w:spacing w:after="20"/>
            </w:pPr>
            <w:r>
              <w:rPr>
                <w:rFonts w:ascii="Arial" w:cs="Arial" w:eastAsia="Arial" w:hAnsi="Arial"/>
                <w:b w:val="false"/>
                <w:bCs w:val="false"/>
                <w:color w:val="000000"/>
                <w:sz w:val="17"/>
                <w:szCs w:val="17"/>
              </w:rPr>
              <w:t xml:space="preserve">Ley 9 de 1979 (Código Sanitario).</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Visitas casa a casa, inspección y eliminación de criaderos, educación sobre el lavado y tapado de tanques, jornadas en colegios.</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Más de 15.000 hogares visitados en 2026; reducción del 14,8 % de casos de dengue entre enero y agosto de 2026 frente a 2025.</w:t>
            </w:r>
          </w:p>
        </w:tc>
        <w:tc>
          <w:tcPr>
            <w:tcW w:type="dxa" w:w="20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Operar todo el año y no solo en brote; trabajar con las JAC; recordatorios por WhatsApp (OMS, 2022).</w:t>
            </w:r>
          </w:p>
        </w:tc>
      </w:tr>
      <w:tr>
        <w:trPr>
          <w:cantSplit/>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Jornadas de vacunación (PAI)</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Ley 1373 de 2010 (vacunación gratuita y obligatoria).</w:t>
            </w:r>
          </w:p>
          <w:p>
            <w:pPr>
              <w:spacing w:after="20"/>
            </w:pPr>
            <w:r>
              <w:rPr>
                <w:rFonts w:ascii="Arial" w:cs="Arial" w:eastAsia="Arial" w:hAnsi="Arial"/>
                <w:b w:val="false"/>
                <w:bCs w:val="false"/>
                <w:color w:val="000000"/>
                <w:sz w:val="17"/>
                <w:szCs w:val="17"/>
              </w:rPr>
              <w:t xml:space="preserve">Resolución 3280 de 2018 (RPMS).</w:t>
            </w:r>
          </w:p>
          <w:p>
            <w:pPr>
              <w:spacing w:after="20"/>
            </w:pPr>
            <w:r>
              <w:rPr>
                <w:rFonts w:ascii="Arial" w:cs="Arial" w:eastAsia="Arial" w:hAnsi="Arial"/>
                <w:b w:val="false"/>
                <w:bCs w:val="false"/>
                <w:color w:val="000000"/>
                <w:sz w:val="17"/>
                <w:szCs w:val="17"/>
              </w:rPr>
              <w:t xml:space="preserve">Lineamientos anuales del PAI del MSPS.</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Revisión del carné, vacunación intramural y extramural (casa a casa, parques, colegios), registro nominal en PAIWEB, seguimiento a esquemas incompletos.</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Control de enfermedades inmunoprevenibles como el sarampión y la polio; protección de niños, gestantes y adultos mayores.</w:t>
            </w:r>
          </w:p>
        </w:tc>
        <w:tc>
          <w:tcPr>
            <w:tcW w:type="dxa" w:w="20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Recordatorios por mensaje de texto antes de cada dosis; horarios extendidos; educación para desmentir mitos.</w:t>
            </w:r>
          </w:p>
        </w:tc>
      </w:tr>
      <w:tr>
        <w:trPr>
          <w:cantSplit/>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Octubre Rosa: detección temprana del cáncer de mama (IPS y EPS)</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Ley 1384 de 2010 (atención integral del cáncer).</w:t>
            </w:r>
          </w:p>
          <w:p>
            <w:pPr>
              <w:spacing w:after="20"/>
            </w:pPr>
            <w:r>
              <w:rPr>
                <w:rFonts w:ascii="Arial" w:cs="Arial" w:eastAsia="Arial" w:hAnsi="Arial"/>
                <w:b w:val="false"/>
                <w:bCs w:val="false"/>
                <w:color w:val="000000"/>
                <w:sz w:val="17"/>
                <w:szCs w:val="17"/>
              </w:rPr>
              <w:t xml:space="preserve">Resolución 3280 de 2018: examen clínico desde los 40 años y mamografía bienal de 50 a 69 años.</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Charlas educativas, enseñanza del autoexamen, asignación de citas en el lugar, remisión a la ruta de atención ante hallazgos.</w:t>
            </w:r>
          </w:p>
        </w:tc>
        <w:tc>
          <w:tcPr>
            <w:tcW w:type="dxa" w:w="19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Mayor número de mujeres tamizadas; diagnóstico en etapas tempranas, con tratamientos más efectivos y menos costosos.</w:t>
            </w:r>
          </w:p>
        </w:tc>
        <w:tc>
          <w:tcPr>
            <w:tcW w:type="dxa" w:w="20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Búsqueda activa durante todo el año; citas oportunas de mamografía; telemedicina para resultados y seguimiento (Murillo Aceituno y García Jiménez, 2022).</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Elaboración propia a partir de la observación en la comunidad y de la normatividad citada. Los datos de la Liga contra el dengue provienen de la Alcaldía de Barrancabermeja (2026) y de Enlace Televisión (2026).</w:t>
      </w:r>
    </w:p>
    <w:p>
      <w:pPr>
        <w:pStyle w:val="Heading1"/>
        <w:spacing w:after="120" w:before="240"/>
      </w:pPr>
      <w:r>
        <w:rPr>
          <w:rFonts w:ascii="Arial" w:cs="Arial" w:eastAsia="Arial" w:hAnsi="Arial"/>
          <w:b/>
          <w:bCs/>
          <w:color w:val="1F3864"/>
          <w:sz w:val="26"/>
          <w:szCs w:val="26"/>
        </w:rPr>
        <w:t xml:space="preserve">2. Guion del podcast</w:t>
      </w:r>
    </w:p>
    <w:p>
      <w:pPr>
        <w:spacing w:after="80" w:line="259"/>
        <w:jc w:val="both"/>
      </w:pPr>
      <w:r>
        <w:rPr>
          <w:rFonts w:ascii="Arial" w:cs="Arial" w:eastAsia="Arial" w:hAnsi="Arial"/>
          <w:b/>
          <w:bCs/>
          <w:sz w:val="22"/>
          <w:szCs w:val="22"/>
        </w:rPr>
        <w:t xml:space="preserve">Nombre del podcast: </w:t>
      </w:r>
      <w:r>
        <w:rPr>
          <w:rFonts w:ascii="Arial" w:cs="Arial" w:eastAsia="Arial" w:hAnsi="Arial"/>
          <w:sz w:val="22"/>
          <w:szCs w:val="22"/>
        </w:rPr>
        <w:t xml:space="preserve">Barranca se Previene. </w:t>
      </w:r>
      <w:r>
        <w:rPr>
          <w:rFonts w:ascii="Arial" w:cs="Arial" w:eastAsia="Arial" w:hAnsi="Arial"/>
          <w:b/>
          <w:bCs/>
          <w:sz w:val="22"/>
          <w:szCs w:val="22"/>
        </w:rPr>
        <w:t xml:space="preserve">Episodio: </w:t>
      </w:r>
      <w:r>
        <w:rPr>
          <w:rFonts w:ascii="Arial" w:cs="Arial" w:eastAsia="Arial" w:hAnsi="Arial"/>
          <w:sz w:val="22"/>
          <w:szCs w:val="22"/>
        </w:rPr>
        <w:t xml:space="preserve">Mirada sobre la prevención. </w:t>
      </w:r>
      <w:r>
        <w:rPr>
          <w:rFonts w:ascii="Arial" w:cs="Arial" w:eastAsia="Arial" w:hAnsi="Arial"/>
          <w:b/>
          <w:bCs/>
          <w:sz w:val="22"/>
          <w:szCs w:val="22"/>
        </w:rPr>
        <w:t xml:space="preserve">Formato: </w:t>
      </w:r>
      <w:r>
        <w:rPr>
          <w:rFonts w:ascii="Arial" w:cs="Arial" w:eastAsia="Arial" w:hAnsi="Arial"/>
          <w:sz w:val="22"/>
          <w:szCs w:val="22"/>
        </w:rPr>
        <w:t xml:space="preserve">una locutora y una voz invitada que da testimonios breves. </w:t>
      </w:r>
      <w:r>
        <w:rPr>
          <w:rFonts w:ascii="Arial" w:cs="Arial" w:eastAsia="Arial" w:hAnsi="Arial"/>
          <w:b/>
          <w:bCs/>
          <w:sz w:val="22"/>
          <w:szCs w:val="22"/>
        </w:rPr>
        <w:t xml:space="preserve">Duración estimada: </w:t>
      </w:r>
      <w:r>
        <w:rPr>
          <w:rFonts w:ascii="Arial" w:cs="Arial" w:eastAsia="Arial" w:hAnsi="Arial"/>
          <w:sz w:val="22"/>
          <w:szCs w:val="22"/>
        </w:rPr>
        <w:t xml:space="preserve">07:04 minutos.</w:t>
      </w:r>
    </w:p>
    <w:p>
      <w:pPr>
        <w:spacing w:after="80" w:line="259"/>
        <w:jc w:val="both"/>
      </w:pPr>
      <w:r>
        <w:rPr>
          <w:rFonts w:ascii="Arial" w:cs="Arial" w:eastAsia="Arial" w:hAnsi="Arial"/>
          <w:b/>
          <w:bCs/>
          <w:sz w:val="22"/>
          <w:szCs w:val="22"/>
        </w:rPr>
        <w:t xml:space="preserve">Estructura: </w:t>
      </w:r>
      <w:r>
        <w:rPr>
          <w:rFonts w:ascii="Arial" w:cs="Arial" w:eastAsia="Arial" w:hAnsi="Arial"/>
          <w:sz w:val="22"/>
          <w:szCs w:val="22"/>
        </w:rPr>
        <w:t xml:space="preserve">cortinilla de entrada, introducción, bloques de contenido (dengue, vacunación, Octubre Rosa y reflexión sobre la prevención individual y colectiva) y cortinilla de cierre con créditos.</w:t>
      </w:r>
    </w:p>
    <w:p>
      <w:pPr>
        <w:keepNext/>
        <w:spacing w:after="60" w:before="120"/>
      </w:pPr>
      <w:r>
        <w:rPr>
          <w:rFonts w:ascii="Arial" w:cs="Arial" w:eastAsia="Arial" w:hAnsi="Arial"/>
          <w:b/>
          <w:bCs/>
          <w:sz w:val="20"/>
          <w:szCs w:val="20"/>
        </w:rPr>
        <w:t xml:space="preserve">Tabla 2</w:t>
      </w:r>
    </w:p>
    <w:p>
      <w:pPr>
        <w:keepNext/>
        <w:spacing w:after="80"/>
      </w:pPr>
      <w:r>
        <w:rPr>
          <w:rFonts w:ascii="Arial" w:cs="Arial" w:eastAsia="Arial" w:hAnsi="Arial"/>
          <w:i/>
          <w:iCs/>
          <w:sz w:val="20"/>
          <w:szCs w:val="20"/>
        </w:rPr>
        <w:t xml:space="preserve">Guion técnico y literario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450"/>
        <w:gridCol w:w="6660"/>
      </w:tblGrid>
      <w:tr>
        <w:trPr>
          <w:cantSplit/>
          <w:tblHeader/>
        </w:trPr>
        <w:tc>
          <w:tcPr>
            <w:tcW w:type="dxa" w:w="125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Tiempo</w:t>
            </w:r>
          </w:p>
        </w:tc>
        <w:tc>
          <w:tcPr>
            <w:tcW w:type="dxa" w:w="145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Elemento</w:t>
            </w:r>
          </w:p>
        </w:tc>
        <w:tc>
          <w:tcPr>
            <w:tcW w:type="dxa" w:w="666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7"/>
                <w:szCs w:val="17"/>
              </w:rPr>
              <w:t xml:space="preserve">Contenido (diálogos, música y sonidos)</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00:00 - 00:16</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Cortinilla de entrada (archivo 01_cortinilla_entrada.mp3). Sube a primer plano y baja a fondo cuando entra la voz.</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00:16 - 00:34</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LOCUTORA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¡Hola, hola! Bienvenidos a Barranca se Previene, el podcast donde hablamos de salud desde nuestros barrios. Soy Yina Vanessa Cadena Mantilla, estudiante de la Especialización en Gerencia y Auditoría de la Calidad en Salud, y hoy los invito a dar una mirada sobre la prevención.</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00:34</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 de fondo suave (02_musica_fondo_suave.mp3) a volumen bajo durante la introducción.</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00:34 - 01:18</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LOCUTORA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En los últimos días recorrí mi comunidad en Barrancabermeja y observé tres actividades que nos protegen, aunque a veces no lo notemos: la Liga contra el dengue, las jornadas de vacunación y las actividades del Octubre Rosa para la detección temprana del cáncer de mama. De cada una les contaré qué norma la respalda, cómo se hace, qué impacto tiene y qué podríamos mejorar. Una idea clave antes de empezar: promover la salud es fortalecer lo que nos mantiene sanos; prevenir es reducir el riesgo de enfermar. Y gestionar el riesgo, como plantea la norma ISO 31000, es identificarlo, analizarlo, evaluarlo y tratarlo antes de que se convierta en daño.</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01:18 - 01:20</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EFECTO</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Sonido de transición (04_efecto_transicion.mp3).</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01:20 - 01:23</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EFECTO</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Zumbido de mosquito (03_efecto_mosquito.mp3).</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01:23 - 02:03</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LOCUTORA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Ese sonido lo conocemos todos en Barranca. Nuestro clima cálido y lluvioso favorece al Aedes aegypti, el mosquito que transmite el dengue. Por eso la Secretaría de Salud Distrital tiene la Liga contra el dengue: un equipo que visita casa por casa, revisa tanques, albercas, llantas y materas, elimina criaderos y enseña a lavar y tapar los recipientes donde guardamos agua. Según la Alcaldía, este año ha llegado a más de quince mil hogares. Esta actividad hace parte del Plan de Intervenciones Colectivas, regulado por la Resolución 518 de 2015, y responde al Plan Decenal de Salud Pública 2022-2031.</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02:03 - 02:13</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VOZ INVITADA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(Testimonio de una vecina.) A mí me visitaron el mes pasado. Me encontraron larvas en la alberca y ahí mismo me enseñaron a cepillarla. Ahora la lavo cada ocho días.</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02:13 - 03:14</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LOCUTORA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El impacto se nota: entre enero y agosto de 2026 los casos de dengue en la ciudad bajaron cerca de un quince por ciento frente al año anterior. Como mejora, propongo que la Liga trabaje todo el año y no solo en temporada de brote, que se apoye en los líderes de las juntas de acción comunal y que aproveche WhatsApp, la herramienta que todos tenemos en el celular. Durante la visita, la Liga puede invitar a cada familia a inscribirse en un grupo de su barrio; desde allí, cada sábado llegaría un mensaje corto, con imagen o audio, que recuerde el “día del tanque limpio”. El mismo canal serviría para avisar de las jornadas de fumigación y para que los vecinos reporten criaderos con una foto. La OMS recomienda este tipo de comunicación digital dirigida porque los mensajes breves, frecuentes y adaptados a cada comunidad ayudan a mantener las conductas saludables.</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03:14 - 03:16</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EFECTO</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Sonido de transición.</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03:16 - 04:15</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LOCUTORA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La segunda actividad son las jornadas de vacunación. Observé puntos de vacunación en los centros de salud y jornadas en parques y colegios, donde se aplican las vacunas del Programa Ampliado de Inmunizaciones a niños, gestantes y adultos mayores. La Ley 1373 de 2010 garantiza que esta vacunación sea gratuita y obligatoria, y la Resolución 3280 de 2018 la incluye en la Ruta de Promoción y Mantenimiento de la Salud. La metodología incluye revisar el carné, vacunar en el centro de salud o casa a casa, registrar cada dosis en el sistema PAIWEB y buscar a quienes tienen el esquema incompleto. Gracias a las vacunas, enfermedades como el sarampión o la polio dejaron de ser comunes, pero los olvidos y la desinformación todavía dejan niños sin protección. Propongo recordatorios por mensaje antes de cada dosis, horarios extendidos para los padres que trabajan y charlas para desmentir mitos.</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04:15 - 04:17</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EFECTO</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Sonido de transición.</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04:17 - 04:59</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LOCUTORA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Y como estamos en octubre, mes de sensibilización sobre el cáncer de mama, observé jornadas del Octubre Rosa organizadas por IPS y EPS de la ciudad, con educación sobre el autoexamen, el examen clínico y la mamografía. La Ley 1384 de 2010 establece la atención integral del cáncer, y la Resolución 3280 de 2018 define la detección temprana: examen clínico de la mama desde los 40 años y mamografía cada dos años para las mujeres de 50 a 69. La metodología combina charlas, entrega de material, asignación de citas en el mismo lugar y remisión a la ruta de atención si se encuentra una alteración.</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04:59 - 05:07</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VOZ INVITADA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Mi mamá se hizo la mamografía gracias a una de esas jornadas. Si no la hubieran llamado, no habría ido.</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05:07 - 05:25</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LOCUTORA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Detectar a tiempo salva vidas. Como mejora, propongo que estas acciones no se queden solo en octubre: que las EPS busquen activamente a las mujeres que no se han tamizado, que garanticen citas oportunas y que usen la telemedicina para entregar resultados y hacer seguimiento.</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05:25 - 05:27</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EFECTO</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Sonido de transición. Entra música de fondo suave.</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05:27 - 06:23</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LOCUTORA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Ahora, nuestras preguntas. ¿Cuál es la diferencia entre la prevención individual y la colectiva? La individual depende de lo que cada persona hace por su salud: vacunarse, hacerse los exámenes, tapar su tanque. La colectiva son las acciones que el Estado y la comunidad hacen para toda la población, como la Liga contra el dengue o las jornadas masivas. Ninguna funciona sola: si yo lavo mi tanque pero mi vecino no, el mosquito sigue ahí. ¿Y qué estrategias son más efectivas en nuestra comunidad? Para mí, las que llegan hasta la casa, hablan el lenguaje de la gente y se mantienen en el tiempo: la visita domiciliaria, la educación con líderes comunitarios y los recordatorios digitales. Cada actor tiene un papel: el Estado planea y financia, las EPS e IPS identifican y atienden el riesgo, y la comunidad participa y se cuida.</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06:23 - 06:38</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LOCUTORA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Hasta aquí llega este episodio de Barranca se Previene. Recuerden: la salud no empieza en el hospital, empieza en la casa, en el patio y en la cuadra. Prevenir es cuidar, y cuidar es tarea de todos.</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06:38</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Entra la cortinilla de cierre (05_cortinilla_cierre.mp3) a volumen bajo, bajo los créditos.</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06:38 - 06:56</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LOCUTORA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Créditos. Guion, voz y producción: Yina Vanessa Cadena Mantilla. Voz invitada: [nombre]. Música y efectos: producción propia. Fuentes: Ministerio de Salud y Protección Social, Alcaldía de Barrancabermeja, Organización Mundial de la Salud y norma ISO 31000. Corporación Universitaria Minuto de Dios. ¡Gracias por escucharnos!</w:t>
            </w:r>
          </w:p>
        </w:tc>
      </w:tr>
      <w:tr>
        <w:trPr>
          <w:cantSplit/>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7"/>
                <w:szCs w:val="17"/>
              </w:rPr>
              <w:t xml:space="preserve">06:56 - 07:04</w:t>
            </w:r>
          </w:p>
        </w:tc>
        <w:tc>
          <w:tcPr>
            <w:tcW w:type="dxa" w:w="145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MÚSICA</w:t>
            </w:r>
          </w:p>
        </w:tc>
        <w:tc>
          <w:tcPr>
            <w:tcW w:type="dxa" w:w="66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7"/>
                <w:szCs w:val="17"/>
              </w:rPr>
              <w:t xml:space="preserve">La cortinilla de cierre sube a primer plano y termina.</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Los tiempos son aproximados, calculados con un ritmo de lectura de 150 palabras por minuto. Durante la grabación se puede ajustar el ritmo para cumplir la duración de 6 a 8 minutos.</w:t>
      </w:r>
    </w:p>
    <w:p>
      <w:pPr>
        <w:pStyle w:val="Heading1"/>
        <w:spacing w:after="120" w:before="240"/>
      </w:pPr>
      <w:r>
        <w:rPr>
          <w:rFonts w:ascii="Arial" w:cs="Arial" w:eastAsia="Arial" w:hAnsi="Arial"/>
          <w:b/>
          <w:bCs/>
          <w:color w:val="1F3864"/>
          <w:sz w:val="26"/>
          <w:szCs w:val="26"/>
        </w:rPr>
        <w:t xml:space="preserve">3. Producción y posproducción</w:t>
      </w:r>
    </w:p>
    <w:p>
      <w:pPr>
        <w:pStyle w:val="ListParagraph"/>
        <w:numPr>
          <w:ilvl w:val="0"/>
          <w:numId w:val="2"/>
        </w:numPr>
        <w:spacing w:after="60" w:line="290"/>
        <w:jc w:val="both"/>
      </w:pPr>
      <w:r>
        <w:rPr>
          <w:rFonts w:ascii="Arial" w:cs="Arial" w:eastAsia="Arial" w:hAnsi="Arial"/>
          <w:b/>
          <w:bCs/>
          <w:sz w:val="22"/>
          <w:szCs w:val="22"/>
        </w:rPr>
        <w:t xml:space="preserve">Grabación: </w:t>
      </w:r>
      <w:r>
        <w:rPr>
          <w:rFonts w:ascii="Arial" w:cs="Arial" w:eastAsia="Arial" w:hAnsi="Arial"/>
          <w:sz w:val="22"/>
          <w:szCs w:val="22"/>
        </w:rPr>
        <w:t xml:space="preserve">grabar cada bloque de voz por separado con el celular o el micrófono del computador, en un lugar silencioso.</w:t>
      </w:r>
    </w:p>
    <w:p>
      <w:pPr>
        <w:pStyle w:val="ListParagraph"/>
        <w:numPr>
          <w:ilvl w:val="0"/>
          <w:numId w:val="2"/>
        </w:numPr>
        <w:spacing w:after="60" w:line="290"/>
        <w:jc w:val="both"/>
      </w:pPr>
      <w:r>
        <w:rPr>
          <w:rFonts w:ascii="Arial" w:cs="Arial" w:eastAsia="Arial" w:hAnsi="Arial"/>
          <w:b/>
          <w:bCs/>
          <w:sz w:val="22"/>
          <w:szCs w:val="22"/>
        </w:rPr>
        <w:t xml:space="preserve">Edición: </w:t>
      </w:r>
      <w:r>
        <w:rPr>
          <w:rFonts w:ascii="Arial" w:cs="Arial" w:eastAsia="Arial" w:hAnsi="Arial"/>
          <w:sz w:val="22"/>
          <w:szCs w:val="22"/>
        </w:rPr>
        <w:t xml:space="preserve">en BandLab, ubicar las cortinillas, la música de fondo y los efectos en pistas separadas; bajar la música de fondo cuando hay voz; eliminar silencios largos y errores.</w:t>
      </w:r>
    </w:p>
    <w:p>
      <w:pPr>
        <w:pStyle w:val="ListParagraph"/>
        <w:numPr>
          <w:ilvl w:val="0"/>
          <w:numId w:val="2"/>
        </w:numPr>
        <w:spacing w:after="60" w:line="290"/>
        <w:jc w:val="both"/>
      </w:pPr>
      <w:r>
        <w:rPr>
          <w:rFonts w:ascii="Arial" w:cs="Arial" w:eastAsia="Arial" w:hAnsi="Arial"/>
          <w:b/>
          <w:bCs/>
          <w:sz w:val="22"/>
          <w:szCs w:val="22"/>
        </w:rPr>
        <w:t xml:space="preserve">Exportación: </w:t>
      </w:r>
      <w:r>
        <w:rPr>
          <w:rFonts w:ascii="Arial" w:cs="Arial" w:eastAsia="Arial" w:hAnsi="Arial"/>
          <w:sz w:val="22"/>
          <w:szCs w:val="22"/>
        </w:rPr>
        <w:t xml:space="preserve">exportar en formato MP3, verificar que dure entre 6 y 8 minutos y publicar en YouTube con el correo institucional, sin restricciones de visualización.</w:t>
      </w:r>
    </w:p>
    <w:p>
      <w:pPr>
        <w:pStyle w:val="Heading1"/>
        <w:spacing w:after="120" w:before="240"/>
      </w:pPr>
      <w:r>
        <w:rPr>
          <w:rFonts w:ascii="Arial" w:cs="Arial" w:eastAsia="Arial" w:hAnsi="Arial"/>
          <w:b/>
          <w:bCs/>
          <w:color w:val="1F3864"/>
          <w:sz w:val="26"/>
          <w:szCs w:val="26"/>
        </w:rPr>
        <w:t xml:space="preserve">4. Créditos</w:t>
      </w:r>
    </w:p>
    <w:p>
      <w:pPr>
        <w:pStyle w:val="ListParagraph"/>
        <w:numPr>
          <w:ilvl w:val="0"/>
          <w:numId w:val="2"/>
        </w:numPr>
        <w:spacing w:after="60" w:line="290"/>
        <w:jc w:val="both"/>
      </w:pPr>
      <w:r>
        <w:rPr>
          <w:rFonts w:ascii="Arial" w:cs="Arial" w:eastAsia="Arial" w:hAnsi="Arial"/>
          <w:b/>
          <w:bCs/>
          <w:sz w:val="22"/>
          <w:szCs w:val="22"/>
        </w:rPr>
        <w:t xml:space="preserve">Guion, investigación, voz y producción: </w:t>
      </w:r>
      <w:r>
        <w:rPr>
          <w:rFonts w:ascii="Arial" w:cs="Arial" w:eastAsia="Arial" w:hAnsi="Arial"/>
          <w:sz w:val="22"/>
          <w:szCs w:val="22"/>
        </w:rPr>
        <w:t xml:space="preserve">Yina Vanessa Cadena Mantilla.</w:t>
      </w:r>
    </w:p>
    <w:p>
      <w:pPr>
        <w:pStyle w:val="ListParagraph"/>
        <w:numPr>
          <w:ilvl w:val="0"/>
          <w:numId w:val="2"/>
        </w:numPr>
        <w:spacing w:after="60" w:line="290"/>
        <w:jc w:val="both"/>
      </w:pPr>
      <w:r>
        <w:rPr>
          <w:rFonts w:ascii="Arial" w:cs="Arial" w:eastAsia="Arial" w:hAnsi="Arial"/>
          <w:b/>
          <w:bCs/>
          <w:sz w:val="22"/>
          <w:szCs w:val="22"/>
        </w:rPr>
        <w:t xml:space="preserve">Voz invitada: </w:t>
      </w:r>
      <w:r>
        <w:rPr>
          <w:rFonts w:ascii="Arial" w:cs="Arial" w:eastAsia="Arial" w:hAnsi="Arial"/>
          <w:sz w:val="22"/>
          <w:szCs w:val="22"/>
        </w:rPr>
        <w:t xml:space="preserve">[nombre de la persona].</w:t>
      </w:r>
    </w:p>
    <w:p>
      <w:pPr>
        <w:pStyle w:val="ListParagraph"/>
        <w:numPr>
          <w:ilvl w:val="0"/>
          <w:numId w:val="2"/>
        </w:numPr>
        <w:spacing w:after="60" w:line="290"/>
        <w:jc w:val="both"/>
      </w:pPr>
      <w:r>
        <w:rPr>
          <w:rFonts w:ascii="Arial" w:cs="Arial" w:eastAsia="Arial" w:hAnsi="Arial"/>
          <w:b/>
          <w:bCs/>
          <w:sz w:val="22"/>
          <w:szCs w:val="22"/>
        </w:rPr>
        <w:t xml:space="preserve">Música y efectos de sonido: </w:t>
      </w:r>
      <w:r>
        <w:rPr>
          <w:rFonts w:ascii="Arial" w:cs="Arial" w:eastAsia="Arial" w:hAnsi="Arial"/>
          <w:sz w:val="22"/>
          <w:szCs w:val="22"/>
        </w:rPr>
        <w:t xml:space="preserve">producción propia, compuestos por síntesis digital para este podcast (cortinilla de entrada, música de fondo, zumbido de mosquito, sonido de transición y cortinilla de cierre).</w:t>
      </w:r>
    </w:p>
    <w:p>
      <w:pPr>
        <w:pStyle w:val="ListParagraph"/>
        <w:numPr>
          <w:ilvl w:val="0"/>
          <w:numId w:val="2"/>
        </w:numPr>
        <w:spacing w:after="60" w:line="290"/>
        <w:jc w:val="both"/>
      </w:pPr>
      <w:r>
        <w:rPr>
          <w:rFonts w:ascii="Arial" w:cs="Arial" w:eastAsia="Arial" w:hAnsi="Arial"/>
          <w:b/>
          <w:bCs/>
          <w:sz w:val="22"/>
          <w:szCs w:val="22"/>
        </w:rPr>
        <w:t xml:space="preserve">Edición: </w:t>
      </w:r>
      <w:r>
        <w:rPr>
          <w:rFonts w:ascii="Arial" w:cs="Arial" w:eastAsia="Arial" w:hAnsi="Arial"/>
          <w:sz w:val="22"/>
          <w:szCs w:val="22"/>
        </w:rPr>
        <w:t xml:space="preserve">BandLab.</w:t>
      </w:r>
    </w:p>
    <w:p>
      <w:pPr>
        <w:pStyle w:val="ListParagraph"/>
        <w:numPr>
          <w:ilvl w:val="0"/>
          <w:numId w:val="2"/>
        </w:numPr>
        <w:spacing w:after="60" w:line="290"/>
        <w:jc w:val="both"/>
      </w:pPr>
      <w:r>
        <w:rPr>
          <w:rFonts w:ascii="Arial" w:cs="Arial" w:eastAsia="Arial" w:hAnsi="Arial"/>
          <w:b/>
          <w:bCs/>
          <w:sz w:val="22"/>
          <w:szCs w:val="22"/>
        </w:rPr>
        <w:t xml:space="preserve">Fuentes de información: </w:t>
      </w:r>
      <w:r>
        <w:rPr>
          <w:rFonts w:ascii="Arial" w:cs="Arial" w:eastAsia="Arial" w:hAnsi="Arial"/>
          <w:sz w:val="22"/>
          <w:szCs w:val="22"/>
        </w:rPr>
        <w:t xml:space="preserve">Ministerio de Salud y Protección Social, Alcaldía de Barrancabermeja, Enlace Televisión, Organización Mundial de la Salud y Organización Internacional de Normalización (ISO), según las referencias.</w:t>
      </w:r>
    </w:p>
    <w:p>
      <w:r>
        <w:br w:type="page"/>
      </w:r>
    </w:p>
    <w:p>
      <w:pPr>
        <w:pStyle w:val="Heading1"/>
        <w:spacing w:after="120" w:before="240"/>
      </w:pPr>
      <w:r>
        <w:rPr>
          <w:rFonts w:ascii="Arial" w:cs="Arial" w:eastAsia="Arial" w:hAnsi="Arial"/>
          <w:b/>
          <w:bCs/>
          <w:color w:val="1F3864"/>
          <w:sz w:val="26"/>
          <w:szCs w:val="26"/>
        </w:rPr>
        <w:t xml:space="preserve">Referencias</w:t>
      </w:r>
    </w:p>
    <w:p>
      <w:pPr>
        <w:spacing w:after="100" w:line="276"/>
        <w:ind w:left="567" w:hanging="567"/>
        <w:jc w:val="left"/>
      </w:pPr>
      <w:r>
        <w:rPr>
          <w:rFonts w:ascii="Arial" w:cs="Arial" w:eastAsia="Arial" w:hAnsi="Arial"/>
          <w:i w:val="false"/>
          <w:iCs w:val="false"/>
          <w:sz w:val="22"/>
          <w:szCs w:val="22"/>
        </w:rPr>
        <w:t xml:space="preserve">Alcaldía de Barrancabermeja. (2026). </w:t>
      </w:r>
      <w:r>
        <w:rPr>
          <w:rFonts w:ascii="Arial" w:cs="Arial" w:eastAsia="Arial" w:hAnsi="Arial"/>
          <w:i/>
          <w:iCs/>
          <w:sz w:val="22"/>
          <w:szCs w:val="22"/>
        </w:rPr>
        <w:t xml:space="preserve">Este año, la Liga contra el Dengue ha llegado a más de 15.000 hogares con estrategia de prevención</w:t>
      </w:r>
      <w:r>
        <w:rPr>
          <w:rFonts w:ascii="Arial" w:cs="Arial" w:eastAsia="Arial" w:hAnsi="Arial"/>
          <w:i w:val="false"/>
          <w:iCs w:val="false"/>
          <w:sz w:val="22"/>
          <w:szCs w:val="22"/>
        </w:rPr>
        <w:t xml:space="preserve">. https://www.barrancabermeja.gov.co/publicaciones/4221/este-ano-la-liga-contra-el-dengue-ha-llegado-a-mas-de-15000-hogares-con-estrategia-de-prevencion/</w:t>
      </w:r>
    </w:p>
    <w:p>
      <w:pPr>
        <w:spacing w:after="100" w:line="276"/>
        <w:ind w:left="567" w:hanging="567"/>
        <w:jc w:val="left"/>
      </w:pPr>
      <w:r>
        <w:rPr>
          <w:rFonts w:ascii="Arial" w:cs="Arial" w:eastAsia="Arial" w:hAnsi="Arial"/>
          <w:i w:val="false"/>
          <w:iCs w:val="false"/>
          <w:sz w:val="22"/>
          <w:szCs w:val="22"/>
        </w:rPr>
        <w:t xml:space="preserve">Aragón, J., &amp; Amar Amar, J. J. (2024). </w:t>
      </w:r>
      <w:r>
        <w:rPr>
          <w:rFonts w:ascii="Arial" w:cs="Arial" w:eastAsia="Arial" w:hAnsi="Arial"/>
          <w:i/>
          <w:iCs/>
          <w:sz w:val="22"/>
          <w:szCs w:val="22"/>
        </w:rPr>
        <w:t xml:space="preserve">Formulación de proyectos sociales en salud y gestión de riesgo ambiental: Experiencias del Centro de Investigaciones en Desarrollo Humano</w:t>
      </w:r>
      <w:r>
        <w:rPr>
          <w:rFonts w:ascii="Arial" w:cs="Arial" w:eastAsia="Arial" w:hAnsi="Arial"/>
          <w:i w:val="false"/>
          <w:iCs w:val="false"/>
          <w:sz w:val="22"/>
          <w:szCs w:val="22"/>
        </w:rPr>
        <w:t xml:space="preserve"> (1.ª ed., pp. 59-61). Universidad del Norte.</w:t>
      </w:r>
    </w:p>
    <w:p>
      <w:pPr>
        <w:spacing w:after="100" w:line="276"/>
        <w:ind w:left="567" w:hanging="567"/>
        <w:jc w:val="left"/>
      </w:pPr>
      <w:r>
        <w:rPr>
          <w:rFonts w:ascii="Arial" w:cs="Arial" w:eastAsia="Arial" w:hAnsi="Arial"/>
          <w:i w:val="false"/>
          <w:iCs w:val="false"/>
          <w:sz w:val="22"/>
          <w:szCs w:val="22"/>
        </w:rPr>
        <w:t xml:space="preserve">Barrera Ferro, D., &amp; Gutiérrez, E. (2020). </w:t>
      </w:r>
      <w:r>
        <w:rPr>
          <w:rFonts w:ascii="Arial" w:cs="Arial" w:eastAsia="Arial" w:hAnsi="Arial"/>
          <w:i/>
          <w:iCs/>
          <w:sz w:val="22"/>
          <w:szCs w:val="22"/>
        </w:rPr>
        <w:t xml:space="preserve">Aplicaciones de investigación de operaciones en sistemas de salud en Colombia</w:t>
      </w:r>
      <w:r>
        <w:rPr>
          <w:rFonts w:ascii="Arial" w:cs="Arial" w:eastAsia="Arial" w:hAnsi="Arial"/>
          <w:i w:val="false"/>
          <w:iCs w:val="false"/>
          <w:sz w:val="22"/>
          <w:szCs w:val="22"/>
        </w:rPr>
        <w:t xml:space="preserve"> (pp. 176-216). Editorial Pontificia Universidad Javeriana.</w:t>
      </w:r>
    </w:p>
    <w:p>
      <w:pPr>
        <w:spacing w:after="100" w:line="276"/>
        <w:ind w:left="567" w:hanging="567"/>
        <w:jc w:val="left"/>
      </w:pPr>
      <w:r>
        <w:rPr>
          <w:rFonts w:ascii="Arial" w:cs="Arial" w:eastAsia="Arial" w:hAnsi="Arial"/>
          <w:i w:val="false"/>
          <w:iCs w:val="false"/>
          <w:sz w:val="22"/>
          <w:szCs w:val="22"/>
        </w:rPr>
        <w:t xml:space="preserve">Congreso de la República de Colombia. (2010). Ley 1373 de 2010, por la cual se garantiza la vacunación gratuita y obligatoria a toda la población colombiana objeto de la misma. </w:t>
      </w:r>
      <w:r>
        <w:rPr>
          <w:rFonts w:ascii="Arial" w:cs="Arial" w:eastAsia="Arial" w:hAnsi="Arial"/>
          <w:i/>
          <w:iCs/>
          <w:sz w:val="22"/>
          <w:szCs w:val="22"/>
        </w:rPr>
        <w:t xml:space="preserve">Diario Oficial</w:t>
      </w:r>
      <w:r>
        <w:rPr>
          <w:rFonts w:ascii="Arial" w:cs="Arial" w:eastAsia="Arial" w:hAnsi="Arial"/>
          <w:i w:val="false"/>
          <w:iCs w:val="false"/>
          <w:sz w:val="22"/>
          <w:szCs w:val="22"/>
        </w:rPr>
        <w:t xml:space="preserve"> 47.586.</w:t>
      </w:r>
    </w:p>
    <w:p>
      <w:pPr>
        <w:spacing w:after="100" w:line="276"/>
        <w:ind w:left="567" w:hanging="567"/>
        <w:jc w:val="left"/>
      </w:pPr>
      <w:r>
        <w:rPr>
          <w:rFonts w:ascii="Arial" w:cs="Arial" w:eastAsia="Arial" w:hAnsi="Arial"/>
          <w:i w:val="false"/>
          <w:iCs w:val="false"/>
          <w:sz w:val="22"/>
          <w:szCs w:val="22"/>
        </w:rPr>
        <w:t xml:space="preserve">Congreso de la República de Colombia. (2010). Ley 1384 de 2010, por la cual se establecen las acciones para la atención integral del cáncer en Colombia. </w:t>
      </w:r>
      <w:r>
        <w:rPr>
          <w:rFonts w:ascii="Arial" w:cs="Arial" w:eastAsia="Arial" w:hAnsi="Arial"/>
          <w:i/>
          <w:iCs/>
          <w:sz w:val="22"/>
          <w:szCs w:val="22"/>
        </w:rPr>
        <w:t xml:space="preserve">Diario Oficial</w:t>
      </w:r>
      <w:r>
        <w:rPr>
          <w:rFonts w:ascii="Arial" w:cs="Arial" w:eastAsia="Arial" w:hAnsi="Arial"/>
          <w:i w:val="false"/>
          <w:iCs w:val="false"/>
          <w:sz w:val="22"/>
          <w:szCs w:val="22"/>
        </w:rPr>
        <w:t xml:space="preserve"> 47.685.</w:t>
      </w:r>
    </w:p>
    <w:p>
      <w:pPr>
        <w:spacing w:after="100" w:line="276"/>
        <w:ind w:left="567" w:hanging="567"/>
        <w:jc w:val="left"/>
      </w:pPr>
      <w:r>
        <w:rPr>
          <w:rFonts w:ascii="Arial" w:cs="Arial" w:eastAsia="Arial" w:hAnsi="Arial"/>
          <w:i w:val="false"/>
          <w:iCs w:val="false"/>
          <w:sz w:val="22"/>
          <w:szCs w:val="22"/>
        </w:rPr>
        <w:t xml:space="preserve">Congreso de la República de Colombia. (2015). Ley Estatutaria 1751 de 2015, por medio de la cual se regula el derecho fundamental a la salud. </w:t>
      </w:r>
      <w:r>
        <w:rPr>
          <w:rFonts w:ascii="Arial" w:cs="Arial" w:eastAsia="Arial" w:hAnsi="Arial"/>
          <w:i/>
          <w:iCs/>
          <w:sz w:val="22"/>
          <w:szCs w:val="22"/>
        </w:rPr>
        <w:t xml:space="preserve">Diario Oficial</w:t>
      </w:r>
      <w:r>
        <w:rPr>
          <w:rFonts w:ascii="Arial" w:cs="Arial" w:eastAsia="Arial" w:hAnsi="Arial"/>
          <w:i w:val="false"/>
          <w:iCs w:val="false"/>
          <w:sz w:val="22"/>
          <w:szCs w:val="22"/>
        </w:rPr>
        <w:t xml:space="preserve"> 49.427.</w:t>
      </w:r>
    </w:p>
    <w:p>
      <w:pPr>
        <w:spacing w:after="100" w:line="276"/>
        <w:ind w:left="567" w:hanging="567"/>
        <w:jc w:val="left"/>
      </w:pPr>
      <w:r>
        <w:rPr>
          <w:rFonts w:ascii="Arial" w:cs="Arial" w:eastAsia="Arial" w:hAnsi="Arial"/>
          <w:i w:val="false"/>
          <w:iCs w:val="false"/>
          <w:sz w:val="22"/>
          <w:szCs w:val="22"/>
        </w:rPr>
        <w:t xml:space="preserve">Enlace Televisión. (2026, 1 de septiembre). </w:t>
      </w:r>
      <w:r>
        <w:rPr>
          <w:rFonts w:ascii="Arial" w:cs="Arial" w:eastAsia="Arial" w:hAnsi="Arial"/>
          <w:i/>
          <w:iCs/>
          <w:sz w:val="22"/>
          <w:szCs w:val="22"/>
        </w:rPr>
        <w:t xml:space="preserve">Dengue baja 14,8 % en Barrancabermeja</w:t>
      </w:r>
      <w:r>
        <w:rPr>
          <w:rFonts w:ascii="Arial" w:cs="Arial" w:eastAsia="Arial" w:hAnsi="Arial"/>
          <w:i w:val="false"/>
          <w:iCs w:val="false"/>
          <w:sz w:val="22"/>
          <w:szCs w:val="22"/>
        </w:rPr>
        <w:t xml:space="preserve">. https://enlacetelevision.com/2026/09/01/dengue-baja-148-en-barrancabermeja/</w:t>
      </w:r>
    </w:p>
    <w:p>
      <w:pPr>
        <w:spacing w:after="100" w:line="276"/>
        <w:ind w:left="567" w:hanging="567"/>
        <w:jc w:val="left"/>
      </w:pPr>
      <w:r>
        <w:rPr>
          <w:rFonts w:ascii="Arial" w:cs="Arial" w:eastAsia="Arial" w:hAnsi="Arial"/>
          <w:i w:val="false"/>
          <w:iCs w:val="false"/>
          <w:sz w:val="22"/>
          <w:szCs w:val="22"/>
        </w:rPr>
        <w:t xml:space="preserve">Fernández-Costales Muñiz, J. (2021). </w:t>
      </w:r>
      <w:r>
        <w:rPr>
          <w:rFonts w:ascii="Arial" w:cs="Arial" w:eastAsia="Arial" w:hAnsi="Arial"/>
          <w:i/>
          <w:iCs/>
          <w:sz w:val="22"/>
          <w:szCs w:val="22"/>
        </w:rPr>
        <w:t xml:space="preserve">Salud pública y prevención de riesgos laborales</w:t>
      </w:r>
      <w:r>
        <w:rPr>
          <w:rFonts w:ascii="Arial" w:cs="Arial" w:eastAsia="Arial" w:hAnsi="Arial"/>
          <w:i w:val="false"/>
          <w:iCs w:val="false"/>
          <w:sz w:val="22"/>
          <w:szCs w:val="22"/>
        </w:rPr>
        <w:t xml:space="preserve"> (1.ª ed., pp. 144-160). Editorial Reus.</w:t>
      </w:r>
    </w:p>
    <w:p>
      <w:pPr>
        <w:spacing w:after="100" w:line="276"/>
        <w:ind w:left="567" w:hanging="567"/>
        <w:jc w:val="left"/>
      </w:pPr>
      <w:r>
        <w:rPr>
          <w:rFonts w:ascii="Arial" w:cs="Arial" w:eastAsia="Arial" w:hAnsi="Arial"/>
          <w:i w:val="false"/>
          <w:iCs w:val="false"/>
          <w:sz w:val="22"/>
          <w:szCs w:val="22"/>
        </w:rPr>
        <w:t xml:space="preserve">Ministerio de Salud y Protección Social. (2015). Resolución 518 de 2015, por la cual se dictan disposiciones en relación con la Gestión de la Salud Pública y se establecen directrices para la ejecución, seguimiento y evaluación del Plan de Salud Pública de Intervenciones Colectivas (PIC).</w:t>
      </w:r>
    </w:p>
    <w:p>
      <w:pPr>
        <w:spacing w:after="100" w:line="276"/>
        <w:ind w:left="567" w:hanging="567"/>
        <w:jc w:val="left"/>
      </w:pPr>
      <w:r>
        <w:rPr>
          <w:rFonts w:ascii="Arial" w:cs="Arial" w:eastAsia="Arial" w:hAnsi="Arial"/>
          <w:i w:val="false"/>
          <w:iCs w:val="false"/>
          <w:sz w:val="22"/>
          <w:szCs w:val="22"/>
        </w:rPr>
        <w:t xml:space="preserve">Ministerio de Salud y Protección Social. (2018). Resolución 3280 de 2018, por medio de la cual se adoptan los lineamientos técnicos y operativos de la Ruta Integral de Atención para la Promoción y Mantenimiento de la Salud.</w:t>
      </w:r>
    </w:p>
    <w:p>
      <w:pPr>
        <w:spacing w:after="100" w:line="276"/>
        <w:ind w:left="567" w:hanging="567"/>
        <w:jc w:val="left"/>
      </w:pPr>
      <w:r>
        <w:rPr>
          <w:rFonts w:ascii="Arial" w:cs="Arial" w:eastAsia="Arial" w:hAnsi="Arial"/>
          <w:i w:val="false"/>
          <w:iCs w:val="false"/>
          <w:sz w:val="22"/>
          <w:szCs w:val="22"/>
        </w:rPr>
        <w:t xml:space="preserve">Ministerio de Salud y Protección Social. (2019). Resolución 2626 de 2019, por la cual se modifica la Política de Atención Integral en Salud y se adopta el Modelo de Acción Integral Territorial (MAITE).</w:t>
      </w:r>
    </w:p>
    <w:p>
      <w:pPr>
        <w:spacing w:after="100" w:line="276"/>
        <w:ind w:left="567" w:hanging="567"/>
        <w:jc w:val="left"/>
      </w:pPr>
      <w:r>
        <w:rPr>
          <w:rFonts w:ascii="Arial" w:cs="Arial" w:eastAsia="Arial" w:hAnsi="Arial"/>
          <w:i w:val="false"/>
          <w:iCs w:val="false"/>
          <w:sz w:val="22"/>
          <w:szCs w:val="22"/>
        </w:rPr>
        <w:t xml:space="preserve">Ministerio de Salud y Protección Social. (2022). Resolución 1035 de 2022, por la cual se adopta el Plan Decenal de Salud Pública 2022-2031.</w:t>
      </w:r>
    </w:p>
    <w:p>
      <w:pPr>
        <w:spacing w:after="100" w:line="276"/>
        <w:ind w:left="567" w:hanging="567"/>
        <w:jc w:val="left"/>
      </w:pPr>
      <w:r>
        <w:rPr>
          <w:rFonts w:ascii="Arial" w:cs="Arial" w:eastAsia="Arial" w:hAnsi="Arial"/>
          <w:i w:val="false"/>
          <w:iCs w:val="false"/>
          <w:sz w:val="22"/>
          <w:szCs w:val="22"/>
        </w:rPr>
        <w:t xml:space="preserve">Murillo Aceituno, C., &amp; García Jiménez, Ó. E. (Eds.). (2022). </w:t>
      </w:r>
      <w:r>
        <w:rPr>
          <w:rFonts w:ascii="Arial" w:cs="Arial" w:eastAsia="Arial" w:hAnsi="Arial"/>
          <w:i/>
          <w:iCs/>
          <w:sz w:val="22"/>
          <w:szCs w:val="22"/>
        </w:rPr>
        <w:t xml:space="preserve">Telemedicina de la red iberoamericana de salud digital</w:t>
      </w:r>
      <w:r>
        <w:rPr>
          <w:rFonts w:ascii="Arial" w:cs="Arial" w:eastAsia="Arial" w:hAnsi="Arial"/>
          <w:i w:val="false"/>
          <w:iCs w:val="false"/>
          <w:sz w:val="22"/>
          <w:szCs w:val="22"/>
        </w:rPr>
        <w:t xml:space="preserve"> (1.ª ed., pp. 67-79). RIL editores.</w:t>
      </w:r>
    </w:p>
    <w:p>
      <w:pPr>
        <w:spacing w:after="100" w:line="276"/>
        <w:ind w:left="567" w:hanging="567"/>
        <w:jc w:val="left"/>
      </w:pPr>
      <w:r>
        <w:rPr>
          <w:rFonts w:ascii="Arial" w:cs="Arial" w:eastAsia="Arial" w:hAnsi="Arial"/>
          <w:i w:val="false"/>
          <w:iCs w:val="false"/>
          <w:sz w:val="22"/>
          <w:szCs w:val="22"/>
        </w:rPr>
        <w:t xml:space="preserve">Organización Internacional de Normalización. (2018). </w:t>
      </w:r>
      <w:r>
        <w:rPr>
          <w:rFonts w:ascii="Arial" w:cs="Arial" w:eastAsia="Arial" w:hAnsi="Arial"/>
          <w:i/>
          <w:iCs/>
          <w:sz w:val="22"/>
          <w:szCs w:val="22"/>
        </w:rPr>
        <w:t xml:space="preserve">ISO 31000:2018. Gestión del riesgo: Directrices</w:t>
      </w:r>
      <w:r>
        <w:rPr>
          <w:rFonts w:ascii="Arial" w:cs="Arial" w:eastAsia="Arial" w:hAnsi="Arial"/>
          <w:i w:val="false"/>
          <w:iCs w:val="false"/>
          <w:sz w:val="22"/>
          <w:szCs w:val="22"/>
        </w:rPr>
        <w:t xml:space="preserve"> (2.ª ed., pp. 15-18). ISO.</w:t>
      </w:r>
    </w:p>
    <w:p>
      <w:pPr>
        <w:spacing w:after="100" w:line="276"/>
        <w:ind w:left="567" w:hanging="567"/>
        <w:jc w:val="left"/>
      </w:pPr>
      <w:r>
        <w:rPr>
          <w:rFonts w:ascii="Arial" w:cs="Arial" w:eastAsia="Arial" w:hAnsi="Arial"/>
          <w:i w:val="false"/>
          <w:iCs w:val="false"/>
          <w:sz w:val="22"/>
          <w:szCs w:val="22"/>
        </w:rPr>
        <w:t xml:space="preserve">Organización Mundial de la Salud. (2021). </w:t>
      </w:r>
      <w:r>
        <w:rPr>
          <w:rFonts w:ascii="Arial" w:cs="Arial" w:eastAsia="Arial" w:hAnsi="Arial"/>
          <w:i/>
          <w:iCs/>
          <w:sz w:val="22"/>
          <w:szCs w:val="22"/>
        </w:rPr>
        <w:t xml:space="preserve">Marco de gestión del riesgo de emergencias y desastres de salud</w:t>
      </w:r>
      <w:r>
        <w:rPr>
          <w:rFonts w:ascii="Arial" w:cs="Arial" w:eastAsia="Arial" w:hAnsi="Arial"/>
          <w:i w:val="false"/>
          <w:iCs w:val="false"/>
          <w:sz w:val="22"/>
          <w:szCs w:val="22"/>
        </w:rPr>
        <w:t xml:space="preserve"> (pp. 4-22). OMS.</w:t>
      </w:r>
    </w:p>
    <w:p>
      <w:pPr>
        <w:spacing w:after="100" w:line="276"/>
        <w:ind w:left="567" w:hanging="567"/>
        <w:jc w:val="left"/>
      </w:pPr>
      <w:r>
        <w:rPr>
          <w:rFonts w:ascii="Arial" w:cs="Arial" w:eastAsia="Arial" w:hAnsi="Arial"/>
          <w:i w:val="false"/>
          <w:iCs w:val="false"/>
          <w:sz w:val="22"/>
          <w:szCs w:val="22"/>
        </w:rPr>
        <w:t xml:space="preserve">Organización Mundial de la Salud. (2022). </w:t>
      </w:r>
      <w:r>
        <w:rPr>
          <w:rFonts w:ascii="Arial" w:cs="Arial" w:eastAsia="Arial" w:hAnsi="Arial"/>
          <w:i/>
          <w:iCs/>
          <w:sz w:val="22"/>
          <w:szCs w:val="22"/>
        </w:rPr>
        <w:t xml:space="preserve">Directriz de la OMS: Recomendaciones sobre intervenciones digitales para fortalecer los sistemas de salud</w:t>
      </w:r>
      <w:r>
        <w:rPr>
          <w:rFonts w:ascii="Arial" w:cs="Arial" w:eastAsia="Arial" w:hAnsi="Arial"/>
          <w:i w:val="false"/>
          <w:iCs w:val="false"/>
          <w:sz w:val="22"/>
          <w:szCs w:val="22"/>
        </w:rPr>
        <w:t xml:space="preserve"> (pp. 15-34). OMS.</w:t>
      </w:r>
    </w:p>
    <w:p>
      <w:pPr>
        <w:spacing w:after="100" w:line="276"/>
        <w:ind w:left="567" w:hanging="567"/>
        <w:jc w:val="left"/>
      </w:pPr>
      <w:r>
        <w:rPr>
          <w:rFonts w:ascii="Arial" w:cs="Arial" w:eastAsia="Arial" w:hAnsi="Arial"/>
          <w:i w:val="false"/>
          <w:iCs w:val="false"/>
          <w:sz w:val="22"/>
          <w:szCs w:val="22"/>
        </w:rPr>
        <w:t xml:space="preserve">Organización Mundial de la Salud. (2023). </w:t>
      </w:r>
      <w:r>
        <w:rPr>
          <w:rFonts w:ascii="Arial" w:cs="Arial" w:eastAsia="Arial" w:hAnsi="Arial"/>
          <w:i/>
          <w:iCs/>
          <w:sz w:val="22"/>
          <w:szCs w:val="22"/>
        </w:rPr>
        <w:t xml:space="preserve">Capacidad del personal nacional para realizar las funciones esenciales de salud pública, con atención a la preparación y respuesta ante emergencias: Hoja de ruta para armonizar las contribuciones de la OMS y los asociados</w:t>
      </w:r>
      <w:r>
        <w:rPr>
          <w:rFonts w:ascii="Arial" w:cs="Arial" w:eastAsia="Arial" w:hAnsi="Arial"/>
          <w:i w:val="false"/>
          <w:iCs w:val="false"/>
          <w:sz w:val="22"/>
          <w:szCs w:val="22"/>
        </w:rPr>
        <w:t xml:space="preserve"> (pp. 4-17). OMS.</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2026-10-08T21:58:23.951Z</dcterms:created>
  <dcterms:modified xsi:type="dcterms:W3CDTF">2026-10-08T21:58:23.960Z</dcterms:modified>
</cp:coreProperties>
</file>

<file path=docProps/custom.xml><?xml version="1.0" encoding="utf-8"?>
<Properties xmlns="http://schemas.openxmlformats.org/officeDocument/2006/custom-properties" xmlns:vt="http://schemas.openxmlformats.org/officeDocument/2006/docPropsVTypes"/>
</file>