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jc w:val="center"/>
      </w:pPr>
      <w:r>
        <w:rPr>
          <w:rFonts w:ascii="Arial" w:cs="Arial" w:eastAsia="Arial" w:hAnsi="Arial"/>
          <w:b w:val="false"/>
          <w:bCs w:val="false"/>
          <w:sz w:val="24"/>
          <w:szCs w:val="24"/>
        </w:rPr>
        <w:t xml:space="preserve"/>
      </w:r>
    </w:p>
    <w:p>
      <w:pPr>
        <w:spacing w:after="300"/>
        <w:jc w:val="center"/>
      </w:pPr>
      <w:r>
        <w:rPr>
          <w:rFonts w:ascii="Arial" w:cs="Arial" w:eastAsia="Arial" w:hAnsi="Arial"/>
          <w:b/>
          <w:bCs/>
          <w:sz w:val="30"/>
          <w:szCs w:val="30"/>
        </w:rPr>
        <w:t xml:space="preserve">Seguridad del paciente en los sistemas de salud: análisis de un error de medicación por vía equivocada</w:t>
      </w:r>
    </w:p>
    <w:p>
      <w:pPr>
        <w:spacing w:after="1000"/>
        <w:jc w:val="center"/>
      </w:pPr>
      <w:r>
        <w:rPr>
          <w:rFonts w:ascii="Arial" w:cs="Arial" w:eastAsia="Arial" w:hAnsi="Arial"/>
          <w:b w:val="false"/>
          <w:bCs w:val="false"/>
          <w:sz w:val="24"/>
          <w:szCs w:val="24"/>
        </w:rPr>
        <w:t xml:space="preserve">Video</w:t>
      </w:r>
    </w:p>
    <w:p>
      <w:pPr>
        <w:spacing w:after="500"/>
        <w:jc w:val="center"/>
      </w:pPr>
      <w:r>
        <w:rPr>
          <w:rFonts w:ascii="Arial" w:cs="Arial" w:eastAsia="Arial" w:hAnsi="Arial"/>
          <w:b/>
          <w:bCs/>
          <w:sz w:val="24"/>
          <w:szCs w:val="24"/>
        </w:rPr>
        <w:t xml:space="preserve">Yina Vanessa Cadena Mantilla</w:t>
      </w:r>
    </w:p>
    <w:p>
      <w:pPr>
        <w:spacing w:after="120"/>
        <w:jc w:val="center"/>
      </w:pPr>
      <w:r>
        <w:rPr>
          <w:rFonts w:ascii="Arial" w:cs="Arial" w:eastAsia="Arial" w:hAnsi="Arial"/>
          <w:b w:val="false"/>
          <w:bCs w:val="false"/>
          <w:sz w:val="24"/>
          <w:szCs w:val="24"/>
        </w:rPr>
        <w:t xml:space="preserve">Especialización en Gerencia y Auditoría de la Calidad en Salud</w:t>
      </w:r>
    </w:p>
    <w:p>
      <w:pPr>
        <w:spacing w:after="120"/>
        <w:jc w:val="center"/>
      </w:pPr>
      <w:r>
        <w:rPr>
          <w:rFonts w:ascii="Arial" w:cs="Arial" w:eastAsia="Arial" w:hAnsi="Arial"/>
          <w:b w:val="false"/>
          <w:bCs w:val="false"/>
          <w:sz w:val="24"/>
          <w:szCs w:val="24"/>
        </w:rPr>
        <w:t xml:space="preserve">Curso: [Nombre del curso]</w:t>
      </w:r>
    </w:p>
    <w:p>
      <w:pPr>
        <w:spacing w:after="500"/>
        <w:jc w:val="center"/>
      </w:pPr>
      <w:r>
        <w:rPr>
          <w:rFonts w:ascii="Arial" w:cs="Arial" w:eastAsia="Arial" w:hAnsi="Arial"/>
          <w:b w:val="false"/>
          <w:bCs w:val="false"/>
          <w:sz w:val="24"/>
          <w:szCs w:val="24"/>
        </w:rPr>
        <w:t xml:space="preserve">Semana [N.º]: Video. Seguridad del paciente en los sistemas de salud</w:t>
      </w:r>
    </w:p>
    <w:p>
      <w:pPr>
        <w:spacing w:after="500"/>
        <w:jc w:val="center"/>
      </w:pPr>
      <w:r>
        <w:rPr>
          <w:rFonts w:ascii="Arial" w:cs="Arial" w:eastAsia="Arial" w:hAnsi="Arial"/>
          <w:b w:val="false"/>
          <w:bCs w:val="false"/>
          <w:sz w:val="24"/>
          <w:szCs w:val="24"/>
        </w:rPr>
        <w:t xml:space="preserve">Docente: [Nombre del docente]</w:t>
      </w:r>
    </w:p>
    <w:p>
      <w:pPr>
        <w:spacing w:after="500"/>
        <w:jc w:val="center"/>
      </w:pPr>
      <w:r>
        <w:rPr>
          <w:rFonts w:ascii="Arial" w:cs="Arial" w:eastAsia="Arial" w:hAnsi="Arial"/>
          <w:b w:val="false"/>
          <w:bCs w:val="false"/>
          <w:sz w:val="24"/>
          <w:szCs w:val="24"/>
        </w:rPr>
        <w:t xml:space="preserve">[Fecha de entrega]</w:t>
      </w:r>
    </w:p>
    <w:p>
      <w:pPr>
        <w:spacing w:after="120"/>
        <w:jc w:val="center"/>
      </w:pPr>
      <w:r>
        <w:rPr>
          <w:rFonts w:ascii="Arial" w:cs="Arial" w:eastAsia="Arial" w:hAnsi="Arial"/>
          <w:b/>
          <w:bCs/>
          <w:sz w:val="24"/>
          <w:szCs w:val="24"/>
        </w:rPr>
        <w:t xml:space="preserve">Enlace del video en YouTube: [pegar aquí el enlace]</w:t>
      </w:r>
    </w:p>
    <w:p>
      <w:r>
        <w:br w:type="page"/>
      </w:r>
    </w:p>
    <w:p>
      <w:pPr>
        <w:pStyle w:val="Heading1"/>
        <w:spacing w:after="120" w:before="240"/>
      </w:pPr>
      <w:r>
        <w:rPr>
          <w:rFonts w:ascii="Arial" w:cs="Arial" w:eastAsia="Arial" w:hAnsi="Arial"/>
          <w:b/>
          <w:bCs/>
          <w:color w:val="1F3864"/>
          <w:sz w:val="26"/>
          <w:szCs w:val="26"/>
        </w:rPr>
        <w:t xml:space="preserve">1. Cuadro comparativo del caso</w:t>
      </w:r>
    </w:p>
    <w:p>
      <w:pPr>
        <w:spacing w:after="80" w:line="259"/>
        <w:ind w:firstLine="567"/>
        <w:jc w:val="both"/>
      </w:pPr>
      <w:r>
        <w:rPr>
          <w:rFonts w:ascii="Arial" w:cs="Arial" w:eastAsia="Arial" w:hAnsi="Arial"/>
          <w:sz w:val="22"/>
          <w:szCs w:val="22"/>
        </w:rPr>
        <w:t xml:space="preserve">El caso seleccionado es real y fue reportado por varios medios de comunicación en abril de 2026. Como la investigación institucional sigue en curso, los factores que explican por qué ocurrió se plantean como hipótesis de análisis, siguiendo la lógica del Protocolo de Londres, y no como hechos comprobados.</w:t>
      </w:r>
    </w:p>
    <w:p>
      <w:pPr>
        <w:keepNext/>
        <w:spacing w:after="60" w:before="120"/>
      </w:pPr>
      <w:r>
        <w:rPr>
          <w:rFonts w:ascii="Arial" w:cs="Arial" w:eastAsia="Arial" w:hAnsi="Arial"/>
          <w:b/>
          <w:bCs/>
          <w:sz w:val="20"/>
          <w:szCs w:val="20"/>
        </w:rPr>
        <w:t xml:space="preserve">Tabla 1</w:t>
      </w:r>
    </w:p>
    <w:p>
      <w:pPr>
        <w:keepNext/>
        <w:spacing w:after="80"/>
      </w:pPr>
      <w:r>
        <w:rPr>
          <w:rFonts w:ascii="Arial" w:cs="Arial" w:eastAsia="Arial" w:hAnsi="Arial"/>
          <w:i/>
          <w:iCs/>
          <w:sz w:val="20"/>
          <w:szCs w:val="20"/>
        </w:rPr>
        <w:t xml:space="preserve">Descripción, análisis crítico, propuesta de mejora y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Aspecto</w:t>
            </w:r>
          </w:p>
        </w:tc>
        <w:tc>
          <w:tcPr>
            <w:tcW w:type="dxa" w:w="73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Desarrollo</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Tipo de institución</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Empresa Social del Estado (IPS pública): Hospital San Juan de Dios de Yarumal, Antioquia, con participación de estudiantes en práctica (relación docencia-servicio).</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Área del servicio</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Atención asistencial por urgencias: la paciente consultó por dolor abdominal asociado a gastritis.</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Situación específica</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El 22 de abril de 2026, a una mujer de 46 años (algunos medios reportan 50) se le ordenó un antiácido de uso exclusivamente oral (Mylanta, según varios medios). Una practicante de enfermería lo habría administrado por vía intravenosa. La paciente se deterioró y fue remitida a la UCI del Hospital San Vicente Fundación en Medellín, con pronóstico reservado.</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Tipo de riesgo</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Riesgo asociado a la administración de medicamentos: error de vía de administración. Es un evento adverso prevenible.</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Consecuencia para la salud</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Daño grave: deterioro clínico que requirió cuidado intensivo y puso en riesgo la vida de la paciente.</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Protocolo ausente o fallido</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Seguridad en la utilización de medicamentos: verificación de los “correctos” (paciente, medicamento, dosis, vía, hora, registro) y supervisión directa del personal en formación.</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Análisis: ¿por qué ocurrió?</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Posibles factores contributivos (hipótesis): 1) Individuales: inexperiencia de la estudiante y no verificación de la vía antes de administrar. 2) De la tarea: un medicamento oral preparado en jeringa, sin rótulo de “solo vía oral”. 3) De equipo: posible falta de supervisión directa y comunicación poco clara de la orden. 4) Organizacionales: debilidades en el convenio docencia-servicio, carga de trabajo en urgencias y ausencia de barreras como la doble verificación.</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Impacto en el paciente</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Daño físico grave, hospitalización en UCI, sufrimiento para la paciente y su familia, y pérdida de confianza en el sistema.</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Impacto en el equipo de salud</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La estudiante y su supervisor se convierten en “segundas víctimas”: culpa, estrés, procesos disciplinarios y posible responsabilidad legal.</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Impacto en la institución</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Afectación de la imagen, investigaciones de los entes de control, posibles demandas y costos de atención, y pérdida de confianza de la comunidad.</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¿Qué se debió hacer?</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Verificar la orden médica escrita y la vía antes de preparar el medicamento; administrar los medicamentos orales en vaso o en jeringa oral rotulada, nunca en jeringa de uso intravenoso; que el docente o el profesional responsable supervisara directamente el procedimiento.</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Protocolo que existe</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Paquete instruccional “Mejorar la seguridad en la utilización de medicamentos” de la Guía técnica de buenas prácticas para la seguridad del paciente (MSPS); Programa de Seguridad del Paciente exigido por la Resolución 3100 de 2019; Decreto 2376 de 2010 (docencia-servicio), que exige supervisión del estudiante; Reto Mundial “Medicación sin daño” de la OMS.</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Acciones inmediatas</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Atención y acompañamiento a la paciente y su familia; reporte y análisis del evento con el Protocolo de Londres; capacitación en los correctos y en vías de administración; doble verificación de medicamentos de alto riesgo; rótulos y jeringas exclusivas para vía oral; supervisión directa obligatoria de estudiantes; cultura de reporte no punitiva.</w:t>
            </w:r>
          </w:p>
        </w:tc>
      </w:tr>
      <w:tr>
        <w:trPr>
          <w:cantSplit/>
          <w:tblHeader w:val="false"/>
        </w:trPr>
        <w:tc>
          <w:tcPr>
            <w:tcW w:type="dxa" w:w="20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Cierre</w:t>
            </w:r>
          </w:p>
        </w:tc>
        <w:tc>
          <w:tcPr>
            <w:tcW w:type="dxa" w:w="7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Seguir los protocolos es vital porque cada paso de verificación es una barrera que separa al paciente del daño. Llamado a la acción: verificar siempre, trabajar en equipo, preguntar ante la duda, capacitarse de forma continua y reportar sin miedo para aprender de los errores.</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con base en Blu Radio (2026), Noticias RCN (2026), LA FM (2026), Publimetro (2026) y la normatividad citada.</w:t>
      </w:r>
    </w:p>
    <w:p>
      <w:pPr>
        <w:pStyle w:val="Heading2"/>
        <w:spacing w:after="100" w:before="180"/>
      </w:pPr>
      <w:r>
        <w:rPr>
          <w:rFonts w:ascii="Arial" w:cs="Arial" w:eastAsia="Arial" w:hAnsi="Arial"/>
          <w:b/>
          <w:bCs/>
          <w:color w:val="2E5496"/>
          <w:sz w:val="23"/>
          <w:szCs w:val="23"/>
        </w:rPr>
        <w:t xml:space="preserve">Herramientas de seguridad del paciente y su relación con los modelos de calidad</w:t>
      </w:r>
    </w:p>
    <w:p>
      <w:pPr>
        <w:keepNext/>
        <w:spacing w:after="60" w:before="120"/>
      </w:pPr>
      <w:r>
        <w:rPr>
          <w:rFonts w:ascii="Arial" w:cs="Arial" w:eastAsia="Arial" w:hAnsi="Arial"/>
          <w:b/>
          <w:bCs/>
          <w:sz w:val="20"/>
          <w:szCs w:val="20"/>
        </w:rPr>
        <w:t xml:space="preserve">Tabla 2</w:t>
      </w:r>
    </w:p>
    <w:p>
      <w:pPr>
        <w:keepNext/>
        <w:spacing w:after="80"/>
      </w:pPr>
      <w:r>
        <w:rPr>
          <w:rFonts w:ascii="Arial" w:cs="Arial" w:eastAsia="Arial" w:hAnsi="Arial"/>
          <w:i/>
          <w:iCs/>
          <w:sz w:val="20"/>
          <w:szCs w:val="20"/>
        </w:rPr>
        <w:t xml:space="preserve">Comparación entre lo que ocurrió y lo que indica la caja de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cantSplit/>
          <w:tblHeader/>
        </w:trPr>
        <w:tc>
          <w:tcPr>
            <w:tcW w:type="dxa" w:w="23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Herramienta</w:t>
            </w:r>
          </w:p>
        </w:tc>
        <w:tc>
          <w:tcPr>
            <w:tcW w:type="dxa" w:w="34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Lo que ocurrió en el caso</w:t>
            </w:r>
          </w:p>
        </w:tc>
        <w:tc>
          <w:tcPr>
            <w:tcW w:type="dxa" w:w="36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Lo que indica la herramienta</w:t>
            </w:r>
          </w:p>
        </w:tc>
      </w:tr>
      <w:tr>
        <w:trPr>
          <w:cantSplit/>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Los “correctos” de la administración de medicamentos</w:t>
            </w:r>
          </w:p>
        </w:tc>
        <w:tc>
          <w:tcPr>
            <w:tcW w:type="dxa" w:w="34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No se verificó la vía correcta.</w:t>
            </w:r>
          </w:p>
        </w:tc>
        <w:tc>
          <w:tcPr>
            <w:tcW w:type="dxa" w:w="3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Verificar paciente, medicamento, dosis, vía, hora y registro antes de cada administración.</w:t>
            </w:r>
          </w:p>
        </w:tc>
      </w:tr>
      <w:tr>
        <w:trPr>
          <w:cantSplit/>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Doble verificación</w:t>
            </w:r>
          </w:p>
        </w:tc>
        <w:tc>
          <w:tcPr>
            <w:tcW w:type="dxa" w:w="34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Al parecer, nadie revisó antes de administrar.</w:t>
            </w:r>
          </w:p>
        </w:tc>
        <w:tc>
          <w:tcPr>
            <w:tcW w:type="dxa" w:w="3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Un segundo profesional confirma la orden y la preparación.</w:t>
            </w:r>
          </w:p>
        </w:tc>
      </w:tr>
      <w:tr>
        <w:trPr>
          <w:cantSplit/>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Supervisión docencia-servicio</w:t>
            </w:r>
          </w:p>
        </w:tc>
        <w:tc>
          <w:tcPr>
            <w:tcW w:type="dxa" w:w="34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Una estudiante habría actuado sin supervisión directa.</w:t>
            </w:r>
          </w:p>
        </w:tc>
        <w:tc>
          <w:tcPr>
            <w:tcW w:type="dxa" w:w="3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Decreto 2376 de 2010: el estudiante actúa bajo supervisión del docente o del profesional responsable.</w:t>
            </w:r>
          </w:p>
        </w:tc>
      </w:tr>
      <w:tr>
        <w:trPr>
          <w:cantSplit/>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Barreras físicas</w:t>
            </w:r>
          </w:p>
        </w:tc>
        <w:tc>
          <w:tcPr>
            <w:tcW w:type="dxa" w:w="34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El medicamento oral habría sido preparado en una jeringa de uso intravenoso.</w:t>
            </w:r>
          </w:p>
        </w:tc>
        <w:tc>
          <w:tcPr>
            <w:tcW w:type="dxa" w:w="3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Jeringas exclusivas para vía oral, de color distinto y no compatibles con equipos intravenosos, más rótulo de “solo vía oral”.</w:t>
            </w:r>
          </w:p>
        </w:tc>
      </w:tr>
      <w:tr>
        <w:trPr>
          <w:cantSplit/>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Reporte y análisis del evento (Protocolo de Londres)</w:t>
            </w:r>
          </w:p>
        </w:tc>
        <w:tc>
          <w:tcPr>
            <w:tcW w:type="dxa" w:w="34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El hospital reconoció el evento adverso e inició la investigación.</w:t>
            </w:r>
          </w:p>
        </w:tc>
        <w:tc>
          <w:tcPr>
            <w:tcW w:type="dxa" w:w="3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Identificar factores contributivos y acciones de mejora sin buscar culpables individuales.</w:t>
            </w:r>
          </w:p>
        </w:tc>
      </w:tr>
      <w:tr>
        <w:trPr>
          <w:cantSplit/>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Ciclo PHVA (modelos de calidad)</w:t>
            </w:r>
          </w:p>
        </w:tc>
        <w:tc>
          <w:tcPr>
            <w:tcW w:type="dxa" w:w="34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La falla muestra un proceso sin control.</w:t>
            </w:r>
          </w:p>
        </w:tc>
        <w:tc>
          <w:tcPr>
            <w:tcW w:type="dxa" w:w="3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Planear el proceso seguro, hacerlo, verificarlo con indicadores y actuar con planes de mejora: la misma lógica de la ISO 9001 y del PAMEC.</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con base en el Ministerio de Salud y Protección Social (2010) y la Organización Mundial de la Salud (2017, 2021).</w:t>
      </w:r>
    </w:p>
    <w:p>
      <w:pPr>
        <w:spacing w:after="80" w:line="259"/>
        <w:ind w:firstLine="567"/>
        <w:jc w:val="both"/>
      </w:pPr>
      <w:r>
        <w:rPr>
          <w:rFonts w:ascii="Arial" w:cs="Arial" w:eastAsia="Arial" w:hAnsi="Arial"/>
          <w:b/>
          <w:bCs/>
          <w:sz w:val="22"/>
          <w:szCs w:val="22"/>
        </w:rPr>
        <w:t xml:space="preserve">Estrategias de aplicación de las herramientas: </w:t>
      </w:r>
      <w:r>
        <w:rPr>
          <w:rFonts w:ascii="Arial" w:cs="Arial" w:eastAsia="Arial" w:hAnsi="Arial"/>
          <w:sz w:val="22"/>
          <w:szCs w:val="22"/>
        </w:rPr>
        <w:t xml:space="preserve">las herramientas funcionan cuando se integran a la rutina con capacitación periódica, listas de chequeo, rondas de seguridad, indicadores de eventos adversos (Resolución 256 de 2016) y un liderazgo que promueva el reporte sin castigo.</w:t>
      </w:r>
    </w:p>
    <w:p>
      <w:pPr>
        <w:spacing w:after="80" w:line="259"/>
        <w:ind w:firstLine="567"/>
        <w:jc w:val="both"/>
      </w:pPr>
      <w:r>
        <w:rPr>
          <w:rFonts w:ascii="Arial" w:cs="Arial" w:eastAsia="Arial" w:hAnsi="Arial"/>
          <w:b/>
          <w:bCs/>
          <w:sz w:val="22"/>
          <w:szCs w:val="22"/>
        </w:rPr>
        <w:t xml:space="preserve">Similitud con los modelos de gestión de la calidad: </w:t>
      </w:r>
      <w:r>
        <w:rPr>
          <w:rFonts w:ascii="Arial" w:cs="Arial" w:eastAsia="Arial" w:hAnsi="Arial"/>
          <w:sz w:val="22"/>
          <w:szCs w:val="22"/>
        </w:rPr>
        <w:t xml:space="preserve">tanto las herramientas de seguridad del paciente como los modelos de calidad (ISO 9001, ISO 7101, EFQM, PAMEC) parten de identificar riesgos, estandarizar procesos, medir resultados y mejorar de forma continua mediante el ciclo PHVA. La seguridad del paciente es, en esencia, la gestión de la calidad aplicada a evitar el daño (Organización Mundial de la Salud, 2019).</w:t>
      </w:r>
    </w:p>
    <w:p>
      <w:r>
        <w:br w:type="page"/>
      </w:r>
    </w:p>
    <w:p>
      <w:pPr>
        <w:pStyle w:val="Heading1"/>
        <w:spacing w:after="120" w:before="240"/>
      </w:pPr>
      <w:r>
        <w:rPr>
          <w:rFonts w:ascii="Arial" w:cs="Arial" w:eastAsia="Arial" w:hAnsi="Arial"/>
          <w:b/>
          <w:bCs/>
          <w:color w:val="1F3864"/>
          <w:sz w:val="26"/>
          <w:szCs w:val="26"/>
        </w:rPr>
        <w:t xml:space="preserve">2. Guion del video</w:t>
      </w:r>
    </w:p>
    <w:p>
      <w:pPr>
        <w:spacing w:after="80" w:line="259"/>
        <w:jc w:val="both"/>
      </w:pPr>
      <w:r>
        <w:rPr>
          <w:rFonts w:ascii="Arial" w:cs="Arial" w:eastAsia="Arial" w:hAnsi="Arial"/>
          <w:b/>
          <w:bCs/>
          <w:sz w:val="22"/>
          <w:szCs w:val="22"/>
        </w:rPr>
        <w:t xml:space="preserve">Duración total: </w:t>
      </w:r>
      <w:r>
        <w:rPr>
          <w:rFonts w:ascii="Arial" w:cs="Arial" w:eastAsia="Arial" w:hAnsi="Arial"/>
          <w:sz w:val="22"/>
          <w:szCs w:val="22"/>
        </w:rPr>
        <w:t xml:space="preserve">5 minutos y 54 segundos. </w:t>
      </w:r>
      <w:r>
        <w:rPr>
          <w:rFonts w:ascii="Arial" w:cs="Arial" w:eastAsia="Arial" w:hAnsi="Arial"/>
          <w:b/>
          <w:bCs/>
          <w:sz w:val="22"/>
          <w:szCs w:val="22"/>
        </w:rPr>
        <w:t xml:space="preserve">Formato: </w:t>
      </w:r>
      <w:r>
        <w:rPr>
          <w:rFonts w:ascii="Arial" w:cs="Arial" w:eastAsia="Arial" w:hAnsi="Arial"/>
          <w:sz w:val="22"/>
          <w:szCs w:val="22"/>
        </w:rPr>
        <w:t xml:space="preserve">video de ilustraciones y textos en pantalla con música de fondo, sin voz en off. </w:t>
      </w:r>
      <w:r>
        <w:rPr>
          <w:rFonts w:ascii="Arial" w:cs="Arial" w:eastAsia="Arial" w:hAnsi="Arial"/>
          <w:b/>
          <w:bCs/>
          <w:sz w:val="22"/>
          <w:szCs w:val="22"/>
        </w:rPr>
        <w:t xml:space="preserve">Escenario: </w:t>
      </w:r>
      <w:r>
        <w:rPr>
          <w:rFonts w:ascii="Arial" w:cs="Arial" w:eastAsia="Arial" w:hAnsi="Arial"/>
          <w:sz w:val="22"/>
          <w:szCs w:val="22"/>
        </w:rPr>
        <w:t xml:space="preserve">un cubículo de urgencias de una institución pública, representado mediante ilustraciones de producción propia (camilla, paciente, practicante de enfermería, enfermera jefe, orden médica, frasco del medicamento, jeringa, vaso y monitor cardíaco). La recreación se identifica en pantalla como basada en hechos reportados por medios de comunicación.</w:t>
      </w:r>
    </w:p>
    <w:p>
      <w:pPr>
        <w:keepNext/>
        <w:spacing w:after="60" w:before="120"/>
      </w:pPr>
      <w:r>
        <w:rPr>
          <w:rFonts w:ascii="Arial" w:cs="Arial" w:eastAsia="Arial" w:hAnsi="Arial"/>
          <w:b/>
          <w:bCs/>
          <w:sz w:val="20"/>
          <w:szCs w:val="20"/>
        </w:rPr>
        <w:t xml:space="preserve">Tabla 3</w:t>
      </w:r>
    </w:p>
    <w:p>
      <w:pPr>
        <w:keepNext/>
        <w:spacing w:after="80"/>
      </w:pPr>
      <w:r>
        <w:rPr>
          <w:rFonts w:ascii="Arial" w:cs="Arial" w:eastAsia="Arial" w:hAnsi="Arial"/>
          <w:i/>
          <w:iCs/>
          <w:sz w:val="20"/>
          <w:szCs w:val="20"/>
        </w:rPr>
        <w:t xml:space="preserve">Guion técnico del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000"/>
        <w:gridCol w:w="2300"/>
        <w:gridCol w:w="2350"/>
        <w:gridCol w:w="1600"/>
        <w:gridCol w:w="960"/>
      </w:tblGrid>
      <w:tr>
        <w:trPr>
          <w:cantSplit/>
          <w:tblHeader/>
        </w:trPr>
        <w:tc>
          <w:tcPr>
            <w:tcW w:type="dxa" w:w="115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Escena</w:t>
            </w:r>
          </w:p>
        </w:tc>
        <w:tc>
          <w:tcPr>
            <w:tcW w:type="dxa" w:w="10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Tiempo</w:t>
            </w:r>
          </w:p>
        </w:tc>
        <w:tc>
          <w:tcPr>
            <w:tcW w:type="dxa" w:w="23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Imagen (bosquejo)</w:t>
            </w:r>
          </w:p>
        </w:tc>
        <w:tc>
          <w:tcPr>
            <w:tcW w:type="dxa" w:w="235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Texto en pantalla</w:t>
            </w:r>
          </w:p>
        </w:tc>
        <w:tc>
          <w:tcPr>
            <w:tcW w:type="dxa" w:w="16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Audio</w:t>
            </w:r>
          </w:p>
        </w:tc>
        <w:tc>
          <w:tcPr>
            <w:tcW w:type="dxa" w:w="9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Duración</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 Título</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00:00 - 00:10</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Fondo azul oscuro con escudo de salud.</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Seguridad del paciente: cuando un error de vía cambia una vida · Yina Vanessa Cadena Mantilla</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suave de apertura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10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2. Objetivo</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00:10 - 00:24</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Tres tarjetas numeradas.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Conocer el caso · Identificar el protocolo que falló · Proponer soluciones</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suave</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14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3. Conceptos</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00:24 - 00:42</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Dos tarjetas: seguridad del paciente y evento adverso.</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Definiciones del MSPS; la mayoría de los daños son prevenibles</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suave</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18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4. Recreación 1</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00:42 - 00:54</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Ilustración: paciente en camilla de urgencias con dolor abdominal.</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Abril de 2026 · Yarumal, Antioquia · Mujer de 46 años con gastritis</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Entra música de tensión (pulso grave)</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12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5. Recreación 2</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00:54 - 01:06</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Ilustración: orden médica resaltada “VÍA ORAL” y practicante con escarapela “Estudiante”.</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La orden médica era clara · Uso exclusivamente oral</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de tensión</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12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6. Recreación 3</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01:06 - 01:18</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Ilustración: frasco del antiácido, flecha a una jeringa y practicante dudando.</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Sin verificación y sin supervisión</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de tensión</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12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7. Recreación 4</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01:18 - 01:32</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Fondo negro con monitor cardíaco.</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 aplicó por vía intravenosa · UCI · Fuentes de prensa</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Pitidos de monitor y latido</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14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8. Ficha del caso</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01:32 - 01:52</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Tabla de seis filas.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Institución, área, situación, tipo de riesgo, consecuencia y protocolo fallido</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neutra suave</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20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9. Protocolo fallido</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01:52 - 02:08</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Seis tarjetas de los “correctos”: cinco con chulo verde y “vía correcta” con X roja.</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El protocolo que falló: los “correctos”</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neutra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16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10. ¿Por qué ocurrió?</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02:08 - 02:30</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Cuatro tarjetas de factores contributivos.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Protocolo de Londres: individuales, tarea, equipo, organización</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neutra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22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11. Impacto</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02:30 - 02:48</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Tres columnas de color.</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Impacto en la paciente, en el equipo y en la institución</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neutra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18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12. Así debió hacerse 1</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02:48 - 03:02</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Ilustración: orden médica, practicante y enfermera jefe verificando juntas.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Doble verificación antes de administrar</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Entra música positiva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14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13. Así debió hacerse 2</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03:02 - 03:16</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Ilustración: frasco, vaso con chulo verde y paciente tranquila; la jefe aprueba.</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Vía oral: en vaso, no en jeringa</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positiva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14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14. Protocolos existentes</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03:16 - 03:36</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Cuatro tarjetas normativas.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Guía técnica MSPS, Resolución 3100 de 2019, Decreto 2376 de 2010, OMS</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positiva con percusión suave</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20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15. Acciones inmediatas</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03:36 - 03:58</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Seis tarjetas numeradas.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Acompañar, reportar, capacitar, doble verificación, jeringas orales, supervisión</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positiva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22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16. Estrategias</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03:58 - 04:16</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Lista con viñetas.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¿Cómo se aplican las herramientas de seguridad?</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positiva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18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17. PHVA</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04:16 - 04:36</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Ciclo PHVA a color.</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Seguridad del paciente = gestión de la calidad</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positiva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20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18. Reflexión</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04:36 - 04:52</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Fondo azul oscuro con escudo.</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¿Por qué es vital seguir los protocolos de seguridad?</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positiva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16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19. Llamado a la acción</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04:52 - 05:04</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Fondo verde azulado con cuatro palabras.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Verifica · Pregunta · Reporta · Aprende</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positiva</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12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20. Referencias 1</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05:04 - 05:18</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Lista de referencias.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Referencias (1/3)</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suave</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14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21. Referencias 2</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05:18 - 05:32</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Lista de referencias.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Referencias (2/3)</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suave</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14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22. Referencias 3</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05:32 - 05:44</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Lista de referencias.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Referencias (3/3)</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suave</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12 s</w:t>
            </w:r>
          </w:p>
        </w:tc>
      </w:tr>
      <w:tr>
        <w:trPr>
          <w:cantSplit/>
          <w:tblHeader w:val="false"/>
        </w:trPr>
        <w:tc>
          <w:tcPr>
            <w:tcW w:type="dxa" w:w="11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23. Créditos</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05:44 - 05:54</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Tabla de créditos.</w:t>
            </w:r>
          </w:p>
        </w:tc>
        <w:tc>
          <w:tcPr>
            <w:tcW w:type="dxa" w:w="23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Autora, ilustraciones y música de producción propia, curso, docente</w:t>
            </w:r>
          </w:p>
        </w:tc>
        <w:tc>
          <w:tcPr>
            <w:tcW w:type="dxa" w:w="16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La música se desvanece</w:t>
            </w:r>
          </w:p>
        </w:tc>
        <w:tc>
          <w:tcPr>
            <w:tcW w:type="dxa" w:w="9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10 s</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Las ilustraciones y la música son de producción propia. Las fuentes de prensa se citan en pantalla y en las referencias.</w:t>
      </w:r>
    </w:p>
    <w:p>
      <w:pPr>
        <w:pStyle w:val="Heading1"/>
        <w:spacing w:after="120" w:before="240"/>
      </w:pPr>
      <w:r>
        <w:rPr>
          <w:rFonts w:ascii="Arial" w:cs="Arial" w:eastAsia="Arial" w:hAnsi="Arial"/>
          <w:b/>
          <w:bCs/>
          <w:color w:val="1F3864"/>
          <w:sz w:val="26"/>
          <w:szCs w:val="26"/>
        </w:rPr>
        <w:t xml:space="preserve">3. Créditos</w:t>
      </w:r>
    </w:p>
    <w:p>
      <w:pPr>
        <w:pStyle w:val="ListParagraph"/>
        <w:numPr>
          <w:ilvl w:val="0"/>
          <w:numId w:val="2"/>
        </w:numPr>
        <w:spacing w:after="60" w:line="290"/>
        <w:jc w:val="both"/>
      </w:pPr>
      <w:r>
        <w:rPr>
          <w:rFonts w:ascii="Arial" w:cs="Arial" w:eastAsia="Arial" w:hAnsi="Arial"/>
          <w:b/>
          <w:bCs/>
          <w:sz w:val="22"/>
          <w:szCs w:val="22"/>
        </w:rPr>
        <w:t xml:space="preserve">Investigación, guion y edición: </w:t>
      </w:r>
      <w:r>
        <w:rPr>
          <w:rFonts w:ascii="Arial" w:cs="Arial" w:eastAsia="Arial" w:hAnsi="Arial"/>
          <w:sz w:val="22"/>
          <w:szCs w:val="22"/>
        </w:rPr>
        <w:t xml:space="preserve">Yina Vanessa Cadena Mantilla.</w:t>
      </w:r>
    </w:p>
    <w:p>
      <w:pPr>
        <w:pStyle w:val="ListParagraph"/>
        <w:numPr>
          <w:ilvl w:val="0"/>
          <w:numId w:val="2"/>
        </w:numPr>
        <w:spacing w:after="60" w:line="290"/>
        <w:jc w:val="both"/>
      </w:pPr>
      <w:r>
        <w:rPr>
          <w:rFonts w:ascii="Arial" w:cs="Arial" w:eastAsia="Arial" w:hAnsi="Arial"/>
          <w:b/>
          <w:bCs/>
          <w:sz w:val="22"/>
          <w:szCs w:val="22"/>
        </w:rPr>
        <w:t xml:space="preserve">Ilustraciones y música: </w:t>
      </w:r>
      <w:r>
        <w:rPr>
          <w:rFonts w:ascii="Arial" w:cs="Arial" w:eastAsia="Arial" w:hAnsi="Arial"/>
          <w:sz w:val="22"/>
          <w:szCs w:val="22"/>
        </w:rPr>
        <w:t xml:space="preserve">producción propia.</w:t>
      </w:r>
    </w:p>
    <w:p>
      <w:pPr>
        <w:pStyle w:val="ListParagraph"/>
        <w:numPr>
          <w:ilvl w:val="0"/>
          <w:numId w:val="2"/>
        </w:numPr>
        <w:spacing w:after="60" w:line="290"/>
        <w:jc w:val="both"/>
      </w:pPr>
      <w:r>
        <w:rPr>
          <w:rFonts w:ascii="Arial" w:cs="Arial" w:eastAsia="Arial" w:hAnsi="Arial"/>
          <w:b/>
          <w:bCs/>
          <w:sz w:val="22"/>
          <w:szCs w:val="22"/>
        </w:rPr>
        <w:t xml:space="preserve">Edición: </w:t>
      </w:r>
      <w:r>
        <w:rPr>
          <w:rFonts w:ascii="Arial" w:cs="Arial" w:eastAsia="Arial" w:hAnsi="Arial"/>
          <w:sz w:val="22"/>
          <w:szCs w:val="22"/>
        </w:rPr>
        <w:t xml:space="preserve">Clipchamp.</w:t>
      </w:r>
    </w:p>
    <w:p>
      <w:pPr>
        <w:pStyle w:val="ListParagraph"/>
        <w:numPr>
          <w:ilvl w:val="0"/>
          <w:numId w:val="2"/>
        </w:numPr>
        <w:spacing w:after="60" w:line="290"/>
        <w:jc w:val="both"/>
      </w:pPr>
      <w:r>
        <w:rPr>
          <w:rFonts w:ascii="Arial" w:cs="Arial" w:eastAsia="Arial" w:hAnsi="Arial"/>
          <w:b/>
          <w:bCs/>
          <w:sz w:val="22"/>
          <w:szCs w:val="22"/>
        </w:rPr>
        <w:t xml:space="preserve">Fuentes de información: </w:t>
      </w:r>
      <w:r>
        <w:rPr>
          <w:rFonts w:ascii="Arial" w:cs="Arial" w:eastAsia="Arial" w:hAnsi="Arial"/>
          <w:sz w:val="22"/>
          <w:szCs w:val="22"/>
        </w:rPr>
        <w:t xml:space="preserve">Blu Radio, Noticias RCN, LA FM, Publimetro, Ministerio de Salud y Protección Social y Organización Mundial de la Salud, según las referencias.</w:t>
      </w:r>
    </w:p>
    <w:p>
      <w:r>
        <w:br w:type="page"/>
      </w:r>
    </w:p>
    <w:p>
      <w:pPr>
        <w:pStyle w:val="Heading1"/>
        <w:spacing w:after="120" w:before="240"/>
      </w:pPr>
      <w:r>
        <w:rPr>
          <w:rFonts w:ascii="Arial" w:cs="Arial" w:eastAsia="Arial" w:hAnsi="Arial"/>
          <w:b/>
          <w:bCs/>
          <w:color w:val="1F3864"/>
          <w:sz w:val="26"/>
          <w:szCs w:val="26"/>
        </w:rPr>
        <w:t xml:space="preserve">Referencias</w:t>
      </w:r>
    </w:p>
    <w:p>
      <w:pPr>
        <w:spacing w:after="100" w:line="276"/>
        <w:ind w:left="567" w:hanging="567"/>
        <w:jc w:val="left"/>
      </w:pPr>
      <w:r>
        <w:rPr>
          <w:rFonts w:ascii="Arial" w:cs="Arial" w:eastAsia="Arial" w:hAnsi="Arial"/>
          <w:i w:val="false"/>
          <w:iCs w:val="false"/>
          <w:sz w:val="22"/>
          <w:szCs w:val="22"/>
        </w:rPr>
        <w:t xml:space="preserve">Blu Radio. (2026, abril). </w:t>
      </w:r>
      <w:r>
        <w:rPr>
          <w:rFonts w:ascii="Arial" w:cs="Arial" w:eastAsia="Arial" w:hAnsi="Arial"/>
          <w:i/>
          <w:iCs/>
          <w:sz w:val="22"/>
          <w:szCs w:val="22"/>
        </w:rPr>
        <w:t xml:space="preserve">Enfermera inyectó por error un antiácido intravenoso y era oral: la paciente está en UCI en Medellín</w:t>
      </w:r>
      <w:r>
        <w:rPr>
          <w:rFonts w:ascii="Arial" w:cs="Arial" w:eastAsia="Arial" w:hAnsi="Arial"/>
          <w:i w:val="false"/>
          <w:iCs w:val="false"/>
          <w:sz w:val="22"/>
          <w:szCs w:val="22"/>
        </w:rPr>
        <w:t xml:space="preserve">. https://www.bluradio.com/regiones/antioquia/enfermera-inyecto-por-error-un-antiacido-intravenoso-y-era-oral-la-paciente-esta-en-uci-en-medellin-rg10</w:t>
      </w:r>
    </w:p>
    <w:p>
      <w:pPr>
        <w:spacing w:after="100" w:line="276"/>
        <w:ind w:left="567" w:hanging="567"/>
        <w:jc w:val="left"/>
      </w:pPr>
      <w:r>
        <w:rPr>
          <w:rFonts w:ascii="Arial" w:cs="Arial" w:eastAsia="Arial" w:hAnsi="Arial"/>
          <w:i w:val="false"/>
          <w:iCs w:val="false"/>
          <w:sz w:val="22"/>
          <w:szCs w:val="22"/>
        </w:rPr>
        <w:t xml:space="preserve">Estrada-Orozco, K., Gaitán-Duarte, H., &amp; Eslava-Schmalbach, J. (2024). Patient safety as a public health problem. </w:t>
      </w:r>
      <w:r>
        <w:rPr>
          <w:rFonts w:ascii="Arial" w:cs="Arial" w:eastAsia="Arial" w:hAnsi="Arial"/>
          <w:i/>
          <w:iCs/>
          <w:sz w:val="22"/>
          <w:szCs w:val="22"/>
        </w:rPr>
        <w:t xml:space="preserve">Colombian Journal of Anesthesiology</w:t>
      </w:r>
      <w:r>
        <w:rPr>
          <w:rFonts w:ascii="Arial" w:cs="Arial" w:eastAsia="Arial" w:hAnsi="Arial"/>
          <w:i w:val="false"/>
          <w:iCs w:val="false"/>
          <w:sz w:val="22"/>
          <w:szCs w:val="22"/>
        </w:rPr>
        <w:t xml:space="preserve">, 52(2), 1-11.</w:t>
      </w:r>
    </w:p>
    <w:p>
      <w:pPr>
        <w:spacing w:after="100" w:line="276"/>
        <w:ind w:left="567" w:hanging="567"/>
        <w:jc w:val="left"/>
      </w:pPr>
      <w:r>
        <w:rPr>
          <w:rFonts w:ascii="Arial" w:cs="Arial" w:eastAsia="Arial" w:hAnsi="Arial"/>
          <w:i w:val="false"/>
          <w:iCs w:val="false"/>
          <w:sz w:val="22"/>
          <w:szCs w:val="22"/>
        </w:rPr>
        <w:t xml:space="preserve">LA FM. (2026, abril). </w:t>
      </w:r>
      <w:r>
        <w:rPr>
          <w:rFonts w:ascii="Arial" w:cs="Arial" w:eastAsia="Arial" w:hAnsi="Arial"/>
          <w:i/>
          <w:iCs/>
          <w:sz w:val="22"/>
          <w:szCs w:val="22"/>
        </w:rPr>
        <w:t xml:space="preserve">Mujer lucha por su vida en UCI tras recibir Mylanta por vía intravenosa en hospital de Yarumal</w:t>
      </w:r>
      <w:r>
        <w:rPr>
          <w:rFonts w:ascii="Arial" w:cs="Arial" w:eastAsia="Arial" w:hAnsi="Arial"/>
          <w:i w:val="false"/>
          <w:iCs w:val="false"/>
          <w:sz w:val="22"/>
          <w:szCs w:val="22"/>
        </w:rPr>
        <w:t xml:space="preserve">. https://www.lafm.com.co/sociedad/mujer-lucha-por-su-vida-en-uci-tras-recibir-mylanta-por-via-intravenosa-en-hospital-de-yarumal-397171</w:t>
      </w:r>
    </w:p>
    <w:p>
      <w:pPr>
        <w:spacing w:after="100" w:line="276"/>
        <w:ind w:left="567" w:hanging="567"/>
        <w:jc w:val="left"/>
      </w:pPr>
      <w:r>
        <w:rPr>
          <w:rFonts w:ascii="Arial" w:cs="Arial" w:eastAsia="Arial" w:hAnsi="Arial"/>
          <w:i w:val="false"/>
          <w:iCs w:val="false"/>
          <w:sz w:val="22"/>
          <w:szCs w:val="22"/>
        </w:rPr>
        <w:t xml:space="preserve">Ministerio de la Protección Social. (2010). Decreto 2376 de 2010, por medio del cual se regula la relación docencia-servicio para los programas de formación de talento humano del área de la salud.</w:t>
      </w:r>
    </w:p>
    <w:p>
      <w:pPr>
        <w:spacing w:after="100" w:line="276"/>
        <w:ind w:left="567" w:hanging="567"/>
        <w:jc w:val="left"/>
      </w:pPr>
      <w:r>
        <w:rPr>
          <w:rFonts w:ascii="Arial" w:cs="Arial" w:eastAsia="Arial" w:hAnsi="Arial"/>
          <w:i w:val="false"/>
          <w:iCs w:val="false"/>
          <w:sz w:val="22"/>
          <w:szCs w:val="22"/>
        </w:rPr>
        <w:t xml:space="preserve">Ministerio de la Protección Social. (2010). </w:t>
      </w:r>
      <w:r>
        <w:rPr>
          <w:rFonts w:ascii="Arial" w:cs="Arial" w:eastAsia="Arial" w:hAnsi="Arial"/>
          <w:i/>
          <w:iCs/>
          <w:sz w:val="22"/>
          <w:szCs w:val="22"/>
        </w:rPr>
        <w:t xml:space="preserve">Guía técnica “Buenas prácticas para la seguridad del paciente en la atención en salud”</w:t>
      </w:r>
      <w:r>
        <w:rPr>
          <w:rFonts w:ascii="Arial" w:cs="Arial" w:eastAsia="Arial" w:hAnsi="Arial"/>
          <w:i w:val="false"/>
          <w:iCs w:val="false"/>
          <w:sz w:val="22"/>
          <w:szCs w:val="22"/>
        </w:rPr>
        <w:t xml:space="preserve">. MPS.</w:t>
      </w:r>
    </w:p>
    <w:p>
      <w:pPr>
        <w:spacing w:after="100" w:line="276"/>
        <w:ind w:left="567" w:hanging="567"/>
        <w:jc w:val="left"/>
      </w:pPr>
      <w:r>
        <w:rPr>
          <w:rFonts w:ascii="Arial" w:cs="Arial" w:eastAsia="Arial" w:hAnsi="Arial"/>
          <w:i w:val="false"/>
          <w:iCs w:val="false"/>
          <w:sz w:val="22"/>
          <w:szCs w:val="22"/>
        </w:rPr>
        <w:t xml:space="preserve">Ministerio de Salud y Protección Social. (2016). Resolución 256 de 2016, por la cual se dictan disposiciones en relación con el Sistema de Información para la Calidad.</w:t>
      </w:r>
    </w:p>
    <w:p>
      <w:pPr>
        <w:spacing w:after="100" w:line="276"/>
        <w:ind w:left="567" w:hanging="567"/>
        <w:jc w:val="left"/>
      </w:pPr>
      <w:r>
        <w:rPr>
          <w:rFonts w:ascii="Arial" w:cs="Arial" w:eastAsia="Arial" w:hAnsi="Arial"/>
          <w:i w:val="false"/>
          <w:iCs w:val="false"/>
          <w:sz w:val="22"/>
          <w:szCs w:val="22"/>
        </w:rPr>
        <w:t xml:space="preserve">Ministerio de Salud y Protección Social. (2019). Resolución 3100 de 2019, por la cual se definen los procedimientos y condiciones de inscripción de los prestadores de servicios de salud y de habilitación de los servicios de salud.</w:t>
      </w:r>
    </w:p>
    <w:p>
      <w:pPr>
        <w:spacing w:after="100" w:line="276"/>
        <w:ind w:left="567" w:hanging="567"/>
        <w:jc w:val="left"/>
      </w:pPr>
      <w:r>
        <w:rPr>
          <w:rFonts w:ascii="Arial" w:cs="Arial" w:eastAsia="Arial" w:hAnsi="Arial"/>
          <w:i w:val="false"/>
          <w:iCs w:val="false"/>
          <w:sz w:val="22"/>
          <w:szCs w:val="22"/>
        </w:rPr>
        <w:t xml:space="preserve">Noticias RCN. (2026, abril). </w:t>
      </w:r>
      <w:r>
        <w:rPr>
          <w:rFonts w:ascii="Arial" w:cs="Arial" w:eastAsia="Arial" w:hAnsi="Arial"/>
          <w:i/>
          <w:iCs/>
          <w:sz w:val="22"/>
          <w:szCs w:val="22"/>
        </w:rPr>
        <w:t xml:space="preserve">Error de practicante en hospital de Antioquia deja a paciente en UCI: tenía dolor abdominal</w:t>
      </w:r>
      <w:r>
        <w:rPr>
          <w:rFonts w:ascii="Arial" w:cs="Arial" w:eastAsia="Arial" w:hAnsi="Arial"/>
          <w:i w:val="false"/>
          <w:iCs w:val="false"/>
          <w:sz w:val="22"/>
          <w:szCs w:val="22"/>
        </w:rPr>
        <w:t xml:space="preserve">. https://www.noticiasrcn.com/colombia/error-medicamento-yarumal-deja-paciente-en-uci-1015134</w:t>
      </w:r>
    </w:p>
    <w:p>
      <w:pPr>
        <w:spacing w:after="100" w:line="276"/>
        <w:ind w:left="567" w:hanging="567"/>
        <w:jc w:val="left"/>
      </w:pPr>
      <w:r>
        <w:rPr>
          <w:rFonts w:ascii="Arial" w:cs="Arial" w:eastAsia="Arial" w:hAnsi="Arial"/>
          <w:i w:val="false"/>
          <w:iCs w:val="false"/>
          <w:sz w:val="22"/>
          <w:szCs w:val="22"/>
        </w:rPr>
        <w:t xml:space="preserve">Organización Mundial de la Salud. (2017). </w:t>
      </w:r>
      <w:r>
        <w:rPr>
          <w:rFonts w:ascii="Arial" w:cs="Arial" w:eastAsia="Arial" w:hAnsi="Arial"/>
          <w:i/>
          <w:iCs/>
          <w:sz w:val="22"/>
          <w:szCs w:val="22"/>
        </w:rPr>
        <w:t xml:space="preserve">Medicación sin daño: Tercer reto mundial por la seguridad del paciente</w:t>
      </w:r>
      <w:r>
        <w:rPr>
          <w:rFonts w:ascii="Arial" w:cs="Arial" w:eastAsia="Arial" w:hAnsi="Arial"/>
          <w:i w:val="false"/>
          <w:iCs w:val="false"/>
          <w:sz w:val="22"/>
          <w:szCs w:val="22"/>
        </w:rPr>
        <w:t xml:space="preserve">. OMS.</w:t>
      </w:r>
    </w:p>
    <w:p>
      <w:pPr>
        <w:spacing w:after="100" w:line="276"/>
        <w:ind w:left="567" w:hanging="567"/>
        <w:jc w:val="left"/>
      </w:pPr>
      <w:r>
        <w:rPr>
          <w:rFonts w:ascii="Arial" w:cs="Arial" w:eastAsia="Arial" w:hAnsi="Arial"/>
          <w:i w:val="false"/>
          <w:iCs w:val="false"/>
          <w:sz w:val="22"/>
          <w:szCs w:val="22"/>
        </w:rPr>
        <w:t xml:space="preserve">Organización Mundial de la Salud. (2019). </w:t>
      </w:r>
      <w:r>
        <w:rPr>
          <w:rFonts w:ascii="Arial" w:cs="Arial" w:eastAsia="Arial" w:hAnsi="Arial"/>
          <w:i/>
          <w:iCs/>
          <w:sz w:val="22"/>
          <w:szCs w:val="22"/>
        </w:rPr>
        <w:t xml:space="preserve">Prestación de servicios de salud de calidad: Un imperativo global para la cobertura sanitaria universal</w:t>
      </w:r>
      <w:r>
        <w:rPr>
          <w:rFonts w:ascii="Arial" w:cs="Arial" w:eastAsia="Arial" w:hAnsi="Arial"/>
          <w:i w:val="false"/>
          <w:iCs w:val="false"/>
          <w:sz w:val="22"/>
          <w:szCs w:val="22"/>
        </w:rPr>
        <w:t xml:space="preserve"> (pp. 7-11). OMS.</w:t>
      </w:r>
    </w:p>
    <w:p>
      <w:pPr>
        <w:spacing w:after="100" w:line="276"/>
        <w:ind w:left="567" w:hanging="567"/>
        <w:jc w:val="left"/>
      </w:pPr>
      <w:r>
        <w:rPr>
          <w:rFonts w:ascii="Arial" w:cs="Arial" w:eastAsia="Arial" w:hAnsi="Arial"/>
          <w:i w:val="false"/>
          <w:iCs w:val="false"/>
          <w:sz w:val="22"/>
          <w:szCs w:val="22"/>
        </w:rPr>
        <w:t xml:space="preserve">Organización Mundial de la Salud. (2021). </w:t>
      </w:r>
      <w:r>
        <w:rPr>
          <w:rFonts w:ascii="Arial" w:cs="Arial" w:eastAsia="Arial" w:hAnsi="Arial"/>
          <w:i/>
          <w:iCs/>
          <w:sz w:val="22"/>
          <w:szCs w:val="22"/>
        </w:rPr>
        <w:t xml:space="preserve">Plan de acción mundial para la seguridad del paciente 2021-2030</w:t>
      </w:r>
      <w:r>
        <w:rPr>
          <w:rFonts w:ascii="Arial" w:cs="Arial" w:eastAsia="Arial" w:hAnsi="Arial"/>
          <w:i w:val="false"/>
          <w:iCs w:val="false"/>
          <w:sz w:val="22"/>
          <w:szCs w:val="22"/>
        </w:rPr>
        <w:t xml:space="preserve">. OMS.</w:t>
      </w:r>
    </w:p>
    <w:p>
      <w:pPr>
        <w:spacing w:after="100" w:line="276"/>
        <w:ind w:left="567" w:hanging="567"/>
        <w:jc w:val="left"/>
      </w:pPr>
      <w:r>
        <w:rPr>
          <w:rFonts w:ascii="Arial" w:cs="Arial" w:eastAsia="Arial" w:hAnsi="Arial"/>
          <w:i w:val="false"/>
          <w:iCs w:val="false"/>
          <w:sz w:val="22"/>
          <w:szCs w:val="22"/>
        </w:rPr>
        <w:t xml:space="preserve">Ortiz Rivera, R. (2024). </w:t>
      </w:r>
      <w:r>
        <w:rPr>
          <w:rFonts w:ascii="Arial" w:cs="Arial" w:eastAsia="Arial" w:hAnsi="Arial"/>
          <w:i/>
          <w:iCs/>
          <w:sz w:val="22"/>
          <w:szCs w:val="22"/>
        </w:rPr>
        <w:t xml:space="preserve">Experiencias adversas de la seguridad del paciente: Perspectiva bioética</w:t>
      </w:r>
      <w:r>
        <w:rPr>
          <w:rFonts w:ascii="Arial" w:cs="Arial" w:eastAsia="Arial" w:hAnsi="Arial"/>
          <w:i w:val="false"/>
          <w:iCs w:val="false"/>
          <w:sz w:val="22"/>
          <w:szCs w:val="22"/>
        </w:rPr>
        <w:t xml:space="preserve"> (2.ª ed., pp. 67-71). Marge Books.</w:t>
      </w:r>
    </w:p>
    <w:p>
      <w:pPr>
        <w:spacing w:after="100" w:line="276"/>
        <w:ind w:left="567" w:hanging="567"/>
        <w:jc w:val="left"/>
      </w:pPr>
      <w:r>
        <w:rPr>
          <w:rFonts w:ascii="Arial" w:cs="Arial" w:eastAsia="Arial" w:hAnsi="Arial"/>
          <w:i w:val="false"/>
          <w:iCs w:val="false"/>
          <w:sz w:val="22"/>
          <w:szCs w:val="22"/>
        </w:rPr>
        <w:t xml:space="preserve">Preciado, A. M. S., Requelme, J. F. Z., Carrión, F. M. E., Mora, M. L. L., Ramírez, J. del C. C., Quichimbo, N. de J. R., Sotomayor, J. del R. R., Celi, D. Y. T., Aguilar, G. M. F., &amp; Bermeo, F. I. Z. (2023). </w:t>
      </w:r>
      <w:r>
        <w:rPr>
          <w:rFonts w:ascii="Arial" w:cs="Arial" w:eastAsia="Arial" w:hAnsi="Arial"/>
          <w:i/>
          <w:iCs/>
          <w:sz w:val="22"/>
          <w:szCs w:val="22"/>
        </w:rPr>
        <w:t xml:space="preserve">Gestión de la calidad en los servicios de salud</w:t>
      </w:r>
      <w:r>
        <w:rPr>
          <w:rFonts w:ascii="Arial" w:cs="Arial" w:eastAsia="Arial" w:hAnsi="Arial"/>
          <w:i w:val="false"/>
          <w:iCs w:val="false"/>
          <w:sz w:val="22"/>
          <w:szCs w:val="22"/>
        </w:rPr>
        <w:t xml:space="preserve"> (pp. 4-28). Mawil Publicaciones de Ecuador.</w:t>
      </w:r>
    </w:p>
    <w:p>
      <w:pPr>
        <w:spacing w:after="100" w:line="276"/>
        <w:ind w:left="567" w:hanging="567"/>
        <w:jc w:val="left"/>
      </w:pPr>
      <w:r>
        <w:rPr>
          <w:rFonts w:ascii="Arial" w:cs="Arial" w:eastAsia="Arial" w:hAnsi="Arial"/>
          <w:i w:val="false"/>
          <w:iCs w:val="false"/>
          <w:sz w:val="22"/>
          <w:szCs w:val="22"/>
        </w:rPr>
        <w:t xml:space="preserve">Publimetro. (2026, 23 de abril). </w:t>
      </w:r>
      <w:r>
        <w:rPr>
          <w:rFonts w:ascii="Arial" w:cs="Arial" w:eastAsia="Arial" w:hAnsi="Arial"/>
          <w:i/>
          <w:iCs/>
          <w:sz w:val="22"/>
          <w:szCs w:val="22"/>
        </w:rPr>
        <w:t xml:space="preserve">Mujer en Antioquia fue al hospital por gastritis y terminó en UCI tras inyección errónea de Mylanta: practicante se habría equivocado</w:t>
      </w:r>
      <w:r>
        <w:rPr>
          <w:rFonts w:ascii="Arial" w:cs="Arial" w:eastAsia="Arial" w:hAnsi="Arial"/>
          <w:i w:val="false"/>
          <w:iCs w:val="false"/>
          <w:sz w:val="22"/>
          <w:szCs w:val="22"/>
        </w:rPr>
        <w:t xml:space="preserve">. https://www.publimetro.co/noticias/2026/04/23/mujer-en-antioquia-fue-al-hospital-por-gastritis-y-termino-en-uci-tras-inyeccion-erronea-de-mylanta-practicante-se-habria-equivocado/</w:t>
      </w:r>
    </w:p>
    <w:p>
      <w:pPr>
        <w:spacing w:after="100" w:line="276"/>
        <w:ind w:left="567" w:hanging="567"/>
        <w:jc w:val="left"/>
      </w:pPr>
      <w:r>
        <w:rPr>
          <w:rFonts w:ascii="Arial" w:cs="Arial" w:eastAsia="Arial" w:hAnsi="Arial"/>
          <w:i w:val="false"/>
          <w:iCs w:val="false"/>
          <w:sz w:val="22"/>
          <w:szCs w:val="22"/>
        </w:rPr>
        <w:t xml:space="preserve">Taylor-Adams, S., &amp; Vincent, C. (2004). </w:t>
      </w:r>
      <w:r>
        <w:rPr>
          <w:rFonts w:ascii="Arial" w:cs="Arial" w:eastAsia="Arial" w:hAnsi="Arial"/>
          <w:i/>
          <w:iCs/>
          <w:sz w:val="22"/>
          <w:szCs w:val="22"/>
        </w:rPr>
        <w:t xml:space="preserve">Systems analysis of clinical incidents: The London protocol</w:t>
      </w:r>
      <w:r>
        <w:rPr>
          <w:rFonts w:ascii="Arial" w:cs="Arial" w:eastAsia="Arial" w:hAnsi="Arial"/>
          <w:i w:val="false"/>
          <w:iCs w:val="false"/>
          <w:sz w:val="22"/>
          <w:szCs w:val="22"/>
        </w:rPr>
        <w:t xml:space="preserve">. Clinical Safety Research Unit, Imperial College London.</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2026-10-12T14:45:59.982Z</dcterms:created>
  <dcterms:modified xsi:type="dcterms:W3CDTF">2026-10-12T14:45:59.982Z</dcterms:modified>
</cp:coreProperties>
</file>

<file path=docProps/custom.xml><?xml version="1.0" encoding="utf-8"?>
<Properties xmlns="http://schemas.openxmlformats.org/officeDocument/2006/custom-properties" xmlns:vt="http://schemas.openxmlformats.org/officeDocument/2006/docPropsVTypes"/>
</file>