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jc w:val="center"/>
      </w:pPr>
      <w:r>
        <w:rPr>
          <w:rFonts w:ascii="Arial" w:cs="Arial" w:eastAsia="Arial" w:hAnsi="Arial"/>
          <w:b w:val="false"/>
          <w:bCs w:val="false"/>
          <w:sz w:val="24"/>
          <w:szCs w:val="24"/>
        </w:rPr>
        <w:t xml:space="preserve"/>
      </w:r>
    </w:p>
    <w:p>
      <w:pPr>
        <w:spacing w:after="400"/>
        <w:jc w:val="center"/>
      </w:pPr>
      <w:r>
        <w:rPr>
          <w:rFonts w:ascii="Arial" w:cs="Arial" w:eastAsia="Arial" w:hAnsi="Arial"/>
          <w:b/>
          <w:bCs/>
          <w:sz w:val="30"/>
          <w:szCs w:val="30"/>
        </w:rPr>
        <w:t xml:space="preserve">Determinantes sociales de la salud y gestión integral del riesgo frente al dengue en las comunas 5 y 6 de Barrancabermeja, Santander</w:t>
      </w:r>
    </w:p>
    <w:p>
      <w:pPr>
        <w:spacing w:after="1400"/>
        <w:jc w:val="center"/>
      </w:pPr>
      <w:r>
        <w:rPr>
          <w:rFonts w:ascii="Arial" w:cs="Arial" w:eastAsia="Arial" w:hAnsi="Arial"/>
          <w:b w:val="false"/>
          <w:bCs w:val="false"/>
          <w:sz w:val="24"/>
          <w:szCs w:val="24"/>
        </w:rPr>
        <w:t xml:space="preserve">Análisis de caso comunitario</w:t>
      </w:r>
    </w:p>
    <w:p>
      <w:pPr>
        <w:spacing w:after="600"/>
        <w:jc w:val="center"/>
      </w:pPr>
      <w:r>
        <w:rPr>
          <w:rFonts w:ascii="Arial" w:cs="Arial" w:eastAsia="Arial" w:hAnsi="Arial"/>
          <w:b/>
          <w:bCs/>
          <w:sz w:val="24"/>
          <w:szCs w:val="24"/>
        </w:rPr>
        <w:t xml:space="preserve">Yina Vanessa Cadena Mantilla</w:t>
      </w:r>
    </w:p>
    <w:p>
      <w:pPr>
        <w:spacing w:after="120"/>
        <w:jc w:val="center"/>
      </w:pPr>
      <w:r>
        <w:rPr>
          <w:rFonts w:ascii="Arial" w:cs="Arial" w:eastAsia="Arial" w:hAnsi="Arial"/>
          <w:b w:val="false"/>
          <w:bCs w:val="false"/>
          <w:sz w:val="24"/>
          <w:szCs w:val="24"/>
        </w:rPr>
        <w:t xml:space="preserve">Especialización en Gerencia y Auditoría de la Calidad en Salud</w:t>
      </w:r>
    </w:p>
    <w:p>
      <w:pPr>
        <w:spacing w:after="120"/>
        <w:jc w:val="center"/>
      </w:pPr>
      <w:r>
        <w:rPr>
          <w:rFonts w:ascii="Arial" w:cs="Arial" w:eastAsia="Arial" w:hAnsi="Arial"/>
          <w:b w:val="false"/>
          <w:bCs w:val="false"/>
          <w:sz w:val="24"/>
          <w:szCs w:val="24"/>
        </w:rPr>
        <w:t xml:space="preserve">Curso: [Nombre del curso]</w:t>
      </w:r>
    </w:p>
    <w:p>
      <w:pPr>
        <w:spacing w:after="600"/>
        <w:jc w:val="center"/>
      </w:pPr>
      <w:r>
        <w:rPr>
          <w:rFonts w:ascii="Arial" w:cs="Arial" w:eastAsia="Arial" w:hAnsi="Arial"/>
          <w:b w:val="false"/>
          <w:bCs w:val="false"/>
          <w:sz w:val="24"/>
          <w:szCs w:val="24"/>
        </w:rPr>
        <w:t xml:space="preserve">Semana [N.º]: Análisis de caso. Determinantes sociales y gestión integral del riesgo en salud</w:t>
      </w:r>
    </w:p>
    <w:p>
      <w:pPr>
        <w:spacing w:after="600"/>
        <w:jc w:val="center"/>
      </w:pPr>
      <w:r>
        <w:rPr>
          <w:rFonts w:ascii="Arial" w:cs="Arial" w:eastAsia="Arial" w:hAnsi="Arial"/>
          <w:b w:val="false"/>
          <w:bCs w:val="false"/>
          <w:sz w:val="24"/>
          <w:szCs w:val="24"/>
        </w:rPr>
        <w:t xml:space="preserve">Docente: [Nombre del docente]</w:t>
      </w:r>
    </w:p>
    <w:p>
      <w:pPr>
        <w:spacing w:after="120"/>
        <w:jc w:val="center"/>
      </w:pPr>
      <w:r>
        <w:rPr>
          <w:rFonts w:ascii="Arial" w:cs="Arial" w:eastAsia="Arial" w:hAnsi="Arial"/>
          <w:b w:val="false"/>
          <w:bCs w:val="false"/>
          <w:sz w:val="24"/>
          <w:szCs w:val="24"/>
        </w:rPr>
        <w:t xml:space="preserve">24 de septiembre de 2026</w:t>
      </w:r>
    </w:p>
    <w:p>
      <w:r>
        <w:br w:type="page"/>
      </w:r>
    </w:p>
    <w:p>
      <w:pPr>
        <w:pStyle w:val="Heading1"/>
        <w:spacing w:after="120" w:before="240"/>
      </w:pPr>
      <w:r>
        <w:rPr>
          <w:rFonts w:ascii="Arial" w:cs="Arial" w:eastAsia="Arial" w:hAnsi="Arial"/>
          <w:b/>
          <w:bCs/>
          <w:color w:val="1F3864"/>
          <w:sz w:val="26"/>
          <w:szCs w:val="26"/>
        </w:rPr>
        <w:t xml:space="preserve">Introducción</w:t>
      </w:r>
    </w:p>
    <w:p>
      <w:pPr>
        <w:spacing w:after="80" w:line="259"/>
        <w:ind w:firstLine="567"/>
        <w:jc w:val="both"/>
      </w:pPr>
      <w:r>
        <w:rPr>
          <w:rFonts w:ascii="Arial" w:cs="Arial" w:eastAsia="Arial" w:hAnsi="Arial"/>
          <w:sz w:val="22"/>
          <w:szCs w:val="22"/>
        </w:rPr>
        <w:t xml:space="preserve">La salud de una comunidad no depende solo de la biología de las personas ni de la atención médica disponible; está condicionada por las circunstancias en que la gente nace, vive, trabaja y envejece, y por la distribución del poder, el dinero y los recursos que moldea esas circunstancias. La Organización Mundial de la Salud denomina a estas condiciones determinantes sociales de la salud (DSS) y, siguiendo el marco de Solar e Irwin (2010), las clasifica en estructurales —contexto socioeconómico y político, y posición social— e intermedias —condiciones materiales, factores conductuales, biológicos, psicosociales y el sistema de salud—. Lema Añón (2021) advierte que abordarlas exige ir más allá del derecho a la atención sanitaria, porque las desigualdades en salud son desigualdades sociales injustas y evitables.</w:t>
      </w:r>
    </w:p>
    <w:p>
      <w:pPr>
        <w:spacing w:after="80" w:line="259"/>
        <w:ind w:firstLine="567"/>
        <w:jc w:val="both"/>
      </w:pPr>
      <w:r>
        <w:rPr>
          <w:rFonts w:ascii="Arial" w:cs="Arial" w:eastAsia="Arial" w:hAnsi="Arial"/>
          <w:sz w:val="22"/>
          <w:szCs w:val="22"/>
        </w:rPr>
        <w:t xml:space="preserve">Este documento analiza un problema de salud pública del contexto local: la transmisión persistente de dengue en Barrancabermeja, con énfasis en el brote por serotipo 2 de 2025, que tuvo mayor incidencia en las comunas 5 y 6 de la ciudad. Se describe el contexto local, temporal y geográfico; se clasifican los determinantes sociales y los factores de riesgo según el modelo de Lalonde; y se propone un plan de gestión integral del riesgo en salud (GIRS) —prevención, mitigación, atención y seguimiento— con base en la normatividad colombiana vigente, acompañado de indicadores de impacto y sostenibilidad. También se responden las preguntas orientadoras de la actividad.</w:t>
      </w:r>
    </w:p>
    <w:p>
      <w:pPr>
        <w:pStyle w:val="Heading1"/>
        <w:spacing w:after="120" w:before="240"/>
      </w:pPr>
      <w:r>
        <w:rPr>
          <w:rFonts w:ascii="Arial" w:cs="Arial" w:eastAsia="Arial" w:hAnsi="Arial"/>
          <w:b/>
          <w:bCs/>
          <w:color w:val="1F3864"/>
          <w:sz w:val="26"/>
          <w:szCs w:val="26"/>
        </w:rPr>
        <w:t xml:space="preserve">Desarrollo</w:t>
      </w:r>
    </w:p>
    <w:p>
      <w:pPr>
        <w:pStyle w:val="Heading2"/>
        <w:spacing w:after="100" w:before="180"/>
      </w:pPr>
      <w:r>
        <w:rPr>
          <w:rFonts w:ascii="Arial" w:cs="Arial" w:eastAsia="Arial" w:hAnsi="Arial"/>
          <w:b/>
          <w:bCs/>
          <w:color w:val="2E5496"/>
          <w:sz w:val="23"/>
          <w:szCs w:val="23"/>
        </w:rPr>
        <w:t xml:space="preserve">1. Descripción de la problemática y del contexto local, temporal y geográfico</w:t>
      </w:r>
    </w:p>
    <w:p>
      <w:pPr>
        <w:spacing w:after="80" w:line="259"/>
        <w:ind w:firstLine="567"/>
        <w:jc w:val="both"/>
      </w:pPr>
      <w:r>
        <w:rPr>
          <w:rFonts w:ascii="Arial" w:cs="Arial" w:eastAsia="Arial" w:hAnsi="Arial"/>
          <w:b/>
          <w:bCs/>
          <w:sz w:val="22"/>
          <w:szCs w:val="22"/>
        </w:rPr>
        <w:t xml:space="preserve">Contexto geográfico. </w:t>
      </w:r>
      <w:r>
        <w:rPr>
          <w:rFonts w:ascii="Arial" w:cs="Arial" w:eastAsia="Arial" w:hAnsi="Arial"/>
          <w:sz w:val="22"/>
          <w:szCs w:val="22"/>
        </w:rPr>
        <w:t xml:space="preserve">Barrancabermeja, distrito especial portuario, biodiverso, industrial y turístico del departamento de Santander, está ubicada a orillas del río Magdalena, en la región del Magdalena Medio. Tiene clima cálido y húmedo, temporadas de lluvias intensas y un sistema de ciénagas y caños que atraviesa la zona urbana: condiciones ideales para la reproducción del mosquito </w:t>
      </w:r>
      <w:r>
        <w:rPr>
          <w:rFonts w:ascii="Arial" w:cs="Arial" w:eastAsia="Arial" w:hAnsi="Arial"/>
          <w:i/>
          <w:iCs/>
          <w:sz w:val="22"/>
          <w:szCs w:val="22"/>
        </w:rPr>
        <w:t xml:space="preserve">Aedes aegypti</w:t>
      </w:r>
      <w:r>
        <w:rPr>
          <w:rFonts w:ascii="Arial" w:cs="Arial" w:eastAsia="Arial" w:hAnsi="Arial"/>
          <w:sz w:val="22"/>
          <w:szCs w:val="22"/>
        </w:rPr>
        <w:t xml:space="preserve">, vector del dengue, el chikungunya y el zika. Las comunas 5 y 6 hacen parte del sector nororiental de la ciudad, conocido popularmente como “del puente para allá”, un territorio de crecimiento acelerado e informal.</w:t>
      </w:r>
    </w:p>
    <w:p>
      <w:pPr>
        <w:spacing w:after="80" w:line="259"/>
        <w:ind w:firstLine="567"/>
        <w:jc w:val="both"/>
      </w:pPr>
      <w:r>
        <w:rPr>
          <w:rFonts w:ascii="Arial" w:cs="Arial" w:eastAsia="Arial" w:hAnsi="Arial"/>
          <w:b/>
          <w:bCs/>
          <w:sz w:val="22"/>
          <w:szCs w:val="22"/>
        </w:rPr>
        <w:t xml:space="preserve">Contexto social e histórico. </w:t>
      </w:r>
      <w:r>
        <w:rPr>
          <w:rFonts w:ascii="Arial" w:cs="Arial" w:eastAsia="Arial" w:hAnsi="Arial"/>
          <w:sz w:val="22"/>
          <w:szCs w:val="22"/>
        </w:rPr>
        <w:t xml:space="preserve">Barrancabermeja es la sede de la principal refinería de petróleo del país; sin embargo, la riqueza petrolera no se ha traducido en condiciones de vida equitativas. Entre 1980 y 2005, la llegada masiva de población desplazada por el conflicto armado impulsó la ocupación de tierras y la autoconstrucción de vivienda en la periferia oriental, donde se consolidaron barrios asociados con pobreza, informalidad y rezago en servicios públicos (Serrano Besil, 2023). En esos barrios persisten viviendas sin anjeos, lotes baldíos, manejo inadecuado de residuos y la necesidad de almacenar agua en tanques y albercas.</w:t>
      </w:r>
    </w:p>
    <w:p>
      <w:pPr>
        <w:spacing w:after="80" w:line="259"/>
        <w:ind w:firstLine="567"/>
        <w:jc w:val="both"/>
      </w:pPr>
      <w:r>
        <w:rPr>
          <w:rFonts w:ascii="Arial" w:cs="Arial" w:eastAsia="Arial" w:hAnsi="Arial"/>
          <w:b/>
          <w:bCs/>
          <w:sz w:val="22"/>
          <w:szCs w:val="22"/>
        </w:rPr>
        <w:t xml:space="preserve">Contexto temporal y problemática. </w:t>
      </w:r>
      <w:r>
        <w:rPr>
          <w:rFonts w:ascii="Arial" w:cs="Arial" w:eastAsia="Arial" w:hAnsi="Arial"/>
          <w:sz w:val="22"/>
          <w:szCs w:val="22"/>
        </w:rPr>
        <w:t xml:space="preserve">El dengue es endémico en Barrancabermeja, pero en 2025 la ciudad enfrentó un brote por serotipo 2 (DEN-2): hacia comienzos de julio se habían confirmado 429 casos, con mayor incidencia en las comunas 5 y 6 y un crecimiento marcado en la zona rural, lo que llevó a la Secretaría de Salud Distrital, junto con la de Santander, a activar un plan de contingencia de vigilancia intensificada, control vectorial e intervención química en zonas críticas (Vanguardia, 2025). Entre enero y agosto de 2025 se notificaron 526 casos; en el mismo periodo de 2026 se reportaron 448, una reducción del 14,8 % (Enlace Televisión, 2026) que, aunque positiva, confirma que la transmisión continúa. La circulación de un serotipo diferente al predominante en años previos aumenta el riesgo de dengue grave en personas que ya tuvieron la enfermedad, y el problema se concentra justamente en los barrios con peores condiciones materiales: el dengue en Barrancabermeja es, en esencia, una enfermedad de la desigualdad.</w:t>
      </w:r>
    </w:p>
    <w:p>
      <w:pPr>
        <w:pStyle w:val="Heading2"/>
        <w:spacing w:after="100" w:before="180"/>
      </w:pPr>
      <w:r>
        <w:rPr>
          <w:rFonts w:ascii="Arial" w:cs="Arial" w:eastAsia="Arial" w:hAnsi="Arial"/>
          <w:b/>
          <w:bCs/>
          <w:color w:val="2E5496"/>
          <w:sz w:val="23"/>
          <w:szCs w:val="23"/>
        </w:rPr>
        <w:t xml:space="preserve">2. Clasificación de los determinantes sociales de la salud</w:t>
      </w:r>
    </w:p>
    <w:p>
      <w:pPr>
        <w:spacing w:after="80" w:line="259"/>
        <w:ind w:firstLine="567"/>
        <w:jc w:val="both"/>
      </w:pPr>
      <w:r>
        <w:rPr>
          <w:rFonts w:ascii="Arial" w:cs="Arial" w:eastAsia="Arial" w:hAnsi="Arial"/>
          <w:sz w:val="22"/>
          <w:szCs w:val="22"/>
        </w:rPr>
        <w:t xml:space="preserve">La Tabla 1 organiza los determinantes identificados según el marco de la Comisión sobre Determinantes Sociales de la Salud (Solar e Irwin, 2010) y explica cómo cada uno influye en la transmisión del dengue en las comunas analizadas.</w:t>
      </w:r>
    </w:p>
    <w:p>
      <w:pPr>
        <w:keepNext/>
        <w:spacing w:after="60" w:before="120"/>
      </w:pPr>
      <w:r>
        <w:rPr>
          <w:rFonts w:ascii="Arial" w:cs="Arial" w:eastAsia="Arial" w:hAnsi="Arial"/>
          <w:b/>
          <w:bCs/>
          <w:sz w:val="20"/>
          <w:szCs w:val="20"/>
        </w:rPr>
        <w:t xml:space="preserve">Tabla 1</w:t>
      </w:r>
    </w:p>
    <w:p>
      <w:pPr>
        <w:keepNext/>
        <w:spacing w:after="80"/>
      </w:pPr>
      <w:r>
        <w:rPr>
          <w:rFonts w:ascii="Arial" w:cs="Arial" w:eastAsia="Arial" w:hAnsi="Arial"/>
          <w:i/>
          <w:iCs/>
          <w:sz w:val="20"/>
          <w:szCs w:val="20"/>
        </w:rPr>
        <w:t xml:space="preserve">Clasificación de determinantes sociales en 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860"/>
      </w:tblGrid>
      <w:tr>
        <w:trPr>
          <w:cantSplit/>
          <w:tblHeader/>
        </w:trPr>
        <w:tc>
          <w:tcPr>
            <w:tcW w:type="dxa" w:w="15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Tipo</w:t>
            </w:r>
          </w:p>
        </w:tc>
        <w:tc>
          <w:tcPr>
            <w:tcW w:type="dxa" w:w="23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Categoría</w:t>
            </w:r>
          </w:p>
        </w:tc>
        <w:tc>
          <w:tcPr>
            <w:tcW w:type="dxa" w:w="27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Manifestación en el territorio</w:t>
            </w:r>
          </w:p>
        </w:tc>
        <w:tc>
          <w:tcPr>
            <w:tcW w:type="dxa" w:w="28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Efecto sobre el dengue</w:t>
            </w:r>
          </w:p>
        </w:tc>
      </w:tr>
      <w:tr>
        <w:trPr>
          <w:cantSplit/>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Estructural</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Económico</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Economía de enclave petrolero con desigual distribución de la riqueza; alta informalidad laboral y pobreza en la periferia.</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Hogares sin recursos para mejorar vivienda y saneamiento; el trabajo informal impide ausentarse para consultar a tiempo.</w:t>
            </w:r>
          </w:p>
        </w:tc>
      </w:tr>
      <w:tr>
        <w:trPr>
          <w:cantSplit/>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Estructural</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Político</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Planeación urbana débil frente a la expansión informal; rezago en acueducto, alcantarillado pluvial y aseo en la periferia; control vectorial centrado en la respuesta al brote.</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Persisten criaderos urbanos; las acciones llegan cuando la transmisión ya está instalada.</w:t>
            </w:r>
          </w:p>
        </w:tc>
      </w:tr>
      <w:tr>
        <w:trPr>
          <w:cantSplit/>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Estructural</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Social</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Desplazamiento forzado y conflicto armado que originaron asentamientos informales; estigmatización del nororiente; baja escolaridad en algunos sectores.</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Menor acceso a información, menor confianza en las instituciones y menor capacidad de exigir servicios.</w:t>
            </w:r>
          </w:p>
        </w:tc>
      </w:tr>
      <w:tr>
        <w:trPr>
          <w:cantSplit/>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Intermedio</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Condiciones materiales</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Almacenamiento de agua en tanques, albercas y canecas; residuos, llantas y chatarra en patios y lotes; caños y aguas estancadas; viviendas sin anjeos.</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Multiplicación de criaderos de Aedes aegypti y mayor contacto entre el mosquito y las personas.</w:t>
            </w:r>
          </w:p>
        </w:tc>
      </w:tr>
      <w:tr>
        <w:trPr>
          <w:cantSplit/>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Intermedio</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Ambiental</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Clima cálido y húmedo, lluvias intensas y variabilidad climática.</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Acelera el ciclo del mosquito y la replicación del virus.</w:t>
            </w:r>
          </w:p>
        </w:tc>
      </w:tr>
      <w:tr>
        <w:trPr>
          <w:cantSplit/>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Intermedio</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Factores conductuales</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Recipientes sin tapa y sin lavado semanal; automedicación con antiinflamatorios; consulta tardía; resistencia a visitas y fumigación.</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Mantiene los criaderos y aumenta el riesgo de complicaciones y dengue grave.</w:t>
            </w:r>
          </w:p>
        </w:tc>
      </w:tr>
      <w:tr>
        <w:trPr>
          <w:cantSplit/>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Intermedio</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Factores biológicos</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Circulación de DEN-2 en población susceptible; mayor vulnerabilidad en niños, gestantes, adultos mayores y personas con comorbilidades.</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Brotes explosivos y mayor probabilidad de formas graves por infección secuencial.</w:t>
            </w:r>
          </w:p>
        </w:tc>
      </w:tr>
      <w:tr>
        <w:trPr>
          <w:cantSplit/>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Intermedio</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Sistema de salud</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Vigilancia comunitaria limitada; brechas en la detección temprana de signos de alarma; presión sobre urgencias durante el brote.</w:t>
            </w:r>
          </w:p>
        </w:tc>
        <w:tc>
          <w:tcPr>
            <w:tcW w:type="dxa" w:w="28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Diagnóstico tardío, hospitalizaciones evitables y riesgo de muertes prevenibles.</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con base en Solar e Irwin (2010), Lema Añón (2021) y Serrano Besil (2023).</w:t>
      </w:r>
    </w:p>
    <w:p>
      <w:pPr>
        <w:spacing w:after="80" w:line="259"/>
        <w:ind w:firstLine="567"/>
        <w:jc w:val="both"/>
      </w:pPr>
      <w:r>
        <w:rPr>
          <w:rFonts w:ascii="Arial" w:cs="Arial" w:eastAsia="Arial" w:hAnsi="Arial"/>
          <w:b/>
          <w:bCs/>
          <w:sz w:val="22"/>
          <w:szCs w:val="22"/>
        </w:rPr>
        <w:t xml:space="preserve">¿Qué impacto tiene en un territorio la gestión inadecuada de las NBI? </w:t>
      </w:r>
      <w:r>
        <w:rPr>
          <w:rFonts w:ascii="Arial" w:cs="Arial" w:eastAsia="Arial" w:hAnsi="Arial"/>
          <w:sz w:val="22"/>
          <w:szCs w:val="22"/>
        </w:rPr>
        <w:t xml:space="preserve">El caso lo muestra con claridad: cuando las necesidades básicas insatisfechas —vivienda adecuada, agua segura y continua, saneamiento y recolección de residuos— no se atienden, el entorno mismo se vuelve productor de enfermedad. Cada tanque destapado o lote con basura es un criadero, y ninguna fumigación compensa de forma sostenida la ausencia de infraestructura. El resultado territorial es la repetición de brotes, la sobrecarga de los servicios de urgencias, el ausentismo escolar y laboral, el gasto de bolsillo de las familias, las muertes evitables y la pérdida de confianza en las instituciones. Además, la carga recae sobre los barrios más pobres, lo que reproduce y profundiza la inequidad.</w:t>
      </w:r>
    </w:p>
    <w:p>
      <w:pPr>
        <w:pStyle w:val="Heading2"/>
        <w:spacing w:after="100" w:before="180"/>
      </w:pPr>
      <w:r>
        <w:rPr>
          <w:rFonts w:ascii="Arial" w:cs="Arial" w:eastAsia="Arial" w:hAnsi="Arial"/>
          <w:b/>
          <w:bCs/>
          <w:color w:val="2E5496"/>
          <w:sz w:val="23"/>
          <w:szCs w:val="23"/>
        </w:rPr>
        <w:t xml:space="preserve">3. Mapa de determinantes sociales y factores de riesgo (modelo de Lalonde)</w:t>
      </w:r>
    </w:p>
    <w:p>
      <w:pPr>
        <w:spacing w:after="80" w:line="259"/>
        <w:ind w:firstLine="567"/>
        <w:jc w:val="both"/>
      </w:pPr>
      <w:r>
        <w:rPr>
          <w:rFonts w:ascii="Arial" w:cs="Arial" w:eastAsia="Arial" w:hAnsi="Arial"/>
          <w:sz w:val="22"/>
          <w:szCs w:val="22"/>
        </w:rPr>
        <w:t xml:space="preserve">La Figura 1 relaciona los determinantes estructurales e intermedios con el resultado en salud y resume los factores de riesgo en los cuatro campos del modelo de Lalonde (1974): biología humana, medio ambiente, estilos de vida y sistema de atención en salud. Se observa que el medio ambiente —físico y social— es el campo de mayor peso, lo que confirma que la respuesta no puede ser solo sanitaria.</w:t>
      </w:r>
    </w:p>
    <w:p>
      <w:pPr>
        <w:keepNext/>
        <w:spacing w:after="60" w:before="120"/>
      </w:pPr>
      <w:r>
        <w:rPr>
          <w:rFonts w:ascii="Arial" w:cs="Arial" w:eastAsia="Arial" w:hAnsi="Arial"/>
          <w:b/>
          <w:bCs/>
          <w:sz w:val="20"/>
          <w:szCs w:val="20"/>
        </w:rPr>
        <w:t xml:space="preserve">Figura 1</w:t>
      </w:r>
    </w:p>
    <w:p>
      <w:pPr>
        <w:keepNext/>
        <w:spacing w:after="80"/>
      </w:pPr>
      <w:r>
        <w:rPr>
          <w:rFonts w:ascii="Arial" w:cs="Arial" w:eastAsia="Arial" w:hAnsi="Arial"/>
          <w:i/>
          <w:iCs/>
          <w:sz w:val="20"/>
          <w:szCs w:val="20"/>
        </w:rPr>
        <w:t xml:space="preserve">Mapa de determinantes sociales y factores de riesgo según Lalonde</w:t>
      </w:r>
    </w:p>
    <w:p>
      <w:pPr>
        <w:keepNext/>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52800"/>
                    </a:xfrm>
                    <a:prstGeom prst="rect">
                      <a:avLst/>
                    </a:prstGeom>
                  </pic:spPr>
                </pic:pic>
              </a:graphicData>
            </a:graphic>
          </wp:inline>
        </w:drawing>
      </w:r>
    </w:p>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con base en Solar e Irwin (2010) y Lalonde (1974).</w:t>
      </w:r>
    </w:p>
    <w:p>
      <w:pPr>
        <w:pStyle w:val="Heading2"/>
        <w:spacing w:after="100" w:before="180"/>
      </w:pPr>
      <w:r>
        <w:rPr>
          <w:rFonts w:ascii="Arial" w:cs="Arial" w:eastAsia="Arial" w:hAnsi="Arial"/>
          <w:b/>
          <w:bCs/>
          <w:color w:val="2E5496"/>
          <w:sz w:val="23"/>
          <w:szCs w:val="23"/>
        </w:rPr>
        <w:t xml:space="preserve">4. Plan de gestión integral del riesgo en salud con base normativa</w:t>
      </w:r>
    </w:p>
    <w:p>
      <w:pPr>
        <w:spacing w:after="80" w:line="259"/>
        <w:ind w:firstLine="567"/>
        <w:jc w:val="both"/>
      </w:pPr>
      <w:r>
        <w:rPr>
          <w:rFonts w:ascii="Arial" w:cs="Arial" w:eastAsia="Arial" w:hAnsi="Arial"/>
          <w:sz w:val="22"/>
          <w:szCs w:val="22"/>
        </w:rPr>
        <w:t xml:space="preserve">El plan se formula desde el enfoque de gestión integral del riesgo en salud de la Ley 1438 de 2011 y la Política de Atención Integral en Salud, operativizada por el Modelo de Acción Integral Territorial —MAITE— (Resolución 2626 de 2019), y se articula con la Estrategia de Gestión Integrada para la prevención y control de las enfermedades transmitidas por vectores (EGI-ETV) del Ministerio de Salud. Siguiendo a Morgensterin (2021) y a Pascarella et al. (2021), la gestión del riesgo se entiende como un ciclo de identificación, análisis, intervención y seguimiento, con responsabilidades claras para la entidad territorial, las EPS, las IPS y la comunidad.</w:t>
      </w:r>
    </w:p>
    <w:p>
      <w:pPr>
        <w:keepNext/>
        <w:spacing w:after="60" w:before="120"/>
      </w:pPr>
      <w:r>
        <w:rPr>
          <w:rFonts w:ascii="Arial" w:cs="Arial" w:eastAsia="Arial" w:hAnsi="Arial"/>
          <w:b/>
          <w:bCs/>
          <w:sz w:val="20"/>
          <w:szCs w:val="20"/>
        </w:rPr>
        <w:t xml:space="preserve">Tabla 2</w:t>
      </w:r>
    </w:p>
    <w:p>
      <w:pPr>
        <w:keepNext/>
        <w:spacing w:after="80"/>
      </w:pPr>
      <w:r>
        <w:rPr>
          <w:rFonts w:ascii="Arial" w:cs="Arial" w:eastAsia="Arial" w:hAnsi="Arial"/>
          <w:i/>
          <w:iCs/>
          <w:sz w:val="20"/>
          <w:szCs w:val="20"/>
        </w:rPr>
        <w:t xml:space="preserve">Plan de gestión integral del riesgo en salud frente al dengue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1760"/>
        <w:gridCol w:w="2600"/>
      </w:tblGrid>
      <w:tr>
        <w:trPr>
          <w:cantSplit/>
          <w:tblHeader/>
        </w:trPr>
        <w:tc>
          <w:tcPr>
            <w:tcW w:type="dxa" w:w="13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Componente</w:t>
            </w:r>
          </w:p>
        </w:tc>
        <w:tc>
          <w:tcPr>
            <w:tcW w:type="dxa" w:w="37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Acciones</w:t>
            </w:r>
          </w:p>
        </w:tc>
        <w:tc>
          <w:tcPr>
            <w:tcW w:type="dxa" w:w="17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Responsables</w:t>
            </w:r>
          </w:p>
        </w:tc>
        <w:tc>
          <w:tcPr>
            <w:tcW w:type="dxa" w:w="26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Base normativa</w:t>
            </w:r>
          </w:p>
        </w:tc>
      </w:tr>
      <w:tr>
        <w:trPr>
          <w:cantSplit/>
          <w:tblHeader w:val="false"/>
        </w:trPr>
        <w:tc>
          <w:tcPr>
            <w:tcW w:type="dxa" w:w="1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Prevención</w:t>
            </w:r>
          </w:p>
        </w:tc>
        <w:tc>
          <w:tcPr>
            <w:tcW w:type="dxa" w:w="3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Fortalecer la “Liga contra el dengue” como estrategia permanente, no solo de brote, con visitas casa a casa para eliminar criaderos y enseñar el lavado semanal de tanques.</w:t>
            </w:r>
          </w:p>
          <w:p>
            <w:pPr>
              <w:spacing w:after="20"/>
            </w:pPr>
            <w:r>
              <w:rPr>
                <w:rFonts w:ascii="Arial" w:cs="Arial" w:eastAsia="Arial" w:hAnsi="Arial"/>
                <w:b w:val="false"/>
                <w:bCs w:val="false"/>
                <w:color w:val="000000"/>
                <w:sz w:val="17"/>
                <w:szCs w:val="17"/>
              </w:rPr>
              <w:t xml:space="preserve">Estrategia COMBI (comunicación para el cambio conductual) con juntas de acción comunal, colegios y líderes de las comunas 5 y 6.</w:t>
            </w:r>
          </w:p>
          <w:p>
            <w:pPr>
              <w:spacing w:after="20"/>
            </w:pPr>
            <w:r>
              <w:rPr>
                <w:rFonts w:ascii="Arial" w:cs="Arial" w:eastAsia="Arial" w:hAnsi="Arial"/>
                <w:b w:val="false"/>
                <w:bCs w:val="false"/>
                <w:color w:val="000000"/>
                <w:sz w:val="17"/>
                <w:szCs w:val="17"/>
              </w:rPr>
              <w:t xml:space="preserve">Jornadas comunitarias de recolección de inservibles y llantas con la empresa de aseo.</w:t>
            </w:r>
          </w:p>
          <w:p>
            <w:pPr>
              <w:spacing w:after="20"/>
            </w:pPr>
            <w:r>
              <w:rPr>
                <w:rFonts w:ascii="Arial" w:cs="Arial" w:eastAsia="Arial" w:hAnsi="Arial"/>
                <w:b w:val="false"/>
                <w:bCs w:val="false"/>
                <w:color w:val="000000"/>
                <w:sz w:val="17"/>
                <w:szCs w:val="17"/>
              </w:rPr>
              <w:t xml:space="preserve">Incluir el dengue y sus determinantes en el ASIS y el Plan Territorial de Salud.</w:t>
            </w:r>
          </w:p>
        </w:tc>
        <w:tc>
          <w:tcPr>
            <w:tcW w:type="dxa" w:w="17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Secretaría de Salud Distrital; JAC; instituciones educativas; empresa de aseo.</w:t>
            </w:r>
          </w:p>
        </w:tc>
        <w:tc>
          <w:tcPr>
            <w:tcW w:type="dxa" w:w="2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Resolución 518 de 2015 (Plan de Intervenciones Colectivas).</w:t>
            </w:r>
          </w:p>
          <w:p>
            <w:pPr>
              <w:spacing w:after="20"/>
            </w:pPr>
            <w:r>
              <w:rPr>
                <w:rFonts w:ascii="Arial" w:cs="Arial" w:eastAsia="Arial" w:hAnsi="Arial"/>
                <w:b w:val="false"/>
                <w:bCs w:val="false"/>
                <w:color w:val="000000"/>
                <w:sz w:val="17"/>
                <w:szCs w:val="17"/>
              </w:rPr>
              <w:t xml:space="preserve">Resolución 3280 de 2018 (RIAS de promoción y mantenimiento).</w:t>
            </w:r>
          </w:p>
          <w:p>
            <w:pPr>
              <w:spacing w:after="20"/>
            </w:pPr>
            <w:r>
              <w:rPr>
                <w:rFonts w:ascii="Arial" w:cs="Arial" w:eastAsia="Arial" w:hAnsi="Arial"/>
                <w:b w:val="false"/>
                <w:bCs w:val="false"/>
                <w:color w:val="000000"/>
                <w:sz w:val="17"/>
                <w:szCs w:val="17"/>
              </w:rPr>
              <w:t xml:space="preserve">Resolución 1035 de 2022 (PDSP 2022-2031).</w:t>
            </w:r>
          </w:p>
          <w:p>
            <w:pPr>
              <w:spacing w:after="20"/>
            </w:pPr>
            <w:r>
              <w:rPr>
                <w:rFonts w:ascii="Arial" w:cs="Arial" w:eastAsia="Arial" w:hAnsi="Arial"/>
                <w:b w:val="false"/>
                <w:bCs w:val="false"/>
                <w:color w:val="000000"/>
                <w:sz w:val="17"/>
                <w:szCs w:val="17"/>
              </w:rPr>
              <w:t xml:space="preserve">Resolución 100 de 2024 (planeación integral para la salud).</w:t>
            </w:r>
          </w:p>
          <w:p>
            <w:pPr>
              <w:spacing w:after="20"/>
            </w:pPr>
            <w:r>
              <w:rPr>
                <w:rFonts w:ascii="Arial" w:cs="Arial" w:eastAsia="Arial" w:hAnsi="Arial"/>
                <w:b w:val="false"/>
                <w:bCs w:val="false"/>
                <w:color w:val="000000"/>
                <w:sz w:val="17"/>
                <w:szCs w:val="17"/>
              </w:rPr>
              <w:t xml:space="preserve">Ley 9 de 1979 (Código Sanitario).</w:t>
            </w:r>
          </w:p>
        </w:tc>
      </w:tr>
      <w:tr>
        <w:trPr>
          <w:cantSplit/>
          <w:tblHeader w:val="false"/>
        </w:trPr>
        <w:tc>
          <w:tcPr>
            <w:tcW w:type="dxa" w:w="1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Mitigación</w:t>
            </w:r>
          </w:p>
        </w:tc>
        <w:tc>
          <w:tcPr>
            <w:tcW w:type="dxa" w:w="3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Acción intersectorial para mejorar la continuidad del suministro de agua y el drenaje pluvial en los sectores con más casos.</w:t>
            </w:r>
          </w:p>
          <w:p>
            <w:pPr>
              <w:spacing w:after="20"/>
            </w:pPr>
            <w:r>
              <w:rPr>
                <w:rFonts w:ascii="Arial" w:cs="Arial" w:eastAsia="Arial" w:hAnsi="Arial"/>
                <w:b w:val="false"/>
                <w:bCs w:val="false"/>
                <w:color w:val="000000"/>
                <w:sz w:val="17"/>
                <w:szCs w:val="17"/>
              </w:rPr>
              <w:t xml:space="preserve">Entrega de tapas y tanques seguros a hogares vulnerables; saneamiento de lotes baldíos y caños.</w:t>
            </w:r>
          </w:p>
          <w:p>
            <w:pPr>
              <w:spacing w:after="20"/>
            </w:pPr>
            <w:r>
              <w:rPr>
                <w:rFonts w:ascii="Arial" w:cs="Arial" w:eastAsia="Arial" w:hAnsi="Arial"/>
                <w:b w:val="false"/>
                <w:bCs w:val="false"/>
                <w:color w:val="000000"/>
                <w:sz w:val="17"/>
                <w:szCs w:val="17"/>
              </w:rPr>
              <w:t xml:space="preserve">Control vectorial focalizado según índices aédicos y estratificación del riesgo por barrio; fumigación solo en zonas de transmisión activa.</w:t>
            </w:r>
          </w:p>
        </w:tc>
        <w:tc>
          <w:tcPr>
            <w:tcW w:type="dxa" w:w="17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Alcaldía; empresa de acueducto; Secretaría de Infraestructura; Secretaría de Salud.</w:t>
            </w:r>
          </w:p>
        </w:tc>
        <w:tc>
          <w:tcPr>
            <w:tcW w:type="dxa" w:w="2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Ley 142 de 1994 (servicios públicos domiciliarios).</w:t>
            </w:r>
          </w:p>
          <w:p>
            <w:pPr>
              <w:spacing w:after="20"/>
            </w:pPr>
            <w:r>
              <w:rPr>
                <w:rFonts w:ascii="Arial" w:cs="Arial" w:eastAsia="Arial" w:hAnsi="Arial"/>
                <w:b w:val="false"/>
                <w:bCs w:val="false"/>
                <w:color w:val="000000"/>
                <w:sz w:val="17"/>
                <w:szCs w:val="17"/>
              </w:rPr>
              <w:t xml:space="preserve">Decreto 1575 de 2007 (calidad del agua).</w:t>
            </w:r>
          </w:p>
          <w:p>
            <w:pPr>
              <w:spacing w:after="20"/>
            </w:pPr>
            <w:r>
              <w:rPr>
                <w:rFonts w:ascii="Arial" w:cs="Arial" w:eastAsia="Arial" w:hAnsi="Arial"/>
                <w:b w:val="false"/>
                <w:bCs w:val="false"/>
                <w:color w:val="000000"/>
                <w:sz w:val="17"/>
                <w:szCs w:val="17"/>
              </w:rPr>
              <w:t xml:space="preserve">Resolución 2626 de 2019 (MAITE: intersectorialidad).</w:t>
            </w:r>
          </w:p>
          <w:p>
            <w:pPr>
              <w:spacing w:after="20"/>
            </w:pPr>
            <w:r>
              <w:rPr>
                <w:rFonts w:ascii="Arial" w:cs="Arial" w:eastAsia="Arial" w:hAnsi="Arial"/>
                <w:b w:val="false"/>
                <w:bCs w:val="false"/>
                <w:color w:val="000000"/>
                <w:sz w:val="17"/>
                <w:szCs w:val="17"/>
              </w:rPr>
              <w:t xml:space="preserve">Circular Externa 012 de 2025 del MSPS (contingencia por arbovirosis).</w:t>
            </w:r>
          </w:p>
        </w:tc>
      </w:tr>
      <w:tr>
        <w:trPr>
          <w:cantSplit/>
          <w:tblHeader w:val="false"/>
        </w:trPr>
        <w:tc>
          <w:tcPr>
            <w:tcW w:type="dxa" w:w="1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Atención</w:t>
            </w:r>
          </w:p>
        </w:tc>
        <w:tc>
          <w:tcPr>
            <w:tcW w:type="dxa" w:w="3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Capacitar al personal de IPS y ESE en la guía clínica de dengue: clasificación, signos de alarma e hidratación oportuna.</w:t>
            </w:r>
          </w:p>
          <w:p>
            <w:pPr>
              <w:spacing w:after="20"/>
            </w:pPr>
            <w:r>
              <w:rPr>
                <w:rFonts w:ascii="Arial" w:cs="Arial" w:eastAsia="Arial" w:hAnsi="Arial"/>
                <w:b w:val="false"/>
                <w:bCs w:val="false"/>
                <w:color w:val="000000"/>
                <w:sz w:val="17"/>
                <w:szCs w:val="17"/>
              </w:rPr>
              <w:t xml:space="preserve">Rutas de atención sin barreras para casos probables; triage con prioridad para signos de alarma.</w:t>
            </w:r>
          </w:p>
          <w:p>
            <w:pPr>
              <w:spacing w:after="20"/>
            </w:pPr>
            <w:r>
              <w:rPr>
                <w:rFonts w:ascii="Arial" w:cs="Arial" w:eastAsia="Arial" w:hAnsi="Arial"/>
                <w:b w:val="false"/>
                <w:bCs w:val="false"/>
                <w:color w:val="000000"/>
                <w:sz w:val="17"/>
                <w:szCs w:val="17"/>
              </w:rPr>
              <w:t xml:space="preserve">Educación a las familias: no automedicarse y consultar de inmediato ante signos de alarma.</w:t>
            </w:r>
          </w:p>
        </w:tc>
        <w:tc>
          <w:tcPr>
            <w:tcW w:type="dxa" w:w="17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EPS; IPS; ESE Barrancabermeja; hospital de referencia.</w:t>
            </w:r>
          </w:p>
        </w:tc>
        <w:tc>
          <w:tcPr>
            <w:tcW w:type="dxa" w:w="2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Ley 1751 de 2015 (accesibilidad, oportunidad).</w:t>
            </w:r>
          </w:p>
          <w:p>
            <w:pPr>
              <w:spacing w:after="20"/>
            </w:pPr>
            <w:r>
              <w:rPr>
                <w:rFonts w:ascii="Arial" w:cs="Arial" w:eastAsia="Arial" w:hAnsi="Arial"/>
                <w:b w:val="false"/>
                <w:bCs w:val="false"/>
                <w:color w:val="000000"/>
                <w:sz w:val="17"/>
                <w:szCs w:val="17"/>
              </w:rPr>
              <w:t xml:space="preserve">Guía de práctica clínica para dengue del MSPS y directrices OPS (2022).</w:t>
            </w:r>
          </w:p>
          <w:p>
            <w:pPr>
              <w:spacing w:after="20"/>
            </w:pPr>
            <w:r>
              <w:rPr>
                <w:rFonts w:ascii="Arial" w:cs="Arial" w:eastAsia="Arial" w:hAnsi="Arial"/>
                <w:b w:val="false"/>
                <w:bCs w:val="false"/>
                <w:color w:val="000000"/>
                <w:sz w:val="17"/>
                <w:szCs w:val="17"/>
              </w:rPr>
              <w:t xml:space="preserve">Resolución 3100 de 2019 (habilitación).</w:t>
            </w:r>
          </w:p>
        </w:tc>
      </w:tr>
      <w:tr>
        <w:trPr>
          <w:cantSplit/>
          <w:tblHeader w:val="false"/>
        </w:trPr>
        <w:tc>
          <w:tcPr>
            <w:tcW w:type="dxa" w:w="1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Seguimiento</w:t>
            </w:r>
          </w:p>
        </w:tc>
        <w:tc>
          <w:tcPr>
            <w:tcW w:type="dxa" w:w="3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Notificación oportuna al SIVIGILA y sala situacional semanal por comuna.</w:t>
            </w:r>
          </w:p>
          <w:p>
            <w:pPr>
              <w:spacing w:after="20"/>
            </w:pPr>
            <w:r>
              <w:rPr>
                <w:rFonts w:ascii="Arial" w:cs="Arial" w:eastAsia="Arial" w:hAnsi="Arial"/>
                <w:b w:val="false"/>
                <w:bCs w:val="false"/>
                <w:color w:val="000000"/>
                <w:sz w:val="17"/>
                <w:szCs w:val="17"/>
              </w:rPr>
              <w:t xml:space="preserve">Vigilancia entomológica periódica (índices de vivienda, recipiente y Breteau).</w:t>
            </w:r>
          </w:p>
          <w:p>
            <w:pPr>
              <w:spacing w:after="20"/>
            </w:pPr>
            <w:r>
              <w:rPr>
                <w:rFonts w:ascii="Arial" w:cs="Arial" w:eastAsia="Arial" w:hAnsi="Arial"/>
                <w:b w:val="false"/>
                <w:bCs w:val="false"/>
                <w:color w:val="000000"/>
                <w:sz w:val="17"/>
                <w:szCs w:val="17"/>
              </w:rPr>
              <w:t xml:space="preserve">Comité distrital de ETV con participación comunitaria; auditoría de la calidad (PAMEC) de la atención de casos.</w:t>
            </w:r>
          </w:p>
        </w:tc>
        <w:tc>
          <w:tcPr>
            <w:tcW w:type="dxa" w:w="17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Secretaría de Salud; UPGD; EPS; comunidad organizada.</w:t>
            </w:r>
          </w:p>
        </w:tc>
        <w:tc>
          <w:tcPr>
            <w:tcW w:type="dxa" w:w="2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Decreto 780 de 2016 (compila Decreto 3518 de 2006, SIVIGILA).</w:t>
            </w:r>
          </w:p>
          <w:p>
            <w:pPr>
              <w:spacing w:after="20"/>
            </w:pPr>
            <w:r>
              <w:rPr>
                <w:rFonts w:ascii="Arial" w:cs="Arial" w:eastAsia="Arial" w:hAnsi="Arial"/>
                <w:b w:val="false"/>
                <w:bCs w:val="false"/>
                <w:color w:val="000000"/>
                <w:sz w:val="17"/>
                <w:szCs w:val="17"/>
              </w:rPr>
              <w:t xml:space="preserve">Protocolo de vigilancia de dengue del INS.</w:t>
            </w:r>
          </w:p>
          <w:p>
            <w:pPr>
              <w:spacing w:after="20"/>
            </w:pPr>
            <w:r>
              <w:rPr>
                <w:rFonts w:ascii="Arial" w:cs="Arial" w:eastAsia="Arial" w:hAnsi="Arial"/>
                <w:b w:val="false"/>
                <w:bCs w:val="false"/>
                <w:color w:val="000000"/>
                <w:sz w:val="17"/>
                <w:szCs w:val="17"/>
              </w:rPr>
              <w:t xml:space="preserve">Decreto 1011 de 2006 (SOGCS).</w:t>
            </w:r>
          </w:p>
          <w:p>
            <w:pPr>
              <w:spacing w:after="20"/>
            </w:pPr>
            <w:r>
              <w:rPr>
                <w:rFonts w:ascii="Arial" w:cs="Arial" w:eastAsia="Arial" w:hAnsi="Arial"/>
                <w:b w:val="false"/>
                <w:bCs w:val="false"/>
                <w:color w:val="000000"/>
                <w:sz w:val="17"/>
                <w:szCs w:val="17"/>
              </w:rPr>
              <w:t xml:space="preserve">Resolución 256 de 2016 (indicadores de calidad).</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con base en la normatividad colombiana citada.</w:t>
      </w:r>
    </w:p>
    <w:p>
      <w:pPr>
        <w:spacing w:after="80" w:line="259"/>
        <w:ind w:firstLine="567"/>
        <w:jc w:val="both"/>
      </w:pPr>
      <w:r>
        <w:rPr>
          <w:rFonts w:ascii="Arial" w:cs="Arial" w:eastAsia="Arial" w:hAnsi="Arial"/>
          <w:b/>
          <w:bCs/>
          <w:sz w:val="22"/>
          <w:szCs w:val="22"/>
        </w:rPr>
        <w:t xml:space="preserve">¿Cómo garantizar que las estrategias respondan a la realidad de la comunidad? </w:t>
      </w:r>
      <w:r>
        <w:rPr>
          <w:rFonts w:ascii="Arial" w:cs="Arial" w:eastAsia="Arial" w:hAnsi="Arial"/>
          <w:sz w:val="22"/>
          <w:szCs w:val="22"/>
        </w:rPr>
        <w:t xml:space="preserve">Cumplir la norma es necesario, pero no suficiente. Para que el plan sea pertinente se propone: (a) construirlo con la comunidad, las juntas de acción comunal y las asociaciones de usuarios, como lo exige la Resolución 2063 de 2017 (Política de Participación Social en Salud); (b) reconocer por qué las familias almacenan agua y ofrecer alternativas reales, en lugar de solo prohibir; (c) usar lenguaje cercano y líderes del propio barrio para superar la desconfianza; (d) priorizar los barrios con más casos y peores condiciones materiales; y (e) mantener las acciones todo el año, no solo durante los brotes. Así, la gestión del riesgo deja de ser una respuesta de emergencia y se convierte en una transformación del territorio.</w:t>
      </w:r>
    </w:p>
    <w:p>
      <w:pPr>
        <w:pStyle w:val="Heading2"/>
        <w:spacing w:after="100" w:before="180"/>
      </w:pPr>
      <w:r>
        <w:rPr>
          <w:rFonts w:ascii="Arial" w:cs="Arial" w:eastAsia="Arial" w:hAnsi="Arial"/>
          <w:b/>
          <w:bCs/>
          <w:color w:val="2E5496"/>
          <w:sz w:val="23"/>
          <w:szCs w:val="23"/>
        </w:rPr>
        <w:t xml:space="preserve">5. Indicadores para medir impacto y sostenibilidad</w:t>
      </w:r>
    </w:p>
    <w:p>
      <w:pPr>
        <w:keepNext/>
        <w:spacing w:after="60" w:before="120"/>
      </w:pPr>
      <w:r>
        <w:rPr>
          <w:rFonts w:ascii="Arial" w:cs="Arial" w:eastAsia="Arial" w:hAnsi="Arial"/>
          <w:b/>
          <w:bCs/>
          <w:sz w:val="20"/>
          <w:szCs w:val="20"/>
        </w:rPr>
        <w:t xml:space="preserve">Tabla 3</w:t>
      </w:r>
    </w:p>
    <w:p>
      <w:pPr>
        <w:keepNext/>
        <w:spacing w:after="80"/>
      </w:pPr>
      <w:r>
        <w:rPr>
          <w:rFonts w:ascii="Arial" w:cs="Arial" w:eastAsia="Arial" w:hAnsi="Arial"/>
          <w:i/>
          <w:iCs/>
          <w:sz w:val="20"/>
          <w:szCs w:val="20"/>
        </w:rPr>
        <w:t xml:space="preserve">Indicadores de seguimiento del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cantSplit/>
          <w:tblHeader/>
        </w:trPr>
        <w:tc>
          <w:tcPr>
            <w:tcW w:type="dxa" w:w="22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Indicador</w:t>
            </w:r>
          </w:p>
        </w:tc>
        <w:tc>
          <w:tcPr>
            <w:tcW w:type="dxa" w:w="35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Fórmula</w:t>
            </w:r>
          </w:p>
        </w:tc>
        <w:tc>
          <w:tcPr>
            <w:tcW w:type="dxa" w:w="15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Meta</w:t>
            </w:r>
          </w:p>
        </w:tc>
        <w:tc>
          <w:tcPr>
            <w:tcW w:type="dxa" w:w="21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Tipo</w:t>
            </w:r>
          </w:p>
        </w:tc>
      </w:tr>
      <w:tr>
        <w:trPr>
          <w:cantSplit/>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Incidencia de dengue</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(Casos nuevos en las comunas 5 y 6 / población de las comunas) × 100.000 hab.</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Reducción ≥ 20 % anual</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Impacto</w:t>
            </w:r>
          </w:p>
        </w:tc>
      </w:tr>
      <w:tr>
        <w:trPr>
          <w:cantSplit/>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Letalidad por dengue grave</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(Muertes por dengue grave / casos de dengue grave) × 100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0 %</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Impacto</w:t>
            </w:r>
          </w:p>
        </w:tc>
      </w:tr>
      <w:tr>
        <w:trPr>
          <w:cantSplit/>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Índice de Breteau</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(Recipientes positivos para larvas / viviendas inspeccionadas) × 100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&lt; 5</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Resultado</w:t>
            </w:r>
          </w:p>
        </w:tc>
      </w:tr>
      <w:tr>
        <w:trPr>
          <w:cantSplit/>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Índice de vivienda</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(Viviendas con larvas / viviendas inspeccionadas) × 100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&lt; 5 %</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Resultado</w:t>
            </w:r>
          </w:p>
        </w:tc>
      </w:tr>
      <w:tr>
        <w:trPr>
          <w:cantSplit/>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Cobertura de visitas domiciliarias</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(Viviendas visitadas por la Liga contra el dengue / viviendas programadas) × 100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 90 %</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Proceso</w:t>
            </w:r>
          </w:p>
        </w:tc>
      </w:tr>
      <w:tr>
        <w:trPr>
          <w:cantSplit/>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Oportunidad de notificación</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(Casos notificados al SIVIGILA en el tiempo establecido / total de casos) × 100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 95 %</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Proceso</w:t>
            </w:r>
          </w:p>
        </w:tc>
      </w:tr>
      <w:tr>
        <w:trPr>
          <w:cantSplit/>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Manejo según guía clínica</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(Historias clínicas auditadas con manejo adecuado / historias auditadas) × 100</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 90 %</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Calidad</w:t>
            </w:r>
          </w:p>
        </w:tc>
      </w:tr>
      <w:tr>
        <w:trPr>
          <w:cantSplit/>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Participación comunitaria</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Número de JAC y colegios con comités activos contra el dengue</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100 % de las JAC de las comunas 5 y 6</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Sostenibilidad</w:t>
            </w:r>
          </w:p>
        </w:tc>
      </w:tr>
      <w:tr>
        <w:trPr>
          <w:cantSplit/>
          <w:tblHeader w:val="false"/>
        </w:trPr>
        <w:tc>
          <w:tcPr>
            <w:tcW w:type="dxa" w:w="22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Sostenibilidad financiera</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Recursos para ETV incluidos en el PIC y el Plan Territorial de Salud; acciones intersectoriales ejecutadas / programadas</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100 %</w:t>
            </w:r>
          </w:p>
        </w:tc>
        <w:tc>
          <w:tcPr>
            <w:tcW w:type="dxa" w:w="21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Sostenibilidad</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Las metas son propuestas y deben concertarse con los actores del territorio.</w:t>
      </w:r>
    </w:p>
    <w:p>
      <w:pPr>
        <w:pStyle w:val="Heading1"/>
        <w:spacing w:after="120" w:before="240"/>
      </w:pPr>
      <w:r>
        <w:rPr>
          <w:rFonts w:ascii="Arial" w:cs="Arial" w:eastAsia="Arial" w:hAnsi="Arial"/>
          <w:b/>
          <w:bCs/>
          <w:color w:val="1F3864"/>
          <w:sz w:val="26"/>
          <w:szCs w:val="26"/>
        </w:rPr>
        <w:t xml:space="preserve">Conclusiones</w:t>
      </w:r>
    </w:p>
    <w:p>
      <w:pPr>
        <w:spacing w:after="80" w:line="259"/>
        <w:ind w:firstLine="567"/>
        <w:jc w:val="both"/>
      </w:pPr>
      <w:r>
        <w:rPr>
          <w:rFonts w:ascii="Arial" w:cs="Arial" w:eastAsia="Arial" w:hAnsi="Arial"/>
          <w:sz w:val="22"/>
          <w:szCs w:val="22"/>
        </w:rPr>
        <w:t xml:space="preserve">El dengue en las comunas 5 y 6 de Barrancabermeja no es un problema únicamente biológico ni solamente del mosquito: es la expresión sanitaria de una historia de desplazamiento, crecimiento urbano informal y desigual distribución de la riqueza petrolera. El virus y el vector son necesarios para la enfermedad, pero son el agua almacenada, los residuos, la vivienda precaria y las brechas en los servicios públicos los que explican por qué los brotes se concentran en los mismos barrios.</w:t>
      </w:r>
    </w:p>
    <w:p>
      <w:pPr>
        <w:spacing w:after="80" w:line="259"/>
        <w:ind w:firstLine="567"/>
        <w:jc w:val="both"/>
      </w:pPr>
      <w:r>
        <w:rPr>
          <w:rFonts w:ascii="Arial" w:cs="Arial" w:eastAsia="Arial" w:hAnsi="Arial"/>
          <w:sz w:val="22"/>
          <w:szCs w:val="22"/>
        </w:rPr>
        <w:t xml:space="preserve">La clasificación de los determinantes en estructurales e intermedios demuestra que las soluciones no están solo en el hospital ni en la fumigación. El plan de gestión integral del riesgo debe garantizar la atención oportuna y la vigilancia, pero también intervenir las causas de fondo mediante acción intersectorial y participación comunitaria. Colombia cuenta con un marco normativo amplio —Ley Estatutaria 1751 de 2015, MAITE, Plan Decenal de Salud Pública, Plan de Intervenciones Colectivas—; el reto está en aplicarlo de manera sostenida, con enfoque territorial y no solo cuando el brote ya está en curso.</w:t>
      </w:r>
    </w:p>
    <w:p>
      <w:pPr>
        <w:pStyle w:val="Heading1"/>
        <w:spacing w:after="120" w:before="240"/>
      </w:pPr>
      <w:r>
        <w:rPr>
          <w:rFonts w:ascii="Arial" w:cs="Arial" w:eastAsia="Arial" w:hAnsi="Arial"/>
          <w:b/>
          <w:bCs/>
          <w:color w:val="1F3864"/>
          <w:sz w:val="26"/>
          <w:szCs w:val="26"/>
        </w:rPr>
        <w:t xml:space="preserve">Devolución creativa: reflexión metacognitiva</w:t>
      </w:r>
    </w:p>
    <w:p>
      <w:pPr>
        <w:spacing w:after="80" w:line="259"/>
        <w:ind w:firstLine="567"/>
        <w:jc w:val="both"/>
      </w:pPr>
      <w:r>
        <w:rPr>
          <w:rFonts w:ascii="Arial" w:cs="Arial" w:eastAsia="Arial" w:hAnsi="Arial"/>
          <w:sz w:val="22"/>
          <w:szCs w:val="22"/>
        </w:rPr>
        <w:t xml:space="preserve">Este ejercicio me permitió comprender que detrás de cada caso de dengue hay una historia de barrio. Antes lo habría descrito como un problema de mosquitos que se resuelve con fumigación y campañas; hoy entiendo que la enfermedad está atravesada por decisiones políticas, condiciones económicas y una forma de construir ciudad que dejó a los barrios del nororiente con menos agua, menos saneamiento y menos oportunidades. Identificar y clasificar los determinantes estructurales e intermedios me dio una herramienta para leer mi propio territorio con más profundidad y para reconocer que la inequidad en salud no es natural, sino el producto de circunstancias que se pueden transformar.</w:t>
      </w:r>
    </w:p>
    <w:p>
      <w:pPr>
        <w:spacing w:after="80" w:line="259"/>
        <w:ind w:firstLine="567"/>
        <w:jc w:val="both"/>
      </w:pPr>
      <w:r>
        <w:rPr>
          <w:rFonts w:ascii="Arial" w:cs="Arial" w:eastAsia="Arial" w:hAnsi="Arial"/>
          <w:sz w:val="22"/>
          <w:szCs w:val="22"/>
        </w:rPr>
        <w:t xml:space="preserve">Desde lo profesional, como futura especialista en gerencia y auditoría de la calidad en salud, este aprendizaje me compromete a no limitar la gestión a verificar indicadores o requisitos, sino a preguntarme si las acciones realmente llegan a los barrios que más lo necesitan y si se sostienen en el tiempo. Me deja la convicción de que la gestión del riesgo debe construirse con la comunidad y no solo para ella, y de que mi rol ético es hacer visibles las brechas, promover la articulación entre sectores y defender la equidad como criterio central de la calidad. En lo personal, me recuerda que la salud pública empieza en la casa, en el patio y en la cuadra, y que cada familia informada y cada tanque tapado también son parte de la solución.</w:t>
      </w:r>
    </w:p>
    <w:p>
      <w:r>
        <w:br w:type="page"/>
      </w:r>
    </w:p>
    <w:p>
      <w:pPr>
        <w:pStyle w:val="Heading1"/>
        <w:spacing w:after="120" w:before="240"/>
      </w:pPr>
      <w:r>
        <w:rPr>
          <w:rFonts w:ascii="Arial" w:cs="Arial" w:eastAsia="Arial" w:hAnsi="Arial"/>
          <w:b/>
          <w:bCs/>
          <w:color w:val="1F3864"/>
          <w:sz w:val="26"/>
          <w:szCs w:val="26"/>
        </w:rPr>
        <w:t xml:space="preserve">Referencias</w:t>
      </w:r>
    </w:p>
    <w:p>
      <w:pPr>
        <w:spacing w:after="100" w:line="276"/>
        <w:ind w:left="567" w:hanging="567"/>
        <w:jc w:val="left"/>
      </w:pPr>
      <w:r>
        <w:rPr>
          <w:rFonts w:ascii="Arial" w:cs="Arial" w:eastAsia="Arial" w:hAnsi="Arial"/>
          <w:i w:val="false"/>
          <w:iCs w:val="false"/>
          <w:sz w:val="22"/>
          <w:szCs w:val="22"/>
        </w:rPr>
        <w:t xml:space="preserve">Comisión sobre Determinantes Sociales de la Salud. (2008). </w:t>
      </w:r>
      <w:r>
        <w:rPr>
          <w:rFonts w:ascii="Arial" w:cs="Arial" w:eastAsia="Arial" w:hAnsi="Arial"/>
          <w:i/>
          <w:iCs/>
          <w:sz w:val="22"/>
          <w:szCs w:val="22"/>
        </w:rPr>
        <w:t xml:space="preserve">Subsanar las desigualdades en una generación: alcanzar la equidad sanitaria actuando sobre los determinantes sociales de la salud</w:t>
      </w:r>
      <w:r>
        <w:rPr>
          <w:rFonts w:ascii="Arial" w:cs="Arial" w:eastAsia="Arial" w:hAnsi="Arial"/>
          <w:i w:val="false"/>
          <w:iCs w:val="false"/>
          <w:sz w:val="22"/>
          <w:szCs w:val="22"/>
        </w:rPr>
        <w:t xml:space="preserve">. Organización Mundial de la Salud.</w:t>
      </w:r>
    </w:p>
    <w:p>
      <w:pPr>
        <w:spacing w:after="100" w:line="276"/>
        <w:ind w:left="567" w:hanging="567"/>
        <w:jc w:val="left"/>
      </w:pPr>
      <w:r>
        <w:rPr>
          <w:rFonts w:ascii="Arial" w:cs="Arial" w:eastAsia="Arial" w:hAnsi="Arial"/>
          <w:i w:val="false"/>
          <w:iCs w:val="false"/>
          <w:sz w:val="22"/>
          <w:szCs w:val="22"/>
        </w:rPr>
        <w:t xml:space="preserve">Congreso de la República de Colombia. (1979). Ley 9 de 1979, por la cual se dictan medidas sanitarias.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35.193.</w:t>
      </w:r>
    </w:p>
    <w:p>
      <w:pPr>
        <w:spacing w:after="100" w:line="276"/>
        <w:ind w:left="567" w:hanging="567"/>
        <w:jc w:val="left"/>
      </w:pPr>
      <w:r>
        <w:rPr>
          <w:rFonts w:ascii="Arial" w:cs="Arial" w:eastAsia="Arial" w:hAnsi="Arial"/>
          <w:i w:val="false"/>
          <w:iCs w:val="false"/>
          <w:sz w:val="22"/>
          <w:szCs w:val="22"/>
        </w:rPr>
        <w:t xml:space="preserve">Congreso de la República de Colombia. (1994). Ley 142 de 1994, por la cual se establece el régimen de los servicios públicos domiciliarios.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41.433.</w:t>
      </w:r>
    </w:p>
    <w:p>
      <w:pPr>
        <w:spacing w:after="100" w:line="276"/>
        <w:ind w:left="567" w:hanging="567"/>
        <w:jc w:val="left"/>
      </w:pPr>
      <w:r>
        <w:rPr>
          <w:rFonts w:ascii="Arial" w:cs="Arial" w:eastAsia="Arial" w:hAnsi="Arial"/>
          <w:i w:val="false"/>
          <w:iCs w:val="false"/>
          <w:sz w:val="22"/>
          <w:szCs w:val="22"/>
        </w:rPr>
        <w:t xml:space="preserve">Congreso de la República de Colombia. (2011). Ley 1438 de 2011, por medio de la cual se reforma el Sistema General de Seguridad Social en Salud.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47.957.</w:t>
      </w:r>
    </w:p>
    <w:p>
      <w:pPr>
        <w:spacing w:after="100" w:line="276"/>
        <w:ind w:left="567" w:hanging="567"/>
        <w:jc w:val="left"/>
      </w:pPr>
      <w:r>
        <w:rPr>
          <w:rFonts w:ascii="Arial" w:cs="Arial" w:eastAsia="Arial" w:hAnsi="Arial"/>
          <w:i w:val="false"/>
          <w:iCs w:val="false"/>
          <w:sz w:val="22"/>
          <w:szCs w:val="22"/>
        </w:rPr>
        <w:t xml:space="preserve">Congreso de la República de Colombia. (2015). Ley Estatutaria 1751 de 2015, por medio de la cual se regula el derecho fundamental a la salud.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49.427.</w:t>
      </w:r>
    </w:p>
    <w:p>
      <w:pPr>
        <w:spacing w:after="100" w:line="276"/>
        <w:ind w:left="567" w:hanging="567"/>
        <w:jc w:val="left"/>
      </w:pPr>
      <w:r>
        <w:rPr>
          <w:rFonts w:ascii="Arial" w:cs="Arial" w:eastAsia="Arial" w:hAnsi="Arial"/>
          <w:i w:val="false"/>
          <w:iCs w:val="false"/>
          <w:sz w:val="22"/>
          <w:szCs w:val="22"/>
        </w:rPr>
        <w:t xml:space="preserve">Enlace Televisión. (2026, 1 de septiembre). </w:t>
      </w:r>
      <w:r>
        <w:rPr>
          <w:rFonts w:ascii="Arial" w:cs="Arial" w:eastAsia="Arial" w:hAnsi="Arial"/>
          <w:i/>
          <w:iCs/>
          <w:sz w:val="22"/>
          <w:szCs w:val="22"/>
        </w:rPr>
        <w:t xml:space="preserve">Dengue baja 14,8 % en Barrancabermeja</w:t>
      </w:r>
      <w:r>
        <w:rPr>
          <w:rFonts w:ascii="Arial" w:cs="Arial" w:eastAsia="Arial" w:hAnsi="Arial"/>
          <w:i w:val="false"/>
          <w:iCs w:val="false"/>
          <w:sz w:val="22"/>
          <w:szCs w:val="22"/>
        </w:rPr>
        <w:t xml:space="preserve">. https://enlacetelevision.com/2026/09/01/dengue-baja-148-en-barrancabermeja/</w:t>
      </w:r>
    </w:p>
    <w:p>
      <w:pPr>
        <w:spacing w:after="100" w:line="276"/>
        <w:ind w:left="567" w:hanging="567"/>
        <w:jc w:val="left"/>
      </w:pPr>
      <w:r>
        <w:rPr>
          <w:rFonts w:ascii="Arial" w:cs="Arial" w:eastAsia="Arial" w:hAnsi="Arial"/>
          <w:i w:val="false"/>
          <w:iCs w:val="false"/>
          <w:sz w:val="22"/>
          <w:szCs w:val="22"/>
        </w:rPr>
        <w:t xml:space="preserve">Instituto Nacional de Salud. (2024). </w:t>
      </w:r>
      <w:r>
        <w:rPr>
          <w:rFonts w:ascii="Arial" w:cs="Arial" w:eastAsia="Arial" w:hAnsi="Arial"/>
          <w:i/>
          <w:iCs/>
          <w:sz w:val="22"/>
          <w:szCs w:val="22"/>
        </w:rPr>
        <w:t xml:space="preserve">Protocolo de vigilancia en salud pública: dengue</w:t>
      </w:r>
      <w:r>
        <w:rPr>
          <w:rFonts w:ascii="Arial" w:cs="Arial" w:eastAsia="Arial" w:hAnsi="Arial"/>
          <w:i w:val="false"/>
          <w:iCs w:val="false"/>
          <w:sz w:val="22"/>
          <w:szCs w:val="22"/>
        </w:rPr>
        <w:t xml:space="preserve">. INS.</w:t>
      </w:r>
    </w:p>
    <w:p>
      <w:pPr>
        <w:spacing w:after="100" w:line="276"/>
        <w:ind w:left="567" w:hanging="567"/>
        <w:jc w:val="left"/>
      </w:pPr>
      <w:r>
        <w:rPr>
          <w:rFonts w:ascii="Arial" w:cs="Arial" w:eastAsia="Arial" w:hAnsi="Arial"/>
          <w:i w:val="false"/>
          <w:iCs w:val="false"/>
          <w:sz w:val="22"/>
          <w:szCs w:val="22"/>
        </w:rPr>
        <w:t xml:space="preserve">Lalonde, M. (1974). </w:t>
      </w:r>
      <w:r>
        <w:rPr>
          <w:rFonts w:ascii="Arial" w:cs="Arial" w:eastAsia="Arial" w:hAnsi="Arial"/>
          <w:i/>
          <w:iCs/>
          <w:sz w:val="22"/>
          <w:szCs w:val="22"/>
        </w:rPr>
        <w:t xml:space="preserve">A new perspective on the health of Canadians</w:t>
      </w:r>
      <w:r>
        <w:rPr>
          <w:rFonts w:ascii="Arial" w:cs="Arial" w:eastAsia="Arial" w:hAnsi="Arial"/>
          <w:i w:val="false"/>
          <w:iCs w:val="false"/>
          <w:sz w:val="22"/>
          <w:szCs w:val="22"/>
        </w:rPr>
        <w:t xml:space="preserve">. Government of Canada.</w:t>
      </w:r>
    </w:p>
    <w:p>
      <w:pPr>
        <w:spacing w:after="100" w:line="276"/>
        <w:ind w:left="567" w:hanging="567"/>
        <w:jc w:val="left"/>
      </w:pPr>
      <w:r>
        <w:rPr>
          <w:rFonts w:ascii="Arial" w:cs="Arial" w:eastAsia="Arial" w:hAnsi="Arial"/>
          <w:i w:val="false"/>
          <w:iCs w:val="false"/>
          <w:sz w:val="22"/>
          <w:szCs w:val="22"/>
        </w:rPr>
        <w:t xml:space="preserve">Lema Añón, C. (2021). </w:t>
      </w:r>
      <w:r>
        <w:rPr>
          <w:rFonts w:ascii="Arial" w:cs="Arial" w:eastAsia="Arial" w:hAnsi="Arial"/>
          <w:i/>
          <w:iCs/>
          <w:sz w:val="22"/>
          <w:szCs w:val="22"/>
        </w:rPr>
        <w:t xml:space="preserve">Los determinantes sociales de la salud: más allá del derecho a la salud</w:t>
      </w:r>
      <w:r>
        <w:rPr>
          <w:rFonts w:ascii="Arial" w:cs="Arial" w:eastAsia="Arial" w:hAnsi="Arial"/>
          <w:i w:val="false"/>
          <w:iCs w:val="false"/>
          <w:sz w:val="22"/>
          <w:szCs w:val="22"/>
        </w:rPr>
        <w:t xml:space="preserve"> (pp. 27-71). Dykinson.</w:t>
      </w:r>
    </w:p>
    <w:p>
      <w:pPr>
        <w:spacing w:after="100" w:line="276"/>
        <w:ind w:left="567" w:hanging="567"/>
        <w:jc w:val="left"/>
      </w:pPr>
      <w:r>
        <w:rPr>
          <w:rFonts w:ascii="Arial" w:cs="Arial" w:eastAsia="Arial" w:hAnsi="Arial"/>
          <w:i w:val="false"/>
          <w:iCs w:val="false"/>
          <w:sz w:val="22"/>
          <w:szCs w:val="22"/>
        </w:rPr>
        <w:t xml:space="preserve">Ministerio de la Protección Social. (2007). Decreto 1575 de 2007, por el cual se establece el Sistema para la Protección y Control de la Calidad del Agua para Consumo Humano.</w:t>
      </w:r>
    </w:p>
    <w:p>
      <w:pPr>
        <w:spacing w:after="100" w:line="276"/>
        <w:ind w:left="567" w:hanging="567"/>
        <w:jc w:val="left"/>
      </w:pPr>
      <w:r>
        <w:rPr>
          <w:rFonts w:ascii="Arial" w:cs="Arial" w:eastAsia="Arial" w:hAnsi="Arial"/>
          <w:i w:val="false"/>
          <w:iCs w:val="false"/>
          <w:sz w:val="22"/>
          <w:szCs w:val="22"/>
        </w:rPr>
        <w:t xml:space="preserve">Ministerio de la Protección Social. (2006). Decreto 1011 de 2006, por el cual se establece el Sistema Obligatorio de Garantía de Calidad de la Atención de Salud.</w:t>
      </w:r>
    </w:p>
    <w:p>
      <w:pPr>
        <w:spacing w:after="100" w:line="276"/>
        <w:ind w:left="567" w:hanging="567"/>
        <w:jc w:val="left"/>
      </w:pPr>
      <w:r>
        <w:rPr>
          <w:rFonts w:ascii="Arial" w:cs="Arial" w:eastAsia="Arial" w:hAnsi="Arial"/>
          <w:i w:val="false"/>
          <w:iCs w:val="false"/>
          <w:sz w:val="22"/>
          <w:szCs w:val="22"/>
        </w:rPr>
        <w:t xml:space="preserve">Ministerio de Salud y Protección Social. (2015). Resolución 518 de 2015, por la cual se dictan disposiciones en relación con la Gestión de la Salud Pública y se establecen directrices para el Plan de Salud Pública de Intervenciones Colectivas (PIC).</w:t>
      </w:r>
    </w:p>
    <w:p>
      <w:pPr>
        <w:spacing w:after="100" w:line="276"/>
        <w:ind w:left="567" w:hanging="567"/>
        <w:jc w:val="left"/>
      </w:pPr>
      <w:r>
        <w:rPr>
          <w:rFonts w:ascii="Arial" w:cs="Arial" w:eastAsia="Arial" w:hAnsi="Arial"/>
          <w:i w:val="false"/>
          <w:iCs w:val="false"/>
          <w:sz w:val="22"/>
          <w:szCs w:val="22"/>
        </w:rPr>
        <w:t xml:space="preserve">Ministerio de Salud y Protección Social. (2016). Decreto 780 de 2016, Decreto Único Reglamentario del Sector Salud y Protección Social.</w:t>
      </w:r>
    </w:p>
    <w:p>
      <w:pPr>
        <w:spacing w:after="100" w:line="276"/>
        <w:ind w:left="567" w:hanging="567"/>
        <w:jc w:val="left"/>
      </w:pPr>
      <w:r>
        <w:rPr>
          <w:rFonts w:ascii="Arial" w:cs="Arial" w:eastAsia="Arial" w:hAnsi="Arial"/>
          <w:i w:val="false"/>
          <w:iCs w:val="false"/>
          <w:sz w:val="22"/>
          <w:szCs w:val="22"/>
        </w:rPr>
        <w:t xml:space="preserve">Ministerio de Salud y Protección Social. (2016). Resolución 256 de 2016, por la cual se dictan disposiciones en relación con el Sistema de Información para la Calidad.</w:t>
      </w:r>
    </w:p>
    <w:p>
      <w:pPr>
        <w:spacing w:after="100" w:line="276"/>
        <w:ind w:left="567" w:hanging="567"/>
        <w:jc w:val="left"/>
      </w:pPr>
      <w:r>
        <w:rPr>
          <w:rFonts w:ascii="Arial" w:cs="Arial" w:eastAsia="Arial" w:hAnsi="Arial"/>
          <w:i w:val="false"/>
          <w:iCs w:val="false"/>
          <w:sz w:val="22"/>
          <w:szCs w:val="22"/>
        </w:rPr>
        <w:t xml:space="preserve">Ministerio de Salud y Protección Social. (2017). Resolución 2063 de 2017, por la cual se adopta la Política de Participación Social en Salud.</w:t>
      </w:r>
    </w:p>
    <w:p>
      <w:pPr>
        <w:spacing w:after="100" w:line="276"/>
        <w:ind w:left="567" w:hanging="567"/>
        <w:jc w:val="left"/>
      </w:pPr>
      <w:r>
        <w:rPr>
          <w:rFonts w:ascii="Arial" w:cs="Arial" w:eastAsia="Arial" w:hAnsi="Arial"/>
          <w:i w:val="false"/>
          <w:iCs w:val="false"/>
          <w:sz w:val="22"/>
          <w:szCs w:val="22"/>
        </w:rPr>
        <w:t xml:space="preserve">Ministerio de Salud y Protección Social. (2018). Resolución 3280 de 2018, por medio de la cual se adoptan los lineamientos técnicos y operativos de la Ruta Integral de Atención para la Promoción y Mantenimiento de la Salud.</w:t>
      </w:r>
    </w:p>
    <w:p>
      <w:pPr>
        <w:spacing w:after="100" w:line="276"/>
        <w:ind w:left="567" w:hanging="567"/>
        <w:jc w:val="left"/>
      </w:pPr>
      <w:r>
        <w:rPr>
          <w:rFonts w:ascii="Arial" w:cs="Arial" w:eastAsia="Arial" w:hAnsi="Arial"/>
          <w:i w:val="false"/>
          <w:iCs w:val="false"/>
          <w:sz w:val="22"/>
          <w:szCs w:val="22"/>
        </w:rPr>
        <w:t xml:space="preserve">Ministerio de Salud y Protección Social. (2019). Resolución 2626 de 2019, por la cual se modifica la Política de Atención Integral en Salud y se adopta el Modelo de Acción Integral Territorial (MAITE).</w:t>
      </w:r>
    </w:p>
    <w:p>
      <w:pPr>
        <w:spacing w:after="100" w:line="276"/>
        <w:ind w:left="567" w:hanging="567"/>
        <w:jc w:val="left"/>
      </w:pPr>
      <w:r>
        <w:rPr>
          <w:rFonts w:ascii="Arial" w:cs="Arial" w:eastAsia="Arial" w:hAnsi="Arial"/>
          <w:i w:val="false"/>
          <w:iCs w:val="false"/>
          <w:sz w:val="22"/>
          <w:szCs w:val="22"/>
        </w:rPr>
        <w:t xml:space="preserve">Ministerio de Salud y Protección Social. (2019). Resolución 3100 de 2019, por la cual se definen los procedimientos y condiciones de inscripción de los prestadores y de habilitación de los servicios de salud.</w:t>
      </w:r>
    </w:p>
    <w:p>
      <w:pPr>
        <w:spacing w:after="100" w:line="276"/>
        <w:ind w:left="567" w:hanging="567"/>
        <w:jc w:val="left"/>
      </w:pPr>
      <w:r>
        <w:rPr>
          <w:rFonts w:ascii="Arial" w:cs="Arial" w:eastAsia="Arial" w:hAnsi="Arial"/>
          <w:i w:val="false"/>
          <w:iCs w:val="false"/>
          <w:sz w:val="22"/>
          <w:szCs w:val="22"/>
        </w:rPr>
        <w:t xml:space="preserve">Ministerio de Salud y Protección Social. (2022). Resolución 1035 de 2022, por la cual se adopta el Plan Decenal de Salud Pública 2022-2031.</w:t>
      </w:r>
    </w:p>
    <w:p>
      <w:pPr>
        <w:spacing w:after="100" w:line="276"/>
        <w:ind w:left="567" w:hanging="567"/>
        <w:jc w:val="left"/>
      </w:pPr>
      <w:r>
        <w:rPr>
          <w:rFonts w:ascii="Arial" w:cs="Arial" w:eastAsia="Arial" w:hAnsi="Arial"/>
          <w:i w:val="false"/>
          <w:iCs w:val="false"/>
          <w:sz w:val="22"/>
          <w:szCs w:val="22"/>
        </w:rPr>
        <w:t xml:space="preserve">Ministerio de Salud y Protección Social. (2024). Resolución 100 de 2024, por la cual se dictan disposiciones sobre la Planeación Integral para la Salud.</w:t>
      </w:r>
    </w:p>
    <w:p>
      <w:pPr>
        <w:spacing w:after="100" w:line="276"/>
        <w:ind w:left="567" w:hanging="567"/>
        <w:jc w:val="left"/>
      </w:pPr>
      <w:r>
        <w:rPr>
          <w:rFonts w:ascii="Arial" w:cs="Arial" w:eastAsia="Arial" w:hAnsi="Arial"/>
          <w:i w:val="false"/>
          <w:iCs w:val="false"/>
          <w:sz w:val="22"/>
          <w:szCs w:val="22"/>
        </w:rPr>
        <w:t xml:space="preserve">Ministerio de Salud y Protección Social. (2025, 3 de abril). </w:t>
      </w:r>
      <w:r>
        <w:rPr>
          <w:rFonts w:ascii="Arial" w:cs="Arial" w:eastAsia="Arial" w:hAnsi="Arial"/>
          <w:i/>
          <w:iCs/>
          <w:sz w:val="22"/>
          <w:szCs w:val="22"/>
        </w:rPr>
        <w:t xml:space="preserve">Circular Externa 012 de 2025</w:t>
      </w:r>
      <w:r>
        <w:rPr>
          <w:rFonts w:ascii="Arial" w:cs="Arial" w:eastAsia="Arial" w:hAnsi="Arial"/>
          <w:i w:val="false"/>
          <w:iCs w:val="false"/>
          <w:sz w:val="22"/>
          <w:szCs w:val="22"/>
        </w:rPr>
        <w:t xml:space="preserve">. https://www.minsalud.gov.co/Normatividad_Nuevo/Circular%20Externa%20No%20012%20de%202025.pdf</w:t>
      </w:r>
    </w:p>
    <w:p>
      <w:pPr>
        <w:spacing w:after="100" w:line="276"/>
        <w:ind w:left="567" w:hanging="567"/>
        <w:jc w:val="left"/>
      </w:pPr>
      <w:r>
        <w:rPr>
          <w:rFonts w:ascii="Arial" w:cs="Arial" w:eastAsia="Arial" w:hAnsi="Arial"/>
          <w:i w:val="false"/>
          <w:iCs w:val="false"/>
          <w:sz w:val="22"/>
          <w:szCs w:val="22"/>
        </w:rPr>
        <w:t xml:space="preserve">Morgensterin, R. M. (2021). </w:t>
      </w:r>
      <w:r>
        <w:rPr>
          <w:rFonts w:ascii="Arial" w:cs="Arial" w:eastAsia="Arial" w:hAnsi="Arial"/>
          <w:i/>
          <w:iCs/>
          <w:sz w:val="22"/>
          <w:szCs w:val="22"/>
        </w:rPr>
        <w:t xml:space="preserve">Guía para la gestión de calidad y la seguridad laboral de los servicios de salud: versión global aplicable a todo sistema de salud</w:t>
      </w:r>
      <w:r>
        <w:rPr>
          <w:rFonts w:ascii="Arial" w:cs="Arial" w:eastAsia="Arial" w:hAnsi="Arial"/>
          <w:i w:val="false"/>
          <w:iCs w:val="false"/>
          <w:sz w:val="22"/>
          <w:szCs w:val="22"/>
        </w:rPr>
        <w:t xml:space="preserve"> (1.ª ed., pp. 33-45; 63-74). Bubok Publishing S.L.</w:t>
      </w:r>
    </w:p>
    <w:p>
      <w:pPr>
        <w:spacing w:after="100" w:line="276"/>
        <w:ind w:left="567" w:hanging="567"/>
        <w:jc w:val="left"/>
      </w:pPr>
      <w:r>
        <w:rPr>
          <w:rFonts w:ascii="Arial" w:cs="Arial" w:eastAsia="Arial" w:hAnsi="Arial"/>
          <w:i w:val="false"/>
          <w:iCs w:val="false"/>
          <w:sz w:val="22"/>
          <w:szCs w:val="22"/>
        </w:rPr>
        <w:t xml:space="preserve">Organización Panamericana de la Salud. (2022). </w:t>
      </w:r>
      <w:r>
        <w:rPr>
          <w:rFonts w:ascii="Arial" w:cs="Arial" w:eastAsia="Arial" w:hAnsi="Arial"/>
          <w:i/>
          <w:iCs/>
          <w:sz w:val="22"/>
          <w:szCs w:val="22"/>
        </w:rPr>
        <w:t xml:space="preserve">Directrices para el diagnóstico clínico y el tratamiento del dengue, el chikunguña y el zika</w:t>
      </w:r>
      <w:r>
        <w:rPr>
          <w:rFonts w:ascii="Arial" w:cs="Arial" w:eastAsia="Arial" w:hAnsi="Arial"/>
          <w:i w:val="false"/>
          <w:iCs w:val="false"/>
          <w:sz w:val="22"/>
          <w:szCs w:val="22"/>
        </w:rPr>
        <w:t xml:space="preserve">. OPS.</w:t>
      </w:r>
    </w:p>
    <w:p>
      <w:pPr>
        <w:spacing w:after="100" w:line="276"/>
        <w:ind w:left="567" w:hanging="567"/>
        <w:jc w:val="left"/>
      </w:pPr>
      <w:r>
        <w:rPr>
          <w:rFonts w:ascii="Arial" w:cs="Arial" w:eastAsia="Arial" w:hAnsi="Arial"/>
          <w:i w:val="false"/>
          <w:iCs w:val="false"/>
          <w:sz w:val="22"/>
          <w:szCs w:val="22"/>
        </w:rPr>
        <w:t xml:space="preserve">Pascarella, G., Rossi, M., Montella, E., Capasso, A., De Feo, G., Botti, G., Nardone, A., Montuori, P., Triassi, M., D’Auria, S., &amp; Morabito, A. (2021). Risk analysis in healthcare organizations: Methodological framework and critical variables. </w:t>
      </w:r>
      <w:r>
        <w:rPr>
          <w:rFonts w:ascii="Arial" w:cs="Arial" w:eastAsia="Arial" w:hAnsi="Arial"/>
          <w:i/>
          <w:iCs/>
          <w:sz w:val="22"/>
          <w:szCs w:val="22"/>
        </w:rPr>
        <w:t xml:space="preserve">Risk Management and Healthcare Policy, 14</w:t>
      </w:r>
      <w:r>
        <w:rPr>
          <w:rFonts w:ascii="Arial" w:cs="Arial" w:eastAsia="Arial" w:hAnsi="Arial"/>
          <w:i w:val="false"/>
          <w:iCs w:val="false"/>
          <w:sz w:val="22"/>
          <w:szCs w:val="22"/>
        </w:rPr>
        <w:t xml:space="preserve">, 2897-2911. https://doi.org/10.2147/RMHP.S309098</w:t>
      </w:r>
    </w:p>
    <w:p>
      <w:pPr>
        <w:spacing w:after="100" w:line="276"/>
        <w:ind w:left="567" w:hanging="567"/>
        <w:jc w:val="left"/>
      </w:pPr>
      <w:r>
        <w:rPr>
          <w:rFonts w:ascii="Arial" w:cs="Arial" w:eastAsia="Arial" w:hAnsi="Arial"/>
          <w:i w:val="false"/>
          <w:iCs w:val="false"/>
          <w:sz w:val="22"/>
          <w:szCs w:val="22"/>
        </w:rPr>
        <w:t xml:space="preserve">Serrano Besil, J. E. (2023). Conflicto armado, desplazamiento forzado y transformaciones socioespaciales en Barrancabermeja (1980-2005). </w:t>
      </w:r>
      <w:r>
        <w:rPr>
          <w:rFonts w:ascii="Arial" w:cs="Arial" w:eastAsia="Arial" w:hAnsi="Arial"/>
          <w:i/>
          <w:iCs/>
          <w:sz w:val="22"/>
          <w:szCs w:val="22"/>
        </w:rPr>
        <w:t xml:space="preserve">Territorios</w:t>
      </w:r>
      <w:r>
        <w:rPr>
          <w:rFonts w:ascii="Arial" w:cs="Arial" w:eastAsia="Arial" w:hAnsi="Arial"/>
          <w:i w:val="false"/>
          <w:iCs w:val="false"/>
          <w:sz w:val="22"/>
          <w:szCs w:val="22"/>
        </w:rPr>
        <w:t xml:space="preserve">, (48), 1-23. https://doi.org/10.12804/revistas.urosario.edu.co/territorios/a.12309</w:t>
      </w:r>
    </w:p>
    <w:p>
      <w:pPr>
        <w:spacing w:after="100" w:line="276"/>
        <w:ind w:left="567" w:hanging="567"/>
        <w:jc w:val="left"/>
      </w:pPr>
      <w:r>
        <w:rPr>
          <w:rFonts w:ascii="Arial" w:cs="Arial" w:eastAsia="Arial" w:hAnsi="Arial"/>
          <w:i w:val="false"/>
          <w:iCs w:val="false"/>
          <w:sz w:val="22"/>
          <w:szCs w:val="22"/>
        </w:rPr>
        <w:t xml:space="preserve">Solar, O., &amp; Irwin, A. (2010). </w:t>
      </w:r>
      <w:r>
        <w:rPr>
          <w:rFonts w:ascii="Arial" w:cs="Arial" w:eastAsia="Arial" w:hAnsi="Arial"/>
          <w:i/>
          <w:iCs/>
          <w:sz w:val="22"/>
          <w:szCs w:val="22"/>
        </w:rPr>
        <w:t xml:space="preserve">A conceptual framework for action on the social determinants of health</w:t>
      </w:r>
      <w:r>
        <w:rPr>
          <w:rFonts w:ascii="Arial" w:cs="Arial" w:eastAsia="Arial" w:hAnsi="Arial"/>
          <w:i w:val="false"/>
          <w:iCs w:val="false"/>
          <w:sz w:val="22"/>
          <w:szCs w:val="22"/>
        </w:rPr>
        <w:t xml:space="preserve"> (Social Determinants of Health Discussion Paper 2). World Health Organization.</w:t>
      </w:r>
    </w:p>
    <w:p>
      <w:pPr>
        <w:spacing w:after="100" w:line="276"/>
        <w:ind w:left="567" w:hanging="567"/>
        <w:jc w:val="left"/>
      </w:pPr>
      <w:r>
        <w:rPr>
          <w:rFonts w:ascii="Arial" w:cs="Arial" w:eastAsia="Arial" w:hAnsi="Arial"/>
          <w:i w:val="false"/>
          <w:iCs w:val="false"/>
          <w:sz w:val="22"/>
          <w:szCs w:val="22"/>
        </w:rPr>
        <w:t xml:space="preserve">Vanguardia. (2025, 10 de julio). </w:t>
      </w:r>
      <w:r>
        <w:rPr>
          <w:rFonts w:ascii="Arial" w:cs="Arial" w:eastAsia="Arial" w:hAnsi="Arial"/>
          <w:i/>
          <w:iCs/>
          <w:sz w:val="22"/>
          <w:szCs w:val="22"/>
        </w:rPr>
        <w:t xml:space="preserve">Alerta en Barrancabermeja por brote de dengue</w:t>
      </w:r>
      <w:r>
        <w:rPr>
          <w:rFonts w:ascii="Arial" w:cs="Arial" w:eastAsia="Arial" w:hAnsi="Arial"/>
          <w:i w:val="false"/>
          <w:iCs w:val="false"/>
          <w:sz w:val="22"/>
          <w:szCs w:val="22"/>
        </w:rPr>
        <w:t xml:space="preserve">. https://www.vanguardia.com/santander/barrancabermeja/2025/07/10/alerta-en-barrancabermeja-por-brote-de-dengue/</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86813689ba0519e113451687fdeb085af9f3944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2026-09-24T01:27:49.943Z</dcterms:created>
  <dcterms:modified xsi:type="dcterms:W3CDTF">2026-09-24T01:27:49.943Z</dcterms:modified>
</cp:coreProperties>
</file>

<file path=docProps/custom.xml><?xml version="1.0" encoding="utf-8"?>
<Properties xmlns="http://schemas.openxmlformats.org/officeDocument/2006/custom-properties" xmlns:vt="http://schemas.openxmlformats.org/officeDocument/2006/docPropsVTypes"/>
</file>