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4"/>
          <w:szCs w:val="34"/>
        </w:rPr>
        <w:t xml:space="preserve">Guion de voz en off</w:t>
      </w:r>
    </w:p>
    <w:p>
      <w:pPr>
        <w:spacing w:after="60"/>
        <w:jc w:val="center"/>
      </w:pPr>
      <w:r>
        <w:rPr>
          <w:rFonts w:ascii="Arial" w:cs="Arial" w:eastAsia="Arial" w:hAnsi="Arial"/>
          <w:i/>
          <w:iCs/>
          <w:sz w:val="22"/>
          <w:szCs w:val="22"/>
        </w:rPr>
        <w:t xml:space="preserve">Video: “Cuando un error de vía cambia una vida” · Seguridad del paciente en los sistemas de salud</w:t>
      </w:r>
    </w:p>
    <w:p>
      <w:pPr>
        <w:spacing w:after="240"/>
        <w:jc w:val="center"/>
      </w:pPr>
      <w:r>
        <w:rPr>
          <w:rFonts w:ascii="Arial" w:cs="Arial" w:eastAsia="Arial" w:hAnsi="Arial"/>
          <w:sz w:val="22"/>
          <w:szCs w:val="22"/>
        </w:rPr>
        <w:t xml:space="preserve">Yina Vanessa Cadena Mantilla · Duración del video: 6:10</w:t>
      </w:r>
    </w:p>
    <w:p>
      <w:pPr>
        <w:pStyle w:val="Heading2"/>
        <w:spacing w:after="100" w:before="180"/>
      </w:pPr>
      <w:r>
        <w:rPr>
          <w:rFonts w:ascii="Arial" w:cs="Arial" w:eastAsia="Arial" w:hAnsi="Arial"/>
          <w:b/>
          <w:bCs/>
          <w:color w:val="2E5496"/>
          <w:sz w:val="23"/>
          <w:szCs w:val="23"/>
        </w:rPr>
        <w:t xml:space="preserve">Antes de grabar</w:t>
      </w:r>
    </w:p>
    <w:p>
      <w:pPr>
        <w:pStyle w:val="ListParagraph"/>
        <w:numPr>
          <w:ilvl w:val="0"/>
          <w:numId w:val="2"/>
        </w:numPr>
        <w:spacing w:after="60" w:line="290"/>
        <w:jc w:val="both"/>
      </w:pPr>
      <w:r>
        <w:rPr>
          <w:rFonts w:ascii="Arial" w:cs="Arial" w:eastAsia="Arial" w:hAnsi="Arial"/>
          <w:b/>
          <w:bCs/>
          <w:sz w:val="22"/>
          <w:szCs w:val="22"/>
        </w:rPr>
        <w:t xml:space="preserve">Ficha del evento adverso (2:20 – 2:40): </w:t>
      </w:r>
      <w:r>
        <w:rPr>
          <w:rFonts w:ascii="Arial" w:cs="Arial" w:eastAsia="Arial" w:hAnsi="Arial"/>
          <w:sz w:val="22"/>
          <w:szCs w:val="22"/>
        </w:rPr>
        <w:t xml:space="preserve">en el video no aparece la tabla con los datos del caso. Conviene volver a ponerla en Canva.</w:t>
      </w:r>
    </w:p>
    <w:p>
      <w:pPr>
        <w:pStyle w:val="ListParagraph"/>
        <w:numPr>
          <w:ilvl w:val="0"/>
          <w:numId w:val="2"/>
        </w:numPr>
        <w:spacing w:after="60" w:line="290"/>
        <w:jc w:val="both"/>
      </w:pPr>
      <w:r>
        <w:rPr>
          <w:rFonts w:ascii="Arial" w:cs="Arial" w:eastAsia="Arial" w:hAnsi="Arial"/>
          <w:b/>
          <w:bCs/>
          <w:sz w:val="22"/>
          <w:szCs w:val="22"/>
        </w:rPr>
        <w:t xml:space="preserve">Créditos (final): </w:t>
      </w:r>
      <w:r>
        <w:rPr>
          <w:rFonts w:ascii="Arial" w:cs="Arial" w:eastAsia="Arial" w:hAnsi="Arial"/>
          <w:sz w:val="22"/>
          <w:szCs w:val="22"/>
        </w:rPr>
        <w:t xml:space="preserve">borrar los textos de la plantilla “Pautas para el regreso a la oficina” y “Seminarios web en vivo” y poner los créditos reales.</w:t>
      </w:r>
    </w:p>
    <w:p>
      <w:pPr>
        <w:pStyle w:val="ListParagraph"/>
        <w:numPr>
          <w:ilvl w:val="0"/>
          <w:numId w:val="2"/>
        </w:numPr>
        <w:spacing w:after="60" w:line="290"/>
        <w:jc w:val="both"/>
      </w:pPr>
      <w:r>
        <w:rPr>
          <w:rFonts w:ascii="Arial" w:cs="Arial" w:eastAsia="Arial" w:hAnsi="Arial"/>
          <w:b/>
          <w:bCs/>
          <w:sz w:val="22"/>
          <w:szCs w:val="22"/>
        </w:rPr>
        <w:t xml:space="preserve">Referencias (6:00 – 6:05): </w:t>
      </w:r>
      <w:r>
        <w:rPr>
          <w:rFonts w:ascii="Arial" w:cs="Arial" w:eastAsia="Arial" w:hAnsi="Arial"/>
          <w:sz w:val="22"/>
          <w:szCs w:val="22"/>
        </w:rPr>
        <w:t xml:space="preserve">dejarlas al menos 10 segundos en pantalla.</w:t>
      </w:r>
    </w:p>
    <w:p>
      <w:pPr>
        <w:pStyle w:val="Heading2"/>
        <w:spacing w:after="100" w:before="180"/>
      </w:pPr>
      <w:r>
        <w:rPr>
          <w:rFonts w:ascii="Arial" w:cs="Arial" w:eastAsia="Arial" w:hAnsi="Arial"/>
          <w:b/>
          <w:bCs/>
          <w:color w:val="2E5496"/>
          <w:sz w:val="23"/>
          <w:szCs w:val="23"/>
        </w:rPr>
        <w:t xml:space="preserve">Texto para cada diapositiva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300"/>
        <w:gridCol w:w="5360"/>
      </w:tblGrid>
      <w:tr>
        <w:trPr>
          <w:cantSplit/>
          <w:tblHeader/>
        </w:trPr>
        <w:tc>
          <w:tcPr>
            <w:tcW w:type="dxa" w:w="7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8"/>
                <w:szCs w:val="18"/>
              </w:rPr>
              <w:t xml:space="preserve">N.º</w:t>
            </w:r>
          </w:p>
        </w:tc>
        <w:tc>
          <w:tcPr>
            <w:tcW w:type="dxa" w:w="20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8"/>
                <w:szCs w:val="18"/>
              </w:rPr>
              <w:t xml:space="preserve">Diapositiva</w:t>
            </w:r>
          </w:p>
        </w:tc>
        <w:tc>
          <w:tcPr>
            <w:tcW w:type="dxa" w:w="130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8"/>
                <w:szCs w:val="18"/>
              </w:rPr>
              <w:t xml:space="preserve">Tiempo</w:t>
            </w:r>
          </w:p>
        </w:tc>
        <w:tc>
          <w:tcPr>
            <w:tcW w:type="dxa" w:w="5360"/>
            <w:tcBorders>
              <w:top w:val="single" w:color="8EAADB" w:sz="4"/>
              <w:left w:val="single" w:color="8EAADB" w:sz="4"/>
              <w:bottom w:val="single" w:color="8EAADB" w:sz="4"/>
              <w:right w:val="single" w:color="8EAADB" w:sz="4"/>
            </w:tcBorders>
            <w:shd w:fill="1F3864" w:color="auto" w:val="clear"/>
            <w:tcMar>
              <w:top w:type="dxa" w:w="50"/>
              <w:left w:type="dxa" w:w="90"/>
              <w:bottom w:type="dxa" w:w="50"/>
              <w:right w:type="dxa" w:w="90"/>
            </w:tcMar>
            <w:vAlign w:val="center"/>
          </w:tcPr>
          <w:p>
            <w:pPr>
              <w:spacing w:after="20"/>
            </w:pPr>
            <w:r>
              <w:rPr>
                <w:rFonts w:ascii="Arial" w:cs="Arial" w:eastAsia="Arial" w:hAnsi="Arial"/>
                <w:b/>
                <w:bCs/>
                <w:color w:val="FFFFFF"/>
                <w:sz w:val="18"/>
                <w:szCs w:val="18"/>
              </w:rPr>
              <w:t xml:space="preserve">Texto para leer (voz en off)</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Título</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0:00 – 0:20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Hola, mi nombre es Yina Vanessa Cadena Mantilla, estudiante de la Especialización en Gerencia y Auditoría de la Calidad en Salud. En este video les presento el análisis de un evento adverso real: un error de medicación que nos recuerda que un solo descuido puede cambiar una vida.</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2</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¿Qué vamos a hacer?</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0:20 – 0:40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El objetivo es claro: primero, conocer un caso real ocurrido en Colombia en 2026; segundo, identificar qué protocolo de seguridad falló y por qué; y tercero, proponer soluciones que fortalezcan la cultura de seguridad en los servicios de salud.</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3</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Conceptos clave</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0:40 – 1:00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Antes de empezar, dos conceptos. La seguridad del paciente es el conjunto de procesos y herramientas que buscan reducir el riesgo de daño durante la atención. Y un evento adverso es un daño no intencional causado por la atención, no por la enfermedad. Cuando se pudo evitar, es prevenible.</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4</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El caso: Yarumal</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1:00 – 1:20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El caso ocurrió en abril de 2026, en el Hospital San Juan de Dios de Yarumal, Antioquia, una institución pública con estudiantes en práctica. Una mujer de cuarenta y seis años llegó a urgencias con dolor abdominal por gastritis, y le ordenaron un antiácido para aliviar el dolor.</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5</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La orden médica era clara</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1:20 – 1:40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Según los medios, el medicamento era Mylanta, un antiácido de uso exclusivamente oral, es decir, para tomar. La orden médica indicaba la vía oral, y una practicante de enfermería fue la encargada de administrarlo.</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6</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Sin verificación y sin supervisión</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1:40 – 2:00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Pero el medicamento se aplicó por vía intravenosa, directamente en la vena. No se verificó la vía de administración antes de aplicarlo, y hasta ahora no está claro si había un profesional supervisando directamente a la estudiante.</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7</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De urgencias a cuidados intensivos</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2:00 – 2:20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La consecuencia fue grave: la paciente se deterioró y fue remitida a la Unidad de Cuidados Intensivos del Hospital San Vicente Fundación, en Medellín, con pronóstico reservado. El hospital reconoció el evento adverso, inició la investigación y apartó a la estudiante de sus funciones.</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8</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Ficha del evento adverso</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2:20 – 2:40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En resumen: se trata de una institución pública, en el servicio de urgencias, con un error de medicación por vía de administración equivocada. La consecuencia fue un daño grave, y el protocolo que falló fue la verificación de los correctos y la supervisión del estudiante.</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9</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Los “correctos”</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2:40 – 3:00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Antes de aplicar cualquier medicamento se deben verificar los correctos: paciente correcto, medicamento correcto, dosis correcta, vía correcta, hora correcta y registro correcto. En este caso falló justamente uno: la vía. Bastaba con leer la orden para evitar el daño.</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10</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¿Por qué ocurrió?</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3:00 – 3:20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Según el Protocolo de Londres, detrás de un error individual casi siempre hay fallas del sistema. Aquí pudieron influir la inexperiencia de la estudiante, un medicamento oral cargado en jeringa sin rótulo, la falta de supervisión directa y la ausencia de una doble verificación.</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11</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Impacto del evento adverso</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3:20 – 3:40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El impacto fue enorme. Para la paciente, un daño grave y el sufrimiento de su familia. Para el equipo de salud, culpa, estrés y procesos disciplinarios: se convierten en segundas víctimas. Y para la institución, investigaciones, demandas y pérdida de confianza de la comunidad.</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12</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Leer la orden y verificar juntas</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3:40 – 4:00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¿Qué se debió hacer? Leer la orden médica completa antes de preparar el medicamento, hacer una doble verificación con la enfermera jefe o el docente, revisando paciente, medicamento, dosis, vía y hora, y ante cualquier duda, detenerse y preguntar.</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13</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¿Qué protocolos existen?</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4:00 – 4:20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Y no faltan las normas. El Ministerio de Salud tiene la Guía técnica de buenas prácticas para la seguridad del paciente; la Resolución 3100 de 2019 exige un programa de seguridad del paciente, y el Decreto 2376 de 2010 obliga a supervisar a los estudiantes en práctica.</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14</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Acciones inmediatas</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4:20 – 4:40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Propongo acciones inmediatas: acompañar a la paciente y a su familia, reportar y analizar el evento con el Protocolo de Londres, capacitar al personal en los correctos y en las vías de administración, aplicar la doble verificación y garantizar la supervisión directa de los estudiantes.</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15</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¿Cómo se aplican las herramientas?</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4:40 – 5:00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Estas herramientas funcionan cuando se vuelven rutina: con capacitación periódica, listas de chequeo y rondas de seguridad, indicadores de eventos adversos, un reporte voluntario sin culpa y una gerencia que lidere la cultura de seguridad.</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16</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Seguridad del paciente y calidad</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5:00 – 5:20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La seguridad del paciente y los modelos de gestión de la calidad comparten la misma lógica, el ciclo PHVA: planear procesos seguros, hacer y aplicar los protocolos, verificar con indicadores y actuar con planes de mejora. Cuidar al paciente es, en esencia, gestionar la calidad.</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17</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Reflexión final</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5:20 – 5:40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¿Por qué es vital seguir los protocolos? Porque cada verificación es una barrera entre el paciente y el daño. Un protocolo no es un trámite ni una pérdida de tiempo: es una forma de cuidar a quien confía su vida en nuestras manos.</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18</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Verifica, pregunta, reporta, aprende</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5:40 – 6:00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Por eso los invito a verificar siempre, a preguntar ante la duda, a reportar sin miedo y a aprender de cada error. Trabajemos en equipo y capacitémonos cada día, porque la seguridad del paciente es responsabilidad de todos.</w:t>
            </w:r>
          </w:p>
        </w:tc>
      </w:tr>
      <w:tr>
        <w:trPr>
          <w:cantSplit/>
          <w:tblHeader w:val="false"/>
        </w:trPr>
        <w:tc>
          <w:tcPr>
            <w:tcW w:type="dxa" w:w="700"/>
            <w:tcBorders>
              <w:top w:val="single" w:color="8EAADB" w:sz="4"/>
              <w:left w:val="single" w:color="8EAADB" w:sz="4"/>
              <w:bottom w:val="single" w:color="8EAADB" w:sz="4"/>
              <w:right w:val="single" w:color="8EAADB" w:sz="4"/>
            </w:tcBorders>
            <w:shd w:fill="DEEAF6" w:color="auto" w:val="clear"/>
            <w:tcMar>
              <w:top w:type="dxa" w:w="50"/>
              <w:left w:type="dxa" w:w="90"/>
              <w:bottom w:type="dxa" w:w="50"/>
              <w:right w:type="dxa" w:w="90"/>
            </w:tcMar>
            <w:vAlign w:val="center"/>
          </w:tcPr>
          <w:p>
            <w:pPr>
              <w:spacing w:after="20"/>
            </w:pPr>
            <w:r>
              <w:rPr>
                <w:rFonts w:ascii="Arial" w:cs="Arial" w:eastAsia="Arial" w:hAnsi="Arial"/>
                <w:b/>
                <w:bCs/>
                <w:color w:val="000000"/>
                <w:sz w:val="18"/>
                <w:szCs w:val="18"/>
              </w:rPr>
              <w:t xml:space="preserve">19</w:t>
            </w:r>
          </w:p>
        </w:tc>
        <w:tc>
          <w:tcPr>
            <w:tcW w:type="dxa" w:w="20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Referencias y créditos</w:t>
            </w:r>
          </w:p>
        </w:tc>
        <w:tc>
          <w:tcPr>
            <w:tcW w:type="dxa" w:w="130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18"/>
                <w:szCs w:val="18"/>
              </w:rPr>
              <w:t xml:space="preserve">6:00 – 6:10</w:t>
            </w:r>
          </w:p>
        </w:tc>
        <w:tc>
          <w:tcPr>
            <w:tcW w:type="dxa" w:w="5360"/>
            <w:tcBorders>
              <w:top w:val="single" w:color="8EAADB" w:sz="4"/>
              <w:left w:val="single" w:color="8EAADB" w:sz="4"/>
              <w:bottom w:val="single" w:color="8EAADB" w:sz="4"/>
              <w:right w:val="single" w:color="8EAADB" w:sz="4"/>
            </w:tcBorders>
            <w:tcMar>
              <w:top w:type="dxa" w:w="50"/>
              <w:left w:type="dxa" w:w="90"/>
              <w:bottom w:type="dxa" w:w="50"/>
              <w:right w:type="dxa" w:w="90"/>
            </w:tcMar>
            <w:vAlign w:val="center"/>
          </w:tcPr>
          <w:p>
            <w:pPr>
              <w:spacing w:after="20"/>
            </w:pPr>
            <w:r>
              <w:rPr>
                <w:rFonts w:ascii="Arial" w:cs="Arial" w:eastAsia="Arial" w:hAnsi="Arial"/>
                <w:b w:val="false"/>
                <w:bCs w:val="false"/>
                <w:color w:val="000000"/>
                <w:sz w:val="21"/>
                <w:szCs w:val="21"/>
              </w:rPr>
              <w:t xml:space="preserve">Gracias por su atención. Las referencias de este trabajo aparecen en pantalla.</w:t>
            </w:r>
          </w:p>
        </w:tc>
      </w:tr>
    </w:tbl>
    <w:p>
      <w:pPr>
        <w:pStyle w:val="Heading2"/>
        <w:spacing w:after="100" w:before="180"/>
      </w:pPr>
      <w:r>
        <w:rPr>
          <w:rFonts w:ascii="Arial" w:cs="Arial" w:eastAsia="Arial" w:hAnsi="Arial"/>
          <w:b/>
          <w:bCs/>
          <w:color w:val="2E5496"/>
          <w:sz w:val="23"/>
          <w:szCs w:val="23"/>
        </w:rPr>
        <w:t xml:space="preserve">Consejos para grabar</w:t>
      </w:r>
    </w:p>
    <w:p>
      <w:pPr>
        <w:pStyle w:val="ListParagraph"/>
        <w:numPr>
          <w:ilvl w:val="0"/>
          <w:numId w:val="2"/>
        </w:numPr>
        <w:spacing w:after="60" w:line="290"/>
        <w:jc w:val="both"/>
      </w:pPr>
      <w:r>
        <w:rPr>
          <w:rFonts w:ascii="Arial" w:cs="Arial" w:eastAsia="Arial" w:hAnsi="Arial"/>
          <w:b/>
          <w:bCs/>
          <w:sz w:val="22"/>
          <w:szCs w:val="22"/>
        </w:rPr>
        <w:t xml:space="preserve">Una diapositiva a la vez: </w:t>
      </w:r>
      <w:r>
        <w:rPr>
          <w:rFonts w:ascii="Arial" w:cs="Arial" w:eastAsia="Arial" w:hAnsi="Arial"/>
          <w:sz w:val="22"/>
          <w:szCs w:val="22"/>
        </w:rPr>
        <w:t xml:space="preserve">grabe cada texto por separado con el celular, en un lugar silencioso, a unos 20 cm del micrófono.</w:t>
      </w:r>
    </w:p>
    <w:p>
      <w:pPr>
        <w:pStyle w:val="ListParagraph"/>
        <w:numPr>
          <w:ilvl w:val="0"/>
          <w:numId w:val="2"/>
        </w:numPr>
        <w:spacing w:after="60" w:line="290"/>
        <w:jc w:val="both"/>
      </w:pPr>
      <w:r>
        <w:rPr>
          <w:rFonts w:ascii="Arial" w:cs="Arial" w:eastAsia="Arial" w:hAnsi="Arial"/>
          <w:b/>
          <w:bCs/>
          <w:sz w:val="22"/>
          <w:szCs w:val="22"/>
        </w:rPr>
        <w:t xml:space="preserve">En Clipchamp o Canva: </w:t>
      </w:r>
      <w:r>
        <w:rPr>
          <w:rFonts w:ascii="Arial" w:cs="Arial" w:eastAsia="Arial" w:hAnsi="Arial"/>
          <w:sz w:val="22"/>
          <w:szCs w:val="22"/>
        </w:rPr>
        <w:t xml:space="preserve">ubique cada grabación al inicio de su diapositiva y baje la música al 15 o 20 % para que la voz se escuche clara.</w:t>
      </w:r>
    </w:p>
    <w:p>
      <w:pPr>
        <w:pStyle w:val="ListParagraph"/>
        <w:numPr>
          <w:ilvl w:val="0"/>
          <w:numId w:val="2"/>
        </w:numPr>
        <w:spacing w:after="60" w:line="290"/>
        <w:jc w:val="both"/>
      </w:pPr>
      <w:r>
        <w:rPr>
          <w:rFonts w:ascii="Arial" w:cs="Arial" w:eastAsia="Arial" w:hAnsi="Arial"/>
          <w:b/>
          <w:bCs/>
          <w:sz w:val="22"/>
          <w:szCs w:val="22"/>
        </w:rPr>
        <w:t xml:space="preserve">Si un texto queda largo: </w:t>
      </w:r>
      <w:r>
        <w:rPr>
          <w:rFonts w:ascii="Arial" w:cs="Arial" w:eastAsia="Arial" w:hAnsi="Arial"/>
          <w:sz w:val="22"/>
          <w:szCs w:val="22"/>
        </w:rPr>
        <w:t xml:space="preserve">alargue un poco la diapositiva o quite una frase.</w:t>
      </w:r>
    </w:p>
    <w:p>
      <w:pPr>
        <w:pStyle w:val="ListParagraph"/>
        <w:numPr>
          <w:ilvl w:val="0"/>
          <w:numId w:val="2"/>
        </w:numPr>
        <w:spacing w:after="60" w:line="290"/>
        <w:jc w:val="both"/>
      </w:pPr>
      <w:r>
        <w:rPr>
          <w:rFonts w:ascii="Arial" w:cs="Arial" w:eastAsia="Arial" w:hAnsi="Arial"/>
          <w:b/>
          <w:bCs/>
          <w:sz w:val="22"/>
          <w:szCs w:val="22"/>
        </w:rPr>
        <w:t xml:space="preserve">Con naturalidad: </w:t>
      </w:r>
      <w:r>
        <w:rPr>
          <w:rFonts w:ascii="Arial" w:cs="Arial" w:eastAsia="Arial" w:hAnsi="Arial"/>
          <w:sz w:val="22"/>
          <w:szCs w:val="22"/>
        </w:rPr>
        <w:t xml:space="preserve">lea a su ritmo y cambie las palabras que no le suenen suyas. Lo importante es que la voz hable del mismo tema que se ve en pantalla y con los mismos datos.</w:t>
      </w:r>
    </w:p>
    <w:sectPr>
      <w:headerReference w:type="default" r:id="rId7"/>
      <w:head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2026-10-12T21:05:25.433Z</dcterms:created>
  <dcterms:modified xsi:type="dcterms:W3CDTF">2026-10-12T21:05:25.442Z</dcterms:modified>
</cp:coreProperties>
</file>

<file path=docProps/custom.xml><?xml version="1.0" encoding="utf-8"?>
<Properties xmlns="http://schemas.openxmlformats.org/officeDocument/2006/custom-properties" xmlns:vt="http://schemas.openxmlformats.org/officeDocument/2006/docPropsVTypes"/>
</file>