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jc w:val="center"/>
      </w:pPr>
      <w:r>
        <w:rPr>
          <w:rFonts w:ascii="Arial" w:cs="Arial" w:eastAsia="Arial" w:hAnsi="Arial"/>
          <w:b w:val="false"/>
          <w:bCs w:val="false"/>
          <w:sz w:val="24"/>
          <w:szCs w:val="24"/>
        </w:rPr>
        <w:t xml:space="preserve"/>
      </w:r>
    </w:p>
    <w:p>
      <w:pPr>
        <w:spacing w:after="240"/>
        <w:jc w:val="center"/>
      </w:pPr>
      <w:r>
        <w:rPr>
          <w:rFonts w:ascii="Arial" w:cs="Arial" w:eastAsia="Arial" w:hAnsi="Arial"/>
          <w:b/>
          <w:bCs/>
          <w:sz w:val="32"/>
          <w:szCs w:val="32"/>
        </w:rPr>
        <w:t xml:space="preserve">Prevenir es cuidar: una mirada hacia la prevención en individuos y poblaciones</w:t>
      </w:r>
    </w:p>
    <w:p>
      <w:pPr>
        <w:spacing w:after="900"/>
        <w:jc w:val="center"/>
      </w:pPr>
      <w:r>
        <w:rPr>
          <w:rFonts w:ascii="Arial" w:cs="Arial" w:eastAsia="Arial" w:hAnsi="Arial"/>
          <w:b w:val="false"/>
          <w:bCs w:val="false"/>
          <w:sz w:val="24"/>
          <w:szCs w:val="24"/>
        </w:rPr>
        <w:t xml:space="preserve">Propuestas de intervención en promoción y mantenimiento de la salud para tres contextos poblacionales</w:t>
      </w:r>
    </w:p>
    <w:p>
      <w:pPr>
        <w:spacing w:after="700"/>
        <w:jc w:val="center"/>
      </w:pPr>
      <w:r>
        <w:rPr>
          <w:rFonts w:ascii="Arial" w:cs="Arial" w:eastAsia="Arial" w:hAnsi="Arial"/>
          <w:b w:val="false"/>
          <w:bCs w:val="false"/>
          <w:sz w:val="22"/>
          <w:szCs w:val="22"/>
        </w:rPr>
        <w:t xml:space="preserve">Video</w:t>
      </w:r>
    </w:p>
    <w:p>
      <w:pPr>
        <w:spacing w:after="500"/>
        <w:jc w:val="center"/>
      </w:pPr>
      <w:r>
        <w:rPr>
          <w:rFonts w:ascii="Arial" w:cs="Arial" w:eastAsia="Arial" w:hAnsi="Arial"/>
          <w:b/>
          <w:bCs/>
          <w:sz w:val="24"/>
          <w:szCs w:val="24"/>
        </w:rPr>
        <w:t xml:space="preserve">Yina Vanessa Cadena Mantilla</w:t>
      </w:r>
    </w:p>
    <w:p>
      <w:pPr>
        <w:spacing w:after="120"/>
        <w:jc w:val="center"/>
      </w:pPr>
      <w:r>
        <w:rPr>
          <w:rFonts w:ascii="Arial" w:cs="Arial" w:eastAsia="Arial" w:hAnsi="Arial"/>
          <w:b w:val="false"/>
          <w:bCs w:val="false"/>
          <w:sz w:val="24"/>
          <w:szCs w:val="24"/>
        </w:rPr>
        <w:t xml:space="preserve">Especialización en Gerencia y Auditoría de la Calidad en Salud</w:t>
      </w:r>
    </w:p>
    <w:p>
      <w:pPr>
        <w:spacing w:after="120"/>
        <w:jc w:val="center"/>
      </w:pPr>
      <w:r>
        <w:rPr>
          <w:rFonts w:ascii="Arial" w:cs="Arial" w:eastAsia="Arial" w:hAnsi="Arial"/>
          <w:b w:val="false"/>
          <w:bCs w:val="false"/>
          <w:sz w:val="24"/>
          <w:szCs w:val="24"/>
        </w:rPr>
        <w:t xml:space="preserve">Curso: [Nombre del curso]</w:t>
      </w:r>
    </w:p>
    <w:p>
      <w:pPr>
        <w:spacing w:after="500"/>
        <w:jc w:val="center"/>
      </w:pPr>
      <w:r>
        <w:rPr>
          <w:rFonts w:ascii="Arial" w:cs="Arial" w:eastAsia="Arial" w:hAnsi="Arial"/>
          <w:b w:val="false"/>
          <w:bCs w:val="false"/>
          <w:sz w:val="24"/>
          <w:szCs w:val="24"/>
        </w:rPr>
        <w:t xml:space="preserve">Semana 8: Video. Una mirada hacia la prevención de los individuos</w:t>
      </w:r>
    </w:p>
    <w:p>
      <w:pPr>
        <w:spacing w:after="500"/>
        <w:jc w:val="center"/>
      </w:pPr>
      <w:r>
        <w:rPr>
          <w:rFonts w:ascii="Arial" w:cs="Arial" w:eastAsia="Arial" w:hAnsi="Arial"/>
          <w:b w:val="false"/>
          <w:bCs w:val="false"/>
          <w:sz w:val="24"/>
          <w:szCs w:val="24"/>
        </w:rPr>
        <w:t xml:space="preserve">Docente: [Nombre del docente]</w:t>
      </w:r>
    </w:p>
    <w:p>
      <w:pPr>
        <w:spacing w:after="120"/>
        <w:jc w:val="center"/>
      </w:pPr>
      <w:r>
        <w:rPr>
          <w:rFonts w:ascii="Arial" w:cs="Arial" w:eastAsia="Arial" w:hAnsi="Arial"/>
          <w:b w:val="false"/>
          <w:bCs w:val="false"/>
          <w:sz w:val="24"/>
          <w:szCs w:val="24"/>
        </w:rPr>
        <w:t xml:space="preserve">Corporación Universitaria Minuto de Dios – UNIMINUTO</w:t>
      </w:r>
    </w:p>
    <w:p>
      <w:pPr>
        <w:spacing w:after="500"/>
        <w:jc w:val="center"/>
      </w:pPr>
      <w:r>
        <w:rPr>
          <w:rFonts w:ascii="Arial" w:cs="Arial" w:eastAsia="Arial" w:hAnsi="Arial"/>
          <w:b w:val="false"/>
          <w:bCs w:val="false"/>
          <w:sz w:val="24"/>
          <w:szCs w:val="24"/>
        </w:rPr>
        <w:t xml:space="preserve">[Fecha de entrega]</w:t>
      </w:r>
    </w:p>
    <w:p>
      <w:pPr>
        <w:spacing w:after="120"/>
        <w:jc w:val="center"/>
      </w:pPr>
      <w:r>
        <w:rPr>
          <w:rFonts w:ascii="Arial" w:cs="Arial" w:eastAsia="Arial" w:hAnsi="Arial"/>
          <w:b/>
          <w:bCs/>
          <w:sz w:val="24"/>
          <w:szCs w:val="24"/>
        </w:rPr>
        <w:t xml:space="preserve">Enlace del video en YouTube: [pegar aquí el enlace]</w:t>
      </w:r>
    </w:p>
    <w:p>
      <w:r>
        <w:br w:type="page"/>
      </w:r>
    </w:p>
    <w:p>
      <w:pPr>
        <w:pStyle w:val="Heading1"/>
        <w:spacing w:after="120" w:before="240"/>
      </w:pPr>
      <w:r>
        <w:rPr>
          <w:rFonts w:ascii="Arial" w:cs="Arial" w:eastAsia="Arial" w:hAnsi="Arial"/>
          <w:b/>
          <w:bCs/>
          <w:color w:val="1F3864"/>
          <w:sz w:val="26"/>
          <w:szCs w:val="26"/>
        </w:rPr>
        <w:t xml:space="preserve">Introducción</w:t>
      </w:r>
    </w:p>
    <w:p>
      <w:pPr>
        <w:spacing w:after="80" w:line="259"/>
        <w:ind w:firstLine="567"/>
        <w:jc w:val="both"/>
      </w:pPr>
      <w:r>
        <w:rPr>
          <w:rFonts w:ascii="Arial" w:cs="Arial" w:eastAsia="Arial" w:hAnsi="Arial"/>
          <w:sz w:val="22"/>
          <w:szCs w:val="22"/>
        </w:rPr>
        <w:t xml:space="preserve">La promoción de la salud y la prevención de la enfermedad son el camino más efectivo para mejorar la calidad de vida de las personas y reducir la carga de enfermedad de las comunidades. En Colombia, este enfoque se materializa en la Ruta Integral de Atención para la Promoción y Mantenimiento de la Salud (Resolución 3280 de 2018), en el Plan Decenal de Salud Pública 2022-2031 y en el Plan de Salud Pública de Intervenciones Colectivas, hoy regulado por la Resolución 1597 de 2025.</w:t>
      </w:r>
    </w:p>
    <w:p>
      <w:pPr>
        <w:spacing w:after="80" w:line="259"/>
        <w:ind w:firstLine="567"/>
        <w:jc w:val="both"/>
      </w:pPr>
      <w:r>
        <w:rPr>
          <w:rFonts w:ascii="Arial" w:cs="Arial" w:eastAsia="Arial" w:hAnsi="Arial"/>
          <w:sz w:val="22"/>
          <w:szCs w:val="22"/>
        </w:rPr>
        <w:t xml:space="preserve">Este trabajo analiza tres contextos poblacionales propuestos en el estudio de caso: una comunidad rural agrícola, un grupo de estudiantes universitarios en entorno urbano y un grupo de adultos mayores en un barrio periférico. Para cada uno se identifican la población, sus necesidades y los riesgos prevalentes, y se diseña una actividad de intervención con su diagnóstico, nivel de prevención, clasificación según el riesgo, objetivos, acciones, recursos y base normativa vigente, articulada con la gestión pública en salud. Finalmente, se presenta el guion del video que comunica estas propuestas. Como señalan Hernández-Sarmiento et al. (2020), la educación en salud es una de las estrategias más importantes de promoción y prevención, por lo que es el eje transversal de las tres intervenciones.</w:t>
      </w:r>
    </w:p>
    <w:p>
      <w:pPr>
        <w:pStyle w:val="Heading1"/>
        <w:spacing w:after="120" w:before="240"/>
      </w:pPr>
      <w:r>
        <w:rPr>
          <w:rFonts w:ascii="Arial" w:cs="Arial" w:eastAsia="Arial" w:hAnsi="Arial"/>
          <w:b/>
          <w:bCs/>
          <w:color w:val="1F3864"/>
          <w:sz w:val="26"/>
          <w:szCs w:val="26"/>
        </w:rPr>
        <w:t xml:space="preserve">1. Población a la que va dirigido el video</w:t>
      </w:r>
    </w:p>
    <w:p>
      <w:pPr>
        <w:spacing w:after="80" w:line="259"/>
        <w:ind w:firstLine="567"/>
        <w:jc w:val="both"/>
      </w:pPr>
      <w:r>
        <w:rPr>
          <w:rFonts w:ascii="Arial" w:cs="Arial" w:eastAsia="Arial" w:hAnsi="Arial"/>
          <w:sz w:val="22"/>
          <w:szCs w:val="22"/>
        </w:rPr>
        <w:t xml:space="preserve">El video está dirigido a la comunidad en general y a los líderes comunitarios (juntas de acción comunal, líderes veredales, representantes estudiantiles y grupos de adultos mayores), con un lenguaje sencillo y cercano. De forma complementaria, está dirigido a los equipos de salud de las ESE e IPS, a las áreas de bienestar universitario y a las secretarías de salud municipales, que son los actores responsables de implementar y financiar las intervenciones propuestas.</w:t>
      </w:r>
    </w:p>
    <w:p>
      <w:pPr>
        <w:pStyle w:val="Heading1"/>
        <w:spacing w:after="120" w:before="240"/>
      </w:pPr>
      <w:r>
        <w:rPr>
          <w:rFonts w:ascii="Arial" w:cs="Arial" w:eastAsia="Arial" w:hAnsi="Arial"/>
          <w:b/>
          <w:bCs/>
          <w:color w:val="1F3864"/>
          <w:sz w:val="26"/>
          <w:szCs w:val="26"/>
        </w:rPr>
        <w:t xml:space="preserve">2. Análisis de los casos</w:t>
      </w:r>
    </w:p>
    <w:p>
      <w:pPr>
        <w:spacing w:after="80" w:line="259"/>
        <w:ind w:firstLine="567"/>
        <w:jc w:val="both"/>
      </w:pPr>
      <w:r>
        <w:rPr>
          <w:rFonts w:ascii="Arial" w:cs="Arial" w:eastAsia="Arial" w:hAnsi="Arial"/>
          <w:sz w:val="22"/>
          <w:szCs w:val="22"/>
        </w:rPr>
        <w:t xml:space="preserve">La Tabla 1 resume la identificación de la población, la detección de necesidades y los riesgos prevalentes de cada caso.</w:t>
      </w:r>
    </w:p>
    <w:p>
      <w:pPr>
        <w:keepNext/>
        <w:spacing w:after="60" w:before="12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Análisis comparativo de los tres contextos poblacionales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0"/>
        <w:gridCol w:w="2550"/>
        <w:gridCol w:w="2560"/>
      </w:tblGrid>
      <w:tr>
        <w:trPr>
          <w:tblHeader/>
        </w:trPr>
        <w:tc>
          <w:tcPr>
            <w:tcW w:type="dxa" w:w="17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Aspecto</w:t>
            </w:r>
          </w:p>
        </w:tc>
        <w:tc>
          <w:tcPr>
            <w:tcW w:type="dxa" w:w="25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Caso 1. Comunidad rural agrícola</w:t>
            </w:r>
          </w:p>
        </w:tc>
        <w:tc>
          <w:tcPr>
            <w:tcW w:type="dxa" w:w="25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Caso 2. Estudiantes universitarios</w:t>
            </w:r>
          </w:p>
        </w:tc>
        <w:tc>
          <w:tcPr>
            <w:tcW w:type="dxa" w:w="25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Caso 3. Adultos mayores</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Población</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Familias campesinas multigeneracionales; adultos de 30 a 50 años y niños en edad escolar que acompañan las labores del campo.</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Jóvenes de 18 a 25 años, provenientes de distintas regiones, que viven en residencias, viviendas compartidas o apartamentos.</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Personas mayores jubiladas o con trabajos informales, con bajos ingresos y dependencia económica; muchas viven solas.</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Carencias en salud</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Escasa cultura de consulta preventiva; subregistro de eventos en los sistemas de salud.</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Ausencia de hábitos de autocuidado; poca conciencia sobre el descanso y la salud mental.</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Baja adherencia a tratamientos e inasistencia a controles.</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Nutrición</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Manipulación de alimentos sin condiciones de higiene.</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Comida rápida y domicilios; deficiencias nutricionales y sobrepeso; exceso de café y bebidas energéticas.</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Bajo consumo de proteínas, frutas y verduras; pérdida de masa muscular.</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Higiene y entorno</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Agua de acueducto comunitario sin tratamiento; letrinas y pozos sépticos improvisados; recolección deficiente de residuos.</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Espacios urbanos limitados; largas horas frente a pantallas.</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Viviendas con pisos resbalosos, escaleras sin barandas y poca iluminación.</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Prevención</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Sin elementos de protección personal frente a agroquímicos; sin información sobre cuidado articular.</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Poca actividad física; horarios irregulares de sueño y alimentación.</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Encuentros comunitarios esporádicos con baja asistencia.</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Enfermedades o riesgos prevalentes</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Intoxicaciones leves, enfermedades de la piel y respiratorias por agroquímicos; infecciones gastrointestinales en niños; lesiones osteomusculares; sedentarismo en mujeres y niños.</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Sobrepeso, sedentarismo, problemas posturales y dolores musculares; ansiedad, insomnio y estrés; riesgo cardiovascular.</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Hipertensión arterial, diabetes tipo 2 y enfermedad cardiovascular; caídas; aislamiento social y soledad.</w:t>
            </w:r>
          </w:p>
        </w:tc>
      </w:tr>
      <w:tr>
        <w:trPr>
          <w:tblHeader w:val="false"/>
        </w:trPr>
        <w:tc>
          <w:tcPr>
            <w:tcW w:type="dxa" w:w="17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Clasificación del riesgo</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ambiental y ocupacional (químico, biológico y ergonómico). De tipo colectivo. Prioridad alta.</w:t>
            </w:r>
          </w:p>
        </w:tc>
        <w:tc>
          <w:tcPr>
            <w:tcW w:type="dxa" w:w="25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por estilos de vida y psicosocial. De tipo individual con expresión colectiva. Prioridad media-alta.</w:t>
            </w:r>
          </w:p>
        </w:tc>
        <w:tc>
          <w:tcPr>
            <w:tcW w:type="dxa" w:w="25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cardiovascular y metabólico, de caídas y psicosocial. Individual y comunitario. Prioridad alta.</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Elaboración propia con base en el Anexo de estudio de caso del curso.</w:t>
      </w:r>
    </w:p>
    <w:p>
      <w:pPr>
        <w:pStyle w:val="Heading1"/>
        <w:spacing w:after="120" w:before="240"/>
      </w:pPr>
      <w:r>
        <w:rPr>
          <w:rFonts w:ascii="Arial" w:cs="Arial" w:eastAsia="Arial" w:hAnsi="Arial"/>
          <w:b/>
          <w:bCs/>
          <w:color w:val="1F3864"/>
          <w:sz w:val="26"/>
          <w:szCs w:val="26"/>
        </w:rPr>
        <w:t xml:space="preserve">3. Marco normativo vigente</w:t>
      </w:r>
    </w:p>
    <w:p>
      <w:pPr>
        <w:spacing w:after="80" w:line="259"/>
        <w:ind w:firstLine="567"/>
        <w:jc w:val="both"/>
      </w:pPr>
      <w:r>
        <w:rPr>
          <w:rFonts w:ascii="Arial" w:cs="Arial" w:eastAsia="Arial" w:hAnsi="Arial"/>
          <w:sz w:val="22"/>
          <w:szCs w:val="22"/>
        </w:rPr>
        <w:t xml:space="preserve">Se revisó la vigencia de cada norma. Es importante señalar dos cambios recientes: la Resolución 518 de 2015 sobre el Plan de Intervenciones Colectivas fue derogada por la Resolución 1597 de 2025, y la Resolución 4886 de 2018, que adoptaba la Política Nacional de Salud Mental, fue derogada por el Decreto 729 de 2025.</w:t>
      </w:r>
    </w:p>
    <w:p>
      <w:pPr>
        <w:keepNext/>
        <w:spacing w:after="60" w:before="12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Normatividad vigente aplicable a las intervenciones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Norma</w:t>
            </w:r>
          </w:p>
        </w:tc>
        <w:tc>
          <w:tcPr>
            <w:tcW w:type="dxa" w:w="46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Objeto</w:t>
            </w:r>
          </w:p>
        </w:tc>
        <w:tc>
          <w:tcPr>
            <w:tcW w:type="dxa" w:w="18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Aplica a</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Estatutaria 1751 de 2015</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Regula el derecho fundamental a la salud e incluye la promoción y la prevención como parte de ese derecho.</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Casos 1, 2 y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Resolución 3280 de 2018 (modificada por la Resolución 276 de 2019)</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Adopta la Ruta Integral de Atención para la Promoción y Mantenimiento de la Salud, con intervenciones por curso de vida (infancia, juventud, adultez y vejez), incluida la educación para la salud.</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Casos 1, 2 y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Resolución 1035 de 2022</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Adopta el Plan Decenal de Salud Pública 2022-2031.</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Casos 1, 2 y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Resolución 100 de 2024</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Dicta disposiciones sobre la Planeación Integral para la Salud de las entidades territoriales.</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Casos 1, 2 y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Resolución 1597 de 2025</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Establece la gestión territorial integral de la salud pública y el Plan de Salud Pública de Intervenciones Colectivas (PIC), con acciones gratuitas en los entornos donde vive la población.</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Casos 1, 2 y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9 de 1979</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Código Sanitario Nacional: medidas sanitarias sobre agua, residuos, plaguicidas y salud ocupacional.</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1</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Decreto 1575 de 2007 y Resolución 2115 de 2007</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Sistema para la protección y control de la calidad del agua para consumo humano y sus características.</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1</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1355 de 2009</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Define la obesidad como prioridad de salud pública y promueve la alimentación saludable y la actividad física.</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2</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2120 de 2021</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Fomenta entornos alimentarios saludables y establece el etiquetado frontal de advertencia.</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2</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1616 de 2013</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Ley de salud mental: garantiza la promoción de la salud mental y la prevención de trastornos.</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2</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Decreto 729 de 2025</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Adopta la Política Nacional de Salud Mental 2025-2034.</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2</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30 de 1992 (art. 117)</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Obliga a las instituciones de educación superior a desarrollar programas de bienestar universitario.</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2</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1251 de 2008</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Protección, promoción y defensa de los derechos de los adultos mayores.</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1276 de 2009</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Crea los Centros Vida y la estampilla para el bienestar del adulto mayor.</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Decreto 681 de 2022</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Adopta la Política Pública Nacional de Envejecimiento y Vejez 2022-2031.</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3</w:t>
            </w:r>
          </w:p>
        </w:tc>
      </w:tr>
      <w:tr>
        <w:trPr>
          <w:tblHeader w:val="false"/>
        </w:trPr>
        <w:tc>
          <w:tcPr>
            <w:tcW w:type="dxa" w:w="29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Ley 2055 de 2020</w:t>
            </w:r>
          </w:p>
        </w:tc>
        <w:tc>
          <w:tcPr>
            <w:tcW w:type="dxa" w:w="46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Aprueba la Convención Interamericana sobre la Protección de los Derechos Humanos de las Personas Mayores.</w:t>
            </w:r>
          </w:p>
        </w:tc>
        <w:tc>
          <w:tcPr>
            <w:tcW w:type="dxa" w:w="18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Caso 3</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Vigencia verificada en fuentes oficiales y compilaciones normativas (Ministerio de Salud y Protección Social, SUIN-Juriscol, Función Pública).</w:t>
      </w:r>
    </w:p>
    <w:p>
      <w:pPr>
        <w:pStyle w:val="Heading1"/>
        <w:spacing w:after="120" w:before="240"/>
      </w:pPr>
      <w:r>
        <w:rPr>
          <w:rFonts w:ascii="Arial" w:cs="Arial" w:eastAsia="Arial" w:hAnsi="Arial"/>
          <w:b/>
          <w:bCs/>
          <w:color w:val="1F3864"/>
          <w:sz w:val="26"/>
          <w:szCs w:val="26"/>
        </w:rPr>
        <w:t xml:space="preserve">4. Propuestas de intervención</w:t>
      </w:r>
    </w:p>
    <w:p>
      <w:pPr>
        <w:spacing w:after="80" w:line="259"/>
        <w:ind w:firstLine="567"/>
        <w:jc w:val="both"/>
      </w:pPr>
      <w:r>
        <w:rPr>
          <w:rFonts w:ascii="Arial" w:cs="Arial" w:eastAsia="Arial" w:hAnsi="Arial"/>
          <w:sz w:val="22"/>
          <w:szCs w:val="22"/>
        </w:rPr>
        <w:t xml:space="preserve">Se diseñó una actividad por caso, realista y adecuada a la población y a su contexto, con la educación para la salud como eje transversal (Hernández-Sarmiento et al., 2020). Los niveles de prevención se clasifican así: primaria (evitar que la enfermedad aparezca), secundaria (detectarla a tiempo) y terciaria (evitar complicaciones en quien ya la tiene).</w:t>
      </w:r>
    </w:p>
    <w:p>
      <w:r>
        <w:br w:type="page"/>
      </w:r>
    </w:p>
    <w:p>
      <w:pPr>
        <w:pStyle w:val="Heading2"/>
        <w:spacing w:after="100" w:before="180"/>
      </w:pPr>
      <w:r>
        <w:rPr>
          <w:rFonts w:ascii="Arial" w:cs="Arial" w:eastAsia="Arial" w:hAnsi="Arial"/>
          <w:b/>
          <w:bCs/>
          <w:color w:val="2E5496"/>
          <w:sz w:val="23"/>
          <w:szCs w:val="23"/>
        </w:rPr>
        <w:t xml:space="preserve">4.1 Caso 1. Jornada comunitaria “Finca sana, familia sana”</w:t>
      </w:r>
    </w:p>
    <w:p>
      <w:pPr>
        <w:keepNext/>
        <w:spacing w:after="60" w:before="120"/>
      </w:pPr>
      <w:r>
        <w:rPr>
          <w:rFonts w:ascii="Arial" w:cs="Arial" w:eastAsia="Arial" w:hAnsi="Arial"/>
          <w:b/>
          <w:bCs/>
          <w:sz w:val="20"/>
          <w:szCs w:val="20"/>
        </w:rPr>
        <w:t xml:space="preserve">Tabla 3</w:t>
      </w:r>
    </w:p>
    <w:p>
      <w:pPr>
        <w:keepNext/>
        <w:spacing w:after="80"/>
      </w:pPr>
      <w:r>
        <w:rPr>
          <w:rFonts w:ascii="Arial" w:cs="Arial" w:eastAsia="Arial" w:hAnsi="Arial"/>
          <w:i/>
          <w:iCs/>
          <w:sz w:val="20"/>
          <w:szCs w:val="20"/>
        </w:rPr>
        <w:t xml:space="preserve">Ficha de intervención del caso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Componente</w:t>
            </w:r>
          </w:p>
        </w:tc>
        <w:tc>
          <w:tcPr>
            <w:tcW w:type="dxa" w:w="70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Desarrollo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Diagnóstico del contexto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Vereda agrícola con familias campesinas multigeneracionales. El agua del acueducto comunitario no siempre se trata, el saneamiento depende de letrinas y la recolección de residuos es deficiente. Los adultos se exponen a agroquímicos sin protección y presentan problemas de piel, respiratorios e intoxicaciones leves que pocas veces se registran; los niños tienen infecciones gastrointestinales recurrentes, y las mujeres y los niños son sedentarios.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Población objetivo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Familias de la vereda: agricultores adultos de 30 a 50 años, mujeres y niños en edad escolar.</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Nivel de prevención</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Primaria (educación y protección específica), con un componente secundario: identificación y canalización a la ESE de casos sospechosos de intoxicación o enfermedad diarreica.</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Clasificación según el riesgo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ambiental (agua y saneamiento) y ocupacional (químico y ergonómico), de tipo colectivo y prioridad alta.</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Objetivo general</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Reducir la exposición de las familias de la vereda al agua no segura y a los agroquímicos, y fortalecer la cultura de autocuidado sin interrumpir sus dinámicas productivas.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Objetivos específicos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 Enseñar métodos caseros para tratar y almacenar el agua y el lavado de manos.</w:t>
            </w:r>
          </w:p>
          <w:p>
            <w:pPr>
              <w:spacing w:after="20"/>
            </w:pPr>
            <w:r>
              <w:rPr>
                <w:rFonts w:ascii="Arial" w:cs="Arial" w:eastAsia="Arial" w:hAnsi="Arial"/>
                <w:b w:val="false"/>
                <w:bCs w:val="false"/>
                <w:color w:val="000000"/>
                <w:sz w:val="18"/>
                <w:szCs w:val="18"/>
              </w:rPr>
              <w:t xml:space="preserve">2. Promover el uso de elementos de protección personal y el manejo seguro de envases de agroquímicos.</w:t>
            </w:r>
          </w:p>
          <w:p>
            <w:pPr>
              <w:spacing w:after="20"/>
            </w:pPr>
            <w:r>
              <w:rPr>
                <w:rFonts w:ascii="Arial" w:cs="Arial" w:eastAsia="Arial" w:hAnsi="Arial"/>
                <w:b w:val="false"/>
                <w:bCs w:val="false"/>
                <w:color w:val="000000"/>
                <w:sz w:val="18"/>
                <w:szCs w:val="18"/>
              </w:rPr>
              <w:t xml:space="preserve">3. Incorporar pausas activas para cuidar las articulaciones y la actividad física familiar.</w:t>
            </w:r>
          </w:p>
          <w:p>
            <w:pPr>
              <w:spacing w:after="20"/>
            </w:pPr>
            <w:r>
              <w:rPr>
                <w:rFonts w:ascii="Arial" w:cs="Arial" w:eastAsia="Arial" w:hAnsi="Arial"/>
                <w:b w:val="false"/>
                <w:bCs w:val="false"/>
                <w:color w:val="000000"/>
                <w:sz w:val="18"/>
                <w:szCs w:val="18"/>
              </w:rPr>
              <w:t xml:space="preserve">4. Vincular a las familias a la Ruta de Promoción y Mantenimiento de la Salud.</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Acciones concretas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Jornada en la escuela o la caseta comunal, en horario que no interrumpa las labores, con tres estaciones prácticas:</w:t>
            </w:r>
          </w:p>
          <w:p>
            <w:pPr>
              <w:spacing w:after="20"/>
            </w:pPr>
            <w:r>
              <w:rPr>
                <w:rFonts w:ascii="Arial" w:cs="Arial" w:eastAsia="Arial" w:hAnsi="Arial"/>
                <w:b w:val="false"/>
                <w:bCs w:val="false"/>
                <w:color w:val="000000"/>
                <w:sz w:val="18"/>
                <w:szCs w:val="18"/>
              </w:rPr>
              <w:t xml:space="preserve">• Agua segura: demostración de hervido, desinfección con cloro según la indicación del técnico de saneamiento y almacenamiento tapado; lavado de manos.</w:t>
            </w:r>
          </w:p>
          <w:p>
            <w:pPr>
              <w:spacing w:after="20"/>
            </w:pPr>
            <w:r>
              <w:rPr>
                <w:rFonts w:ascii="Arial" w:cs="Arial" w:eastAsia="Arial" w:hAnsi="Arial"/>
                <w:b w:val="false"/>
                <w:bCs w:val="false"/>
                <w:color w:val="000000"/>
                <w:sz w:val="18"/>
                <w:szCs w:val="18"/>
              </w:rPr>
              <w:t xml:space="preserve">• Agroquímicos sin riesgo: demostración del uso de guantes, tapabocas, gafas y ropa de protección; triple lavado y disposición de envases; almacenamiento lejos de alimentos y niños; qué hacer ante una intoxicación.</w:t>
            </w:r>
          </w:p>
          <w:p>
            <w:pPr>
              <w:spacing w:after="20"/>
            </w:pPr>
            <w:r>
              <w:rPr>
                <w:rFonts w:ascii="Arial" w:cs="Arial" w:eastAsia="Arial" w:hAnsi="Arial"/>
                <w:b w:val="false"/>
                <w:bCs w:val="false"/>
                <w:color w:val="000000"/>
                <w:sz w:val="18"/>
                <w:szCs w:val="18"/>
              </w:rPr>
              <w:t xml:space="preserve">• Cuerpo sano: pausas activas, posturas para cargar peso y juego recreativo entre madres e hijos.</w:t>
            </w:r>
          </w:p>
          <w:p>
            <w:pPr>
              <w:spacing w:after="20"/>
            </w:pPr>
            <w:r>
              <w:rPr>
                <w:rFonts w:ascii="Arial" w:cs="Arial" w:eastAsia="Arial" w:hAnsi="Arial"/>
                <w:b w:val="false"/>
                <w:bCs w:val="false"/>
                <w:color w:val="000000"/>
                <w:sz w:val="18"/>
                <w:szCs w:val="18"/>
              </w:rPr>
              <w:t xml:space="preserve">Cierre: entrega de cartilla ilustrada, agenda de valoración en la ESE y visita de seguimiento a los tres meses.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Recursos necesarios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Humanos: técnico de saneamiento, profesional o auxiliar de enfermería, promotor de salud, profesional de actividad física y líder de la junta de acción comunal.</w:t>
            </w:r>
          </w:p>
          <w:p>
            <w:pPr>
              <w:spacing w:after="20"/>
            </w:pPr>
            <w:r>
              <w:rPr>
                <w:rFonts w:ascii="Arial" w:cs="Arial" w:eastAsia="Arial" w:hAnsi="Arial"/>
                <w:b w:val="false"/>
                <w:bCs w:val="false"/>
                <w:color w:val="000000"/>
                <w:sz w:val="18"/>
                <w:szCs w:val="18"/>
              </w:rPr>
              <w:t xml:space="preserve">Materiales: kits de cloro, jabón, elementos de protección para demostración, cartillas ilustradas, rotafolio y refrigerio.</w:t>
            </w:r>
          </w:p>
          <w:p>
            <w:pPr>
              <w:spacing w:after="20"/>
            </w:pPr>
            <w:r>
              <w:rPr>
                <w:rFonts w:ascii="Arial" w:cs="Arial" w:eastAsia="Arial" w:hAnsi="Arial"/>
                <w:b w:val="false"/>
                <w:bCs w:val="false"/>
                <w:color w:val="000000"/>
                <w:sz w:val="18"/>
                <w:szCs w:val="18"/>
              </w:rPr>
              <w:t xml:space="preserve">Físicos: escuela o caseta comunal.</w:t>
            </w:r>
          </w:p>
          <w:p>
            <w:pPr>
              <w:spacing w:after="20"/>
            </w:pPr>
            <w:r>
              <w:rPr>
                <w:rFonts w:ascii="Arial" w:cs="Arial" w:eastAsia="Arial" w:hAnsi="Arial"/>
                <w:b w:val="false"/>
                <w:bCs w:val="false"/>
                <w:color w:val="000000"/>
                <w:sz w:val="18"/>
                <w:szCs w:val="18"/>
              </w:rPr>
              <w:t xml:space="preserve">Financieros: recursos del PIC municipal ejecutados por la ESE.</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Articulación con la gestión pública</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Secretaría de Salud municipal (formula el PIC), ESE del municipio (ejecuta), secretaría de agricultura o UMATA, acueducto comunitario y escuela de la vereda.</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Indicadores de seguimiento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Porcentaje de familias capacitadas; porcentaje de hogares que tratan el agua (verificado en la visita); casos de enfermedad diarreica en niños; porcentaje de agricultores que usan elementos de protección.</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Base normativa</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Resolución 1597 de 2025; Resolución 1035 de 2022; Ley 9 de 1979; Decreto 1575 de 2007 y Resolución 2115 de 2007.</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Viabilidad</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Bajo costo, se realiza en la misma vereda, con lenguaje sencillo y material ilustrado, y respeta los horarios de trabajo del campo.</w:t>
            </w:r>
          </w:p>
        </w:tc>
      </w:tr>
    </w:tbl>
    <w:p>
      <w:r>
        <w:br w:type="page"/>
      </w:r>
    </w:p>
    <w:p>
      <w:pPr>
        <w:pStyle w:val="Heading2"/>
        <w:spacing w:after="100" w:before="180"/>
      </w:pPr>
      <w:r>
        <w:rPr>
          <w:rFonts w:ascii="Arial" w:cs="Arial" w:eastAsia="Arial" w:hAnsi="Arial"/>
          <w:b/>
          <w:bCs/>
          <w:color w:val="2E5496"/>
          <w:sz w:val="23"/>
          <w:szCs w:val="23"/>
        </w:rPr>
        <w:t xml:space="preserve">4.2 Caso 2. Campaña “Recarga tu bienestar”</w:t>
      </w:r>
    </w:p>
    <w:p>
      <w:pPr>
        <w:keepNext/>
        <w:spacing w:after="60" w:before="120"/>
      </w:pPr>
      <w:r>
        <w:rPr>
          <w:rFonts w:ascii="Arial" w:cs="Arial" w:eastAsia="Arial" w:hAnsi="Arial"/>
          <w:b/>
          <w:bCs/>
          <w:sz w:val="20"/>
          <w:szCs w:val="20"/>
        </w:rPr>
        <w:t xml:space="preserve">Tabla 4</w:t>
      </w:r>
    </w:p>
    <w:p>
      <w:pPr>
        <w:keepNext/>
        <w:spacing w:after="80"/>
      </w:pPr>
      <w:r>
        <w:rPr>
          <w:rFonts w:ascii="Arial" w:cs="Arial" w:eastAsia="Arial" w:hAnsi="Arial"/>
          <w:i/>
          <w:iCs/>
          <w:sz w:val="20"/>
          <w:szCs w:val="20"/>
        </w:rPr>
        <w:t xml:space="preserve">Ficha de intervención del caso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Componente</w:t>
            </w:r>
          </w:p>
        </w:tc>
        <w:tc>
          <w:tcPr>
            <w:tcW w:type="dxa" w:w="70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Desarrollo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Diagnóstico del contexto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Universidad en una ciudad intermedia con estudiantes de 18 a 25 años que viven solos o en viviendas compartidas. Tienen horarios irregulares, se alimentan con comida rápida y domicilios, consumen en exceso café y bebidas energéticas, son sedentarios, pasan muchas horas frente a pantallas y presentan problemas posturales, estrés, ansiedad e insomnio.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Población objetivo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Estudiantes de pregrado de 18 a 25 años.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Nivel de prevención</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Primaria (educación y entornos saludables) y secundaria (tamizaje de riesgo cardiovascular y de salud mental, con canalización).</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Clasificación según el riesgo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por estilos de vida y psicosocial, de tipo individual con expresión colectiva y prioridad media-alta.</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Objetivo general</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Promover en los estudiantes hábitos de autocuidado en alimentación, actividad física, descanso y salud mental, adaptados a su ritmo de vida.</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Objetivos específicos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 Identificar de forma temprana riesgos cardiovasculares y de salud mental.</w:t>
            </w:r>
          </w:p>
          <w:p>
            <w:pPr>
              <w:spacing w:after="20"/>
            </w:pPr>
            <w:r>
              <w:rPr>
                <w:rFonts w:ascii="Arial" w:cs="Arial" w:eastAsia="Arial" w:hAnsi="Arial"/>
                <w:b w:val="false"/>
                <w:bCs w:val="false"/>
                <w:color w:val="000000"/>
                <w:sz w:val="18"/>
                <w:szCs w:val="18"/>
              </w:rPr>
              <w:t xml:space="preserve">2. Enseñar alternativas de alimentación saludable, rápida y económica.</w:t>
            </w:r>
          </w:p>
          <w:p>
            <w:pPr>
              <w:spacing w:after="20"/>
            </w:pPr>
            <w:r>
              <w:rPr>
                <w:rFonts w:ascii="Arial" w:cs="Arial" w:eastAsia="Arial" w:hAnsi="Arial"/>
                <w:b w:val="false"/>
                <w:bCs w:val="false"/>
                <w:color w:val="000000"/>
                <w:sz w:val="18"/>
                <w:szCs w:val="18"/>
              </w:rPr>
              <w:t xml:space="preserve">3. Fomentar las pausas activas y la ergonomía al estudiar.</w:t>
            </w:r>
          </w:p>
          <w:p>
            <w:pPr>
              <w:spacing w:after="20"/>
            </w:pPr>
            <w:r>
              <w:rPr>
                <w:rFonts w:ascii="Arial" w:cs="Arial" w:eastAsia="Arial" w:hAnsi="Arial"/>
                <w:b w:val="false"/>
                <w:bCs w:val="false"/>
                <w:color w:val="000000"/>
                <w:sz w:val="18"/>
                <w:szCs w:val="18"/>
              </w:rPr>
              <w:t xml:space="preserve">4. Promover la higiene del sueño y el manejo del estrés.</w:t>
            </w:r>
          </w:p>
          <w:p>
            <w:pPr>
              <w:spacing w:after="20"/>
            </w:pPr>
            <w:r>
              <w:rPr>
                <w:rFonts w:ascii="Arial" w:cs="Arial" w:eastAsia="Arial" w:hAnsi="Arial"/>
                <w:b w:val="false"/>
                <w:bCs w:val="false"/>
                <w:color w:val="000000"/>
                <w:sz w:val="18"/>
                <w:szCs w:val="18"/>
              </w:rPr>
              <w:t xml:space="preserve">5. Activar la ruta de atención para quienes lo necesiten.</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Acciones concretas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Feria de bienestar al inicio de cada semestre y antes de los parciales, con cuatro estaciones:</w:t>
            </w:r>
          </w:p>
          <w:p>
            <w:pPr>
              <w:spacing w:after="20"/>
            </w:pPr>
            <w:r>
              <w:rPr>
                <w:rFonts w:ascii="Arial" w:cs="Arial" w:eastAsia="Arial" w:hAnsi="Arial"/>
                <w:b w:val="false"/>
                <w:bCs w:val="false"/>
                <w:color w:val="000000"/>
                <w:sz w:val="18"/>
                <w:szCs w:val="18"/>
              </w:rPr>
              <w:t xml:space="preserve">• Tamizaje: peso, talla, índice de masa corporal, perímetro abdominal, presión arterial y escalas breves de ansiedad y depresión aplicadas por psicología.</w:t>
            </w:r>
          </w:p>
          <w:p>
            <w:pPr>
              <w:spacing w:after="20"/>
            </w:pPr>
            <w:r>
              <w:rPr>
                <w:rFonts w:ascii="Arial" w:cs="Arial" w:eastAsia="Arial" w:hAnsi="Arial"/>
                <w:b w:val="false"/>
                <w:bCs w:val="false"/>
                <w:color w:val="000000"/>
                <w:sz w:val="18"/>
                <w:szCs w:val="18"/>
              </w:rPr>
              <w:t xml:space="preserve">• Comida rápida pero saludable: recetas de 15 minutos, lectura del etiquetado frontal y alternativas a las bebidas energéticas.</w:t>
            </w:r>
          </w:p>
          <w:p>
            <w:pPr>
              <w:spacing w:after="20"/>
            </w:pPr>
            <w:r>
              <w:rPr>
                <w:rFonts w:ascii="Arial" w:cs="Arial" w:eastAsia="Arial" w:hAnsi="Arial"/>
                <w:b w:val="false"/>
                <w:bCs w:val="false"/>
                <w:color w:val="000000"/>
                <w:sz w:val="18"/>
                <w:szCs w:val="18"/>
              </w:rPr>
              <w:t xml:space="preserve">• Muévete: pausas activas y ergonomía del puesto de estudio.</w:t>
            </w:r>
          </w:p>
          <w:p>
            <w:pPr>
              <w:spacing w:after="20"/>
            </w:pPr>
            <w:r>
              <w:rPr>
                <w:rFonts w:ascii="Arial" w:cs="Arial" w:eastAsia="Arial" w:hAnsi="Arial"/>
                <w:b w:val="false"/>
                <w:bCs w:val="false"/>
                <w:color w:val="000000"/>
                <w:sz w:val="18"/>
                <w:szCs w:val="18"/>
              </w:rPr>
              <w:t xml:space="preserve">• Desconéctate: higiene del sueño, técnicas de respiración y organización del tiempo.</w:t>
            </w:r>
          </w:p>
          <w:p>
            <w:pPr>
              <w:spacing w:after="20"/>
            </w:pPr>
            <w:r>
              <w:rPr>
                <w:rFonts w:ascii="Arial" w:cs="Arial" w:eastAsia="Arial" w:hAnsi="Arial"/>
                <w:b w:val="false"/>
                <w:bCs w:val="false"/>
                <w:color w:val="000000"/>
                <w:sz w:val="18"/>
                <w:szCs w:val="18"/>
              </w:rPr>
              <w:t xml:space="preserve">Complemento: campaña digital de cuatro semanas en redes sociales, con retos y recordatorios, y canalización a Bienestar Universitario o a la EPS.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Recursos necesarios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Humanos: profesionales de enfermería, nutrición, psicología y deporte, y estudiantes voluntarios.</w:t>
            </w:r>
          </w:p>
          <w:p>
            <w:pPr>
              <w:spacing w:after="20"/>
            </w:pPr>
            <w:r>
              <w:rPr>
                <w:rFonts w:ascii="Arial" w:cs="Arial" w:eastAsia="Arial" w:hAnsi="Arial"/>
                <w:b w:val="false"/>
                <w:bCs w:val="false"/>
                <w:color w:val="000000"/>
                <w:sz w:val="18"/>
                <w:szCs w:val="18"/>
              </w:rPr>
              <w:t xml:space="preserve">Materiales: báscula, tallímetro, cinta métrica, tensiómetro, formatos de tamizaje, material impreso y contenido digital.</w:t>
            </w:r>
          </w:p>
          <w:p>
            <w:pPr>
              <w:spacing w:after="20"/>
            </w:pPr>
            <w:r>
              <w:rPr>
                <w:rFonts w:ascii="Arial" w:cs="Arial" w:eastAsia="Arial" w:hAnsi="Arial"/>
                <w:b w:val="false"/>
                <w:bCs w:val="false"/>
                <w:color w:val="000000"/>
                <w:sz w:val="18"/>
                <w:szCs w:val="18"/>
              </w:rPr>
              <w:t xml:space="preserve">Físicos: plazoleta o auditorio del campus.</w:t>
            </w:r>
          </w:p>
          <w:p>
            <w:pPr>
              <w:spacing w:after="20"/>
            </w:pPr>
            <w:r>
              <w:rPr>
                <w:rFonts w:ascii="Arial" w:cs="Arial" w:eastAsia="Arial" w:hAnsi="Arial"/>
                <w:b w:val="false"/>
                <w:bCs w:val="false"/>
                <w:color w:val="000000"/>
                <w:sz w:val="18"/>
                <w:szCs w:val="18"/>
              </w:rPr>
              <w:t xml:space="preserve">Financieros: presupuesto de Bienestar Universitario y apoyo de la EPS.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Articulación con la gestión pública</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Bienestar Universitario, EPS e IPS de los estudiantes y Secretaría de Salud, mediante las acciones del PIC en el entorno educativo.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Indicadores de seguimiento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Número de estudiantes tamizados; porcentaje de estudiantes con riesgo canalizados; participación en los talleres; alcance de la campaña digital.</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Base normativa</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(momento de juventud); Ley 1355 de 2009; Ley 2120 de 2021; Ley 1616 de 2013; Decreto 729 de 2025; Ley 30 de 1992.</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Viabilidad</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Se desarrolla en el campus, en horarios de descanso, con un lenguaje juvenil y medios digitales que los estudiantes ya usan.</w:t>
            </w:r>
          </w:p>
        </w:tc>
      </w:tr>
    </w:tbl>
    <w:p>
      <w:r>
        <w:br w:type="page"/>
      </w:r>
    </w:p>
    <w:p>
      <w:pPr>
        <w:pStyle w:val="Heading2"/>
        <w:spacing w:after="100" w:before="180"/>
      </w:pPr>
      <w:r>
        <w:rPr>
          <w:rFonts w:ascii="Arial" w:cs="Arial" w:eastAsia="Arial" w:hAnsi="Arial"/>
          <w:b/>
          <w:bCs/>
          <w:color w:val="2E5496"/>
          <w:sz w:val="23"/>
          <w:szCs w:val="23"/>
        </w:rPr>
        <w:t xml:space="preserve">4.3 Caso 3. Club “Envejecer con salud”</w:t>
      </w:r>
    </w:p>
    <w:p>
      <w:pPr>
        <w:keepNext/>
        <w:spacing w:after="60" w:before="120"/>
      </w:pPr>
      <w:r>
        <w:rPr>
          <w:rFonts w:ascii="Arial" w:cs="Arial" w:eastAsia="Arial" w:hAnsi="Arial"/>
          <w:b/>
          <w:bCs/>
          <w:sz w:val="20"/>
          <w:szCs w:val="20"/>
        </w:rPr>
        <w:t xml:space="preserve">Tabla 5</w:t>
      </w:r>
    </w:p>
    <w:p>
      <w:pPr>
        <w:keepNext/>
        <w:spacing w:after="80"/>
      </w:pPr>
      <w:r>
        <w:rPr>
          <w:rFonts w:ascii="Arial" w:cs="Arial" w:eastAsia="Arial" w:hAnsi="Arial"/>
          <w:i/>
          <w:iCs/>
          <w:sz w:val="20"/>
          <w:szCs w:val="20"/>
        </w:rPr>
        <w:t xml:space="preserve">Ficha de intervención del caso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Componente</w:t>
            </w:r>
          </w:p>
        </w:tc>
        <w:tc>
          <w:tcPr>
            <w:tcW w:type="dxa" w:w="70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Desarrollo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Diagnóstico del contexto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Barrio periférico de una ciudad intermedia con adultos mayores de bajos ingresos, muchos con hipertensión, diabetes tipo 2 y enfermedad cardiovascular, baja adherencia a tratamientos, alimentación pobre en proteínas, frutas y verduras y pérdida de masa muscular. Tienen alto riesgo de caídas por debilidad, problemas de visión y viviendas inseguras, y muchos viven solos. El centro comunitario tiene baja asistencia por problemas de movilidad y falta de información.</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Población objetivo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Personas de 60 años o más del barrio y sus cuidadores.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Nivel de prevención</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Secundaria y terciaria (control de las enfermedades crónicas y prevención de sus complicaciones), con acciones primarias para prevenir caídas y aislamiento.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Clasificación según el riesgo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cardiovascular y metabólico, riesgo de caídas y riesgo psicosocial, de tipo individual y comunitario y prioridad alta.</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Objetivo general</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Mejorar el control de las enfermedades crónicas, prevenir caídas y reducir el aislamiento social de los adultos mayores del barrio.</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Objetivos específicos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 Aumentar la adherencia al tratamiento y la asistencia a controles.</w:t>
            </w:r>
          </w:p>
          <w:p>
            <w:pPr>
              <w:spacing w:after="20"/>
            </w:pPr>
            <w:r>
              <w:rPr>
                <w:rFonts w:ascii="Arial" w:cs="Arial" w:eastAsia="Arial" w:hAnsi="Arial"/>
                <w:b w:val="false"/>
                <w:bCs w:val="false"/>
                <w:color w:val="000000"/>
                <w:sz w:val="18"/>
                <w:szCs w:val="18"/>
              </w:rPr>
              <w:t xml:space="preserve">2. Promover una alimentación adecuada y accesible.</w:t>
            </w:r>
          </w:p>
          <w:p>
            <w:pPr>
              <w:spacing w:after="20"/>
            </w:pPr>
            <w:r>
              <w:rPr>
                <w:rFonts w:ascii="Arial" w:cs="Arial" w:eastAsia="Arial" w:hAnsi="Arial"/>
                <w:b w:val="false"/>
                <w:bCs w:val="false"/>
                <w:color w:val="000000"/>
                <w:sz w:val="18"/>
                <w:szCs w:val="18"/>
              </w:rPr>
              <w:t xml:space="preserve">3. Fortalecer la fuerza y el equilibrio.</w:t>
            </w:r>
          </w:p>
          <w:p>
            <w:pPr>
              <w:spacing w:after="20"/>
            </w:pPr>
            <w:r>
              <w:rPr>
                <w:rFonts w:ascii="Arial" w:cs="Arial" w:eastAsia="Arial" w:hAnsi="Arial"/>
                <w:b w:val="false"/>
                <w:bCs w:val="false"/>
                <w:color w:val="000000"/>
                <w:sz w:val="18"/>
                <w:szCs w:val="18"/>
              </w:rPr>
              <w:t xml:space="preserve">4. Identificar y corregir riesgos de caídas en las viviendas.</w:t>
            </w:r>
          </w:p>
          <w:p>
            <w:pPr>
              <w:spacing w:after="20"/>
            </w:pPr>
            <w:r>
              <w:rPr>
                <w:rFonts w:ascii="Arial" w:cs="Arial" w:eastAsia="Arial" w:hAnsi="Arial"/>
                <w:b w:val="false"/>
                <w:bCs w:val="false"/>
                <w:color w:val="000000"/>
                <w:sz w:val="18"/>
                <w:szCs w:val="18"/>
              </w:rPr>
              <w:t xml:space="preserve">5. Crear una red de apoyo e integración social.</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Acciones concretas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Encuentros semanales de dos horas en el centro comunitario:</w:t>
            </w:r>
          </w:p>
          <w:p>
            <w:pPr>
              <w:spacing w:after="20"/>
            </w:pPr>
            <w:r>
              <w:rPr>
                <w:rFonts w:ascii="Arial" w:cs="Arial" w:eastAsia="Arial" w:hAnsi="Arial"/>
                <w:b w:val="false"/>
                <w:bCs w:val="false"/>
                <w:color w:val="000000"/>
                <w:sz w:val="18"/>
                <w:szCs w:val="18"/>
              </w:rPr>
              <w:t xml:space="preserve">• Control y adherencia: toma de presión arterial, glucometría y peso; revisión de medicamentos; entrega de pastillero y calendario.</w:t>
            </w:r>
          </w:p>
          <w:p>
            <w:pPr>
              <w:spacing w:after="20"/>
            </w:pPr>
            <w:r>
              <w:rPr>
                <w:rFonts w:ascii="Arial" w:cs="Arial" w:eastAsia="Arial" w:hAnsi="Arial"/>
                <w:b w:val="false"/>
                <w:bCs w:val="false"/>
                <w:color w:val="000000"/>
                <w:sz w:val="18"/>
                <w:szCs w:val="18"/>
              </w:rPr>
              <w:t xml:space="preserve">• Muévete con seguridad: 30 minutos de ejercicios de fuerza y equilibrio.</w:t>
            </w:r>
          </w:p>
          <w:p>
            <w:pPr>
              <w:spacing w:after="20"/>
            </w:pPr>
            <w:r>
              <w:rPr>
                <w:rFonts w:ascii="Arial" w:cs="Arial" w:eastAsia="Arial" w:hAnsi="Arial"/>
                <w:b w:val="false"/>
                <w:bCs w:val="false"/>
                <w:color w:val="000000"/>
                <w:sz w:val="18"/>
                <w:szCs w:val="18"/>
              </w:rPr>
              <w:t xml:space="preserve">• Come bien con poco: taller de alimentación con productos de bajo costo, como huevo, leguminosas y frutas de temporada.</w:t>
            </w:r>
          </w:p>
          <w:p>
            <w:pPr>
              <w:spacing w:after="20"/>
            </w:pPr>
            <w:r>
              <w:rPr>
                <w:rFonts w:ascii="Arial" w:cs="Arial" w:eastAsia="Arial" w:hAnsi="Arial"/>
                <w:b w:val="false"/>
                <w:bCs w:val="false"/>
                <w:color w:val="000000"/>
                <w:sz w:val="18"/>
                <w:szCs w:val="18"/>
              </w:rPr>
              <w:t xml:space="preserve">• Compartir saberes: juegos, manualidades y actividades en las que los participantes enseñan sus oficios.</w:t>
            </w:r>
          </w:p>
          <w:p>
            <w:pPr>
              <w:spacing w:after="20"/>
            </w:pPr>
            <w:r>
              <w:rPr>
                <w:rFonts w:ascii="Arial" w:cs="Arial" w:eastAsia="Arial" w:hAnsi="Arial"/>
                <w:b w:val="false"/>
                <w:bCs w:val="false"/>
                <w:color w:val="000000"/>
                <w:sz w:val="18"/>
                <w:szCs w:val="18"/>
              </w:rPr>
              <w:t xml:space="preserve">Complementos: visitas domiciliarias con lista de chequeo de riesgo de caídas (iluminación, barandas, pisos), estrategia de “vecino acompañante”, búsqueda activa de quienes tienen movilidad limitada y canalización a controles en la EPS.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Recursos necesarios</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Humanos: profesional de enfermería, médico de la IPS, nutricionista, profesional de actividad física, trabajador social y promotores de salud.</w:t>
            </w:r>
          </w:p>
          <w:p>
            <w:pPr>
              <w:spacing w:after="20"/>
            </w:pPr>
            <w:r>
              <w:rPr>
                <w:rFonts w:ascii="Arial" w:cs="Arial" w:eastAsia="Arial" w:hAnsi="Arial"/>
                <w:b w:val="false"/>
                <w:bCs w:val="false"/>
                <w:color w:val="000000"/>
                <w:sz w:val="18"/>
                <w:szCs w:val="18"/>
              </w:rPr>
              <w:t xml:space="preserve">Materiales: tensiómetro, glucómetro y tiras, pastilleros, material educativo con letra grande y elementos para ejercicio.</w:t>
            </w:r>
          </w:p>
          <w:p>
            <w:pPr>
              <w:spacing w:after="20"/>
            </w:pPr>
            <w:r>
              <w:rPr>
                <w:rFonts w:ascii="Arial" w:cs="Arial" w:eastAsia="Arial" w:hAnsi="Arial"/>
                <w:b w:val="false"/>
                <w:bCs w:val="false"/>
                <w:color w:val="000000"/>
                <w:sz w:val="18"/>
                <w:szCs w:val="18"/>
              </w:rPr>
              <w:t xml:space="preserve">Físicos: centro comunitario o Centro Vida.</w:t>
            </w:r>
          </w:p>
          <w:p>
            <w:pPr>
              <w:spacing w:after="20"/>
            </w:pPr>
            <w:r>
              <w:rPr>
                <w:rFonts w:ascii="Arial" w:cs="Arial" w:eastAsia="Arial" w:hAnsi="Arial"/>
                <w:b w:val="false"/>
                <w:bCs w:val="false"/>
                <w:color w:val="000000"/>
                <w:sz w:val="18"/>
                <w:szCs w:val="18"/>
              </w:rPr>
              <w:t xml:space="preserve">Financieros: estampilla para el bienestar del adulto mayor, recursos del PIC y la EPS para los controles.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Articulación con la gestión pública</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Secretaría de Salud, secretaría de desarrollo o integración social (Centro Vida), ESE y EPS, y junta de acción comunal.</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Indicadores de seguimiento</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Porcentaje de participantes con presión arterial controlada; asistencia a controles; caídas reportadas; asistencia a los encuentros; viviendas adecuadas.</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Base normativa</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Resolución 3280 de 2018 (momento de vejez); Ley 1251 de 2008; Ley 1276 de 2009; Decreto 681 de 2022; Ley 2055 de 2020.</w:t>
            </w:r>
          </w:p>
        </w:tc>
      </w:tr>
      <w:tr>
        <w:trPr>
          <w:tblHeader w:val="false"/>
        </w:trPr>
        <w:tc>
          <w:tcPr>
            <w:tcW w:type="dxa" w:w="230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Viabilidad</w:t>
            </w:r>
          </w:p>
        </w:tc>
        <w:tc>
          <w:tcPr>
            <w:tcW w:type="dxa" w:w="70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Aprovecha el centro comunitario existente, usa recursos de destinación específica para el adulto mayor y responde a las barreras de movilidad con visitas y búsqueda activa.</w:t>
            </w:r>
          </w:p>
        </w:tc>
      </w:tr>
    </w:tbl>
    <w:p>
      <w:r>
        <w:br w:type="page"/>
      </w:r>
    </w:p>
    <w:p>
      <w:pPr>
        <w:pStyle w:val="Heading1"/>
        <w:spacing w:after="120" w:before="240"/>
      </w:pPr>
      <w:r>
        <w:rPr>
          <w:rFonts w:ascii="Arial" w:cs="Arial" w:eastAsia="Arial" w:hAnsi="Arial"/>
          <w:b/>
          <w:bCs/>
          <w:color w:val="1F3864"/>
          <w:sz w:val="26"/>
          <w:szCs w:val="26"/>
        </w:rPr>
        <w:t xml:space="preserve">5. Beneficios de la prevención</w:t>
      </w:r>
    </w:p>
    <w:p>
      <w:pPr>
        <w:pStyle w:val="Heading2"/>
        <w:spacing w:after="100" w:before="180"/>
      </w:pPr>
      <w:r>
        <w:rPr>
          <w:rFonts w:ascii="Arial" w:cs="Arial" w:eastAsia="Arial" w:hAnsi="Arial"/>
          <w:b/>
          <w:bCs/>
          <w:color w:val="2E5496"/>
          <w:sz w:val="23"/>
          <w:szCs w:val="23"/>
        </w:rPr>
        <w:t xml:space="preserve">5.1 ¿Cuáles son los beneficios para todos?</w:t>
      </w:r>
    </w:p>
    <w:p>
      <w:pPr>
        <w:spacing w:after="80" w:line="259"/>
        <w:ind w:firstLine="567"/>
        <w:jc w:val="both"/>
      </w:pPr>
      <w:r>
        <w:rPr>
          <w:rFonts w:ascii="Arial" w:cs="Arial" w:eastAsia="Arial" w:hAnsi="Arial"/>
          <w:sz w:val="22"/>
          <w:szCs w:val="22"/>
        </w:rPr>
        <w:t xml:space="preserve">La prevención beneficia a las personas, a las familias y al sistema de salud. Para las personas significa vivir más años con mejor calidad de vida, mantener su autonomía y su capacidad de trabajar o estudiar. Para las familias, menos gastos de bolsillo, menos ausentismo y menos carga de cuidado. Para el sistema, menos hospitalizaciones, complicaciones y tratamientos costosos, porque tratar una enfermedad avanzada siempre es más caro que evitarla o detectarla a tiempo. La Organización Mundial de la Salud (2021), en su estrategia para eliminar el cáncer de cuello uterino, muestra cómo la combinación de prevención primaria (vacunación) y secundaria (tamizaje y tratamiento oportuno) puede reducir de forma drástica una enfermedad, y esa misma lógica aplica a los riesgos de los tres casos analizados.</w:t>
      </w:r>
    </w:p>
    <w:p>
      <w:pPr>
        <w:pStyle w:val="Heading2"/>
        <w:spacing w:after="100" w:before="180"/>
      </w:pPr>
      <w:r>
        <w:rPr>
          <w:rFonts w:ascii="Arial" w:cs="Arial" w:eastAsia="Arial" w:hAnsi="Arial"/>
          <w:b/>
          <w:bCs/>
          <w:color w:val="2E5496"/>
          <w:sz w:val="23"/>
          <w:szCs w:val="23"/>
        </w:rPr>
        <w:t xml:space="preserve">5.2 ¿Qué beneficios establece el sistema de salud colombiano para la prevención?</w:t>
      </w:r>
    </w:p>
    <w:p>
      <w:pPr>
        <w:pStyle w:val="ListParagraph"/>
        <w:numPr>
          <w:ilvl w:val="0"/>
          <w:numId w:val="2"/>
        </w:numPr>
        <w:spacing w:after="60" w:line="290"/>
        <w:jc w:val="both"/>
      </w:pPr>
      <w:r>
        <w:rPr>
          <w:rFonts w:ascii="Arial" w:cs="Arial" w:eastAsia="Arial" w:hAnsi="Arial"/>
          <w:b/>
          <w:bCs/>
          <w:sz w:val="22"/>
          <w:szCs w:val="22"/>
        </w:rPr>
        <w:t xml:space="preserve">Ruta de Promoción y Mantenimiento de la Salud: </w:t>
      </w:r>
      <w:r>
        <w:rPr>
          <w:rFonts w:ascii="Arial" w:cs="Arial" w:eastAsia="Arial" w:hAnsi="Arial"/>
          <w:sz w:val="22"/>
          <w:szCs w:val="22"/>
        </w:rPr>
        <w:t xml:space="preserve">valoraciones integrales, tamizajes y educación para la salud en cada momento del curso de vida (Resolución 3280 de 2018), a cargo de las EPS.</w:t>
      </w:r>
    </w:p>
    <w:p>
      <w:pPr>
        <w:pStyle w:val="ListParagraph"/>
        <w:numPr>
          <w:ilvl w:val="0"/>
          <w:numId w:val="2"/>
        </w:numPr>
        <w:spacing w:after="60" w:line="290"/>
        <w:jc w:val="both"/>
      </w:pPr>
      <w:r>
        <w:rPr>
          <w:rFonts w:ascii="Arial" w:cs="Arial" w:eastAsia="Arial" w:hAnsi="Arial"/>
          <w:b/>
          <w:bCs/>
          <w:sz w:val="22"/>
          <w:szCs w:val="22"/>
        </w:rPr>
        <w:t xml:space="preserve">Sin copagos ni cuotas moderadoras: </w:t>
      </w:r>
      <w:r>
        <w:rPr>
          <w:rFonts w:ascii="Arial" w:cs="Arial" w:eastAsia="Arial" w:hAnsi="Arial"/>
          <w:sz w:val="22"/>
          <w:szCs w:val="22"/>
        </w:rPr>
        <w:t xml:space="preserve">los servicios de promoción y prevención no están sujetos a estos cobros (Acuerdo 260 de 2004), lo que elimina una barrera económica.</w:t>
      </w:r>
    </w:p>
    <w:p>
      <w:pPr>
        <w:pStyle w:val="ListParagraph"/>
        <w:numPr>
          <w:ilvl w:val="0"/>
          <w:numId w:val="2"/>
        </w:numPr>
        <w:spacing w:after="60" w:line="290"/>
        <w:jc w:val="both"/>
      </w:pPr>
      <w:r>
        <w:rPr>
          <w:rFonts w:ascii="Arial" w:cs="Arial" w:eastAsia="Arial" w:hAnsi="Arial"/>
          <w:b/>
          <w:bCs/>
          <w:sz w:val="22"/>
          <w:szCs w:val="22"/>
        </w:rPr>
        <w:t xml:space="preserve">Plan de Intervenciones Colectivas: </w:t>
      </w:r>
      <w:r>
        <w:rPr>
          <w:rFonts w:ascii="Arial" w:cs="Arial" w:eastAsia="Arial" w:hAnsi="Arial"/>
          <w:sz w:val="22"/>
          <w:szCs w:val="22"/>
        </w:rPr>
        <w:t xml:space="preserve">acciones gratuitas que llegan a los hogares, colegios, universidades, lugares de trabajo y espacios comunitarios (Resolución 1597 de 2025).</w:t>
      </w:r>
    </w:p>
    <w:p>
      <w:pPr>
        <w:pStyle w:val="ListParagraph"/>
        <w:numPr>
          <w:ilvl w:val="0"/>
          <w:numId w:val="2"/>
        </w:numPr>
        <w:spacing w:after="60" w:line="290"/>
        <w:jc w:val="both"/>
      </w:pPr>
      <w:r>
        <w:rPr>
          <w:rFonts w:ascii="Arial" w:cs="Arial" w:eastAsia="Arial" w:hAnsi="Arial"/>
          <w:b/>
          <w:bCs/>
          <w:sz w:val="22"/>
          <w:szCs w:val="22"/>
        </w:rPr>
        <w:t xml:space="preserve">Programa Ampliado de Inmunizaciones: </w:t>
      </w:r>
      <w:r>
        <w:rPr>
          <w:rFonts w:ascii="Arial" w:cs="Arial" w:eastAsia="Arial" w:hAnsi="Arial"/>
          <w:sz w:val="22"/>
          <w:szCs w:val="22"/>
        </w:rPr>
        <w:t xml:space="preserve">vacunación gratuita y obligatoria (Ley 1373 de 2010).</w:t>
      </w:r>
    </w:p>
    <w:p>
      <w:pPr>
        <w:pStyle w:val="ListParagraph"/>
        <w:numPr>
          <w:ilvl w:val="0"/>
          <w:numId w:val="2"/>
        </w:numPr>
        <w:spacing w:after="60" w:line="290"/>
        <w:jc w:val="both"/>
      </w:pPr>
      <w:r>
        <w:rPr>
          <w:rFonts w:ascii="Arial" w:cs="Arial" w:eastAsia="Arial" w:hAnsi="Arial"/>
          <w:b/>
          <w:bCs/>
          <w:sz w:val="22"/>
          <w:szCs w:val="22"/>
        </w:rPr>
        <w:t xml:space="preserve">Políticas específicas: </w:t>
      </w:r>
      <w:r>
        <w:rPr>
          <w:rFonts w:ascii="Arial" w:cs="Arial" w:eastAsia="Arial" w:hAnsi="Arial"/>
          <w:sz w:val="22"/>
          <w:szCs w:val="22"/>
        </w:rPr>
        <w:t xml:space="preserve">salud mental (Decreto 729 de 2025), envejecimiento y vejez (Decreto 681 de 2022) y entornos alimentarios saludables (Ley 2120 de 2021).</w:t>
      </w:r>
    </w:p>
    <w:p>
      <w:r>
        <w:br w:type="page"/>
      </w:r>
    </w:p>
    <w:p>
      <w:pPr>
        <w:pStyle w:val="Heading1"/>
        <w:spacing w:after="120" w:before="240"/>
      </w:pPr>
      <w:r>
        <w:rPr>
          <w:rFonts w:ascii="Arial" w:cs="Arial" w:eastAsia="Arial" w:hAnsi="Arial"/>
          <w:b/>
          <w:bCs/>
          <w:color w:val="1F3864"/>
          <w:sz w:val="26"/>
          <w:szCs w:val="26"/>
        </w:rPr>
        <w:t xml:space="preserve">6. Guion del video</w:t>
      </w:r>
    </w:p>
    <w:p>
      <w:pPr>
        <w:spacing w:after="80" w:line="259"/>
        <w:jc w:val="both"/>
      </w:pPr>
      <w:r>
        <w:rPr>
          <w:rFonts w:ascii="Arial" w:cs="Arial" w:eastAsia="Arial" w:hAnsi="Arial"/>
          <w:b/>
          <w:bCs/>
          <w:sz w:val="22"/>
          <w:szCs w:val="22"/>
        </w:rPr>
        <w:t xml:space="preserve">Duración total: </w:t>
      </w:r>
      <w:r>
        <w:rPr>
          <w:rFonts w:ascii="Arial" w:cs="Arial" w:eastAsia="Arial" w:hAnsi="Arial"/>
          <w:sz w:val="22"/>
          <w:szCs w:val="22"/>
        </w:rPr>
        <w:t xml:space="preserve">7 minutos y 25 segundos. </w:t>
      </w:r>
      <w:r>
        <w:rPr>
          <w:rFonts w:ascii="Arial" w:cs="Arial" w:eastAsia="Arial" w:hAnsi="Arial"/>
          <w:b/>
          <w:bCs/>
          <w:sz w:val="22"/>
          <w:szCs w:val="22"/>
        </w:rPr>
        <w:t xml:space="preserve">Formato: </w:t>
      </w:r>
      <w:r>
        <w:rPr>
          <w:rFonts w:ascii="Arial" w:cs="Arial" w:eastAsia="Arial" w:hAnsi="Arial"/>
          <w:sz w:val="22"/>
          <w:szCs w:val="22"/>
        </w:rPr>
        <w:t xml:space="preserve">presentación audiovisual con fotografías y videos cortos de cada contexto (bancos de uso libre), textos en pantalla, voz en off y música de fondo de producción propia. </w:t>
      </w:r>
      <w:r>
        <w:rPr>
          <w:rFonts w:ascii="Arial" w:cs="Arial" w:eastAsia="Arial" w:hAnsi="Arial"/>
          <w:b/>
          <w:bCs/>
          <w:sz w:val="22"/>
          <w:szCs w:val="22"/>
        </w:rPr>
        <w:t xml:space="preserve">Escenarios: </w:t>
      </w:r>
      <w:r>
        <w:rPr>
          <w:rFonts w:ascii="Arial" w:cs="Arial" w:eastAsia="Arial" w:hAnsi="Arial"/>
          <w:sz w:val="22"/>
          <w:szCs w:val="22"/>
        </w:rPr>
        <w:t xml:space="preserve">una vereda agrícola, un campus universitario y un centro comunitario de un barrio periférico, representados con fotografías y videos de cada contexto.</w:t>
      </w:r>
    </w:p>
    <w:p>
      <w:pPr>
        <w:keepNext/>
        <w:spacing w:after="60" w:before="120"/>
      </w:pPr>
      <w:r>
        <w:rPr>
          <w:rFonts w:ascii="Arial" w:cs="Arial" w:eastAsia="Arial" w:hAnsi="Arial"/>
          <w:b/>
          <w:bCs/>
          <w:sz w:val="20"/>
          <w:szCs w:val="20"/>
        </w:rPr>
        <w:t xml:space="preserve">Tabla 6</w:t>
      </w:r>
    </w:p>
    <w:p>
      <w:pPr>
        <w:keepNext/>
        <w:spacing w:after="80"/>
      </w:pPr>
      <w:r>
        <w:rPr>
          <w:rFonts w:ascii="Arial" w:cs="Arial" w:eastAsia="Arial" w:hAnsi="Arial"/>
          <w:i/>
          <w:iCs/>
          <w:sz w:val="20"/>
          <w:szCs w:val="20"/>
        </w:rPr>
        <w:t xml:space="preserve">Guion técnico del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900"/>
        <w:gridCol w:w="2100"/>
        <w:gridCol w:w="2100"/>
        <w:gridCol w:w="1960"/>
        <w:gridCol w:w="1050"/>
      </w:tblGrid>
      <w:tr>
        <w:trPr>
          <w:tblHeader/>
        </w:trPr>
        <w:tc>
          <w:tcPr>
            <w:tcW w:type="dxa" w:w="12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Escena</w:t>
            </w:r>
          </w:p>
        </w:tc>
        <w:tc>
          <w:tcPr>
            <w:tcW w:type="dxa" w:w="9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Tiempo</w:t>
            </w:r>
          </w:p>
        </w:tc>
        <w:tc>
          <w:tcPr>
            <w:tcW w:type="dxa" w:w="21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Imagen (bosquejo)</w:t>
            </w:r>
          </w:p>
        </w:tc>
        <w:tc>
          <w:tcPr>
            <w:tcW w:type="dxa" w:w="210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Texto en pantalla</w:t>
            </w:r>
          </w:p>
        </w:tc>
        <w:tc>
          <w:tcPr>
            <w:tcW w:type="dxa" w:w="196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Audio</w:t>
            </w:r>
          </w:p>
        </w:tc>
        <w:tc>
          <w:tcPr>
            <w:tcW w:type="dxa" w:w="1050"/>
            <w:tcBorders>
              <w:top w:val="single" w:color="8EAADB" w:sz="4"/>
              <w:left w:val="single" w:color="8EAADB" w:sz="4"/>
              <w:bottom w:val="single" w:color="8EAADB" w:sz="4"/>
              <w:right w:val="single" w:color="8EAADB" w:sz="4"/>
            </w:tcBorders>
            <w:shd w:fill="1F3864" w:color="auto" w:val="clear"/>
            <w:tcMar>
              <w:top w:type="dxa" w:w="35"/>
              <w:left w:type="dxa" w:w="80"/>
              <w:bottom w:type="dxa" w:w="35"/>
              <w:right w:type="dxa" w:w="80"/>
            </w:tcMar>
            <w:vAlign w:val="center"/>
          </w:tcPr>
          <w:p>
            <w:pPr>
              <w:spacing w:after="20"/>
            </w:pPr>
            <w:r>
              <w:rPr>
                <w:rFonts w:ascii="Arial" w:cs="Arial" w:eastAsia="Arial" w:hAnsi="Arial"/>
                <w:b/>
                <w:bCs/>
                <w:color w:val="FFFFFF"/>
                <w:sz w:val="18"/>
                <w:szCs w:val="18"/>
              </w:rPr>
              <w:t xml:space="preserve">Duración</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 Portada</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0:00 – 0:15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de una familia y profesionales de salud en un entorno comunitario.</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Prevenir es cuidar: una mirada hacia la prevención en individuos y poblaciones</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Música de apertura. Sin voz.</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 Introducción</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0:15 – 0:40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Collage de las tres poblaciones: campesinos, estudiantes y adultos mayores.</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Tres contextos, tres propuestas de prevención</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presentación de la autora, objetivo del video y población a la que va dirigido.</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3. Promoción y prevención</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0:40 – 1:00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Íconos de los tres niveles de prevención: escudo, lupa y venda.</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Prevención primaria · secundaria · terciaria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qué es promover la salud y los tres niveles de prevención.</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4. Marco normativo</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1:00 – 1:20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Íconos de documentos y logo del Ministerio de Salud.</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Ley 1751 de 2015 · Resolución 3280 de 2018 · Resolución 1035 de 2022 · Resolución 1597 de 2025</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normas que respaldan las intervenciones.</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5. Caso 1: diagnóstico</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1:20 – 1:45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o video de una vereda y de un campesino fumigando sin protección.</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Comunidad rural agrícola · agua sin tratar · agroquímicos sin protección</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diagnóstico del contexto rural. Música suave de campo.</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6. Caso 1: riesgos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1:45 – 2:05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Íconos de agua, químicos, piel, pulmones y niño con dolor de estómago.</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ambiental y ocupacional · prioridad alta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riesgos prevalentes y clasificación.</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7. Caso 1: la actividad</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2:05 – 2:30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de un taller comunitario en una caseta o escuela rural.</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“Finca sana, familia sana” · prevención primaria · familias de la vereda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nombre, nivel de prevención, población y objetivo.</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8. Caso 1: acciones y recursos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2:30 – 2:55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Tres tarjetas: agua segura, agroquímicos sin riesgo y cuerpo sano.</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Estaciones · recursos · PIC municipal · Resolución 2115 de 2007</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acciones, recursos y norma que la respalda.</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9. Caso 2: diagnóstico</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2:55 – 3:20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Video de estudiantes con comida rápida, café y computador de noche.</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Estudiantes universitarios · comida rápida · estrés · sedentarismo</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diagnóstico del contexto universitario. Música más dinámica.</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10. Caso 2: riesgos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3:20 – 3:40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Íconos de corazón, cama, cerebro y postura.</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por estilos de vida y psicosocial</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riesgos prevalentes y clasificación.</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11. Caso 2: la actividad</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3:40 – 4:05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de una feria de salud en un campus.</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“Recarga tu bienestar” · prevención primaria y secundaria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nombre, nivel, población y objetivo.</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12. Caso 2: acciones y recursos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4:05 – 4:30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Cuatro tarjetas: tamizaje, comida saludable, muévete y desconéctate.</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Estaciones · campaña digital · Bienestar Universitario · Decreto 729 de 2025</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acciones, recursos y normas.</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13. Caso 3: diagnóstico</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4:30 – 4:55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de un adulto mayor solo en casa y de un barrio periférico.</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Adultos mayores · enfermedades crónicas · caídas · soledad</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diagnóstico del contexto. Música cálida.</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14. Caso 3: riesgos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4:55 – 5:15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Íconos de tensiómetro, glucómetro, escalera y persona sola.</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Riesgo cardiovascular, de caídas y psicosocial · prioridad alta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riesgos prevalentes y clasificación.</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15. Caso 3: la actividad</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5:15 – 5:40</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de adultos mayores haciendo ejercicio en grupo.</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“Envejecer con salud” · prevención secundaria y terciaria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nombre, nivel, población y objetivo.</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16. Caso 3: acciones y recursos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5:40 – 6:05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Tarjetas: control, ejercicio, alimentación, compartir saberes y visitas.</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Encuentros semanales · Centro Vida · Decreto 681 de 2022</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acciones, recursos y normas.</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25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17. Beneficios para todos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6:05 – 6:25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Gráfico de balanza: prevención frente a costos de la enfermedad.</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Menos costos · más calidad de vida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respuesta a la primera pregunta orientadora.</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18. Beneficios del sistema</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6:25 – 6:45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Íconos: ruta de promoción, sin copagos, PIC y vacunación.</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Lo que el sistema colombiano garantiza</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respuesta a la segunda pregunta orientadora.</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19. Cierre</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6:45 – 7:05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Fotografía de una comunidad unida.</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Prevenir es cuidar, y cuidar es tarea de todos</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Voz en off: reflexión final y llamado a la acción.</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20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20. Referencias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7:05 – 7:15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Lista de referencias.</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Referencias</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Música suave.</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r>
        <w:trPr>
          <w:tblHeader w:val="false"/>
        </w:trPr>
        <w:tc>
          <w:tcPr>
            <w:tcW w:type="dxa" w:w="1250"/>
            <w:tcBorders>
              <w:top w:val="single" w:color="8EAADB" w:sz="4"/>
              <w:left w:val="single" w:color="8EAADB" w:sz="4"/>
              <w:bottom w:val="single" w:color="8EAADB" w:sz="4"/>
              <w:right w:val="single" w:color="8EAADB" w:sz="4"/>
            </w:tcBorders>
            <w:shd w:fill="DEEAF6" w:color="auto" w:val="clear"/>
            <w:tcMar>
              <w:top w:type="dxa" w:w="35"/>
              <w:left w:type="dxa" w:w="80"/>
              <w:bottom w:type="dxa" w:w="35"/>
              <w:right w:type="dxa" w:w="80"/>
            </w:tcMar>
            <w:vAlign w:val="center"/>
          </w:tcPr>
          <w:p>
            <w:pPr>
              <w:spacing w:after="20"/>
            </w:pPr>
            <w:r>
              <w:rPr>
                <w:rFonts w:ascii="Arial" w:cs="Arial" w:eastAsia="Arial" w:hAnsi="Arial"/>
                <w:b/>
                <w:bCs/>
                <w:color w:val="000000"/>
                <w:sz w:val="18"/>
                <w:szCs w:val="18"/>
              </w:rPr>
              <w:t xml:space="preserve">21. Créditos</w:t>
            </w:r>
          </w:p>
        </w:tc>
        <w:tc>
          <w:tcPr>
            <w:tcW w:type="dxa" w:w="9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7:15 – 7:25</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Tabla de créditos.</w:t>
            </w:r>
          </w:p>
        </w:tc>
        <w:tc>
          <w:tcPr>
            <w:tcW w:type="dxa" w:w="210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Autora, imágenes, música, curso y docente</w:t>
            </w:r>
          </w:p>
        </w:tc>
        <w:tc>
          <w:tcPr>
            <w:tcW w:type="dxa" w:w="196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La música se desvanece.</w:t>
            </w:r>
          </w:p>
        </w:tc>
        <w:tc>
          <w:tcPr>
            <w:tcW w:type="dxa" w:w="1050"/>
            <w:tcBorders>
              <w:top w:val="single" w:color="8EAADB" w:sz="4"/>
              <w:left w:val="single" w:color="8EAADB" w:sz="4"/>
              <w:bottom w:val="single" w:color="8EAADB" w:sz="4"/>
              <w:right w:val="single" w:color="8EAADB" w:sz="4"/>
            </w:tcBorders>
            <w:tcMar>
              <w:top w:type="dxa" w:w="35"/>
              <w:left w:type="dxa" w:w="80"/>
              <w:bottom w:type="dxa" w:w="35"/>
              <w:right w:type="dxa" w:w="80"/>
            </w:tcMar>
            <w:vAlign w:val="center"/>
          </w:tcPr>
          <w:p>
            <w:pPr>
              <w:spacing w:after="20"/>
            </w:pPr>
            <w:r>
              <w:rPr>
                <w:rFonts w:ascii="Arial" w:cs="Arial" w:eastAsia="Arial" w:hAnsi="Arial"/>
                <w:b w:val="false"/>
                <w:bCs w:val="false"/>
                <w:color w:val="000000"/>
                <w:sz w:val="18"/>
                <w:szCs w:val="18"/>
              </w:rPr>
              <w:t xml:space="preserve">10 s</w:t>
            </w:r>
          </w:p>
        </w:tc>
      </w:tr>
    </w:tbl>
    <w:p>
      <w:pPr>
        <w:spacing w:after="160" w:before="60"/>
      </w:pPr>
      <w:r>
        <w:rPr>
          <w:rFonts w:ascii="Arial" w:cs="Arial" w:eastAsia="Arial" w:hAnsi="Arial"/>
          <w:i/>
          <w:iCs/>
          <w:sz w:val="18"/>
          <w:szCs w:val="18"/>
        </w:rPr>
        <w:t xml:space="preserve">Nota. </w:t>
      </w:r>
      <w:r>
        <w:rPr>
          <w:rFonts w:ascii="Arial" w:cs="Arial" w:eastAsia="Arial" w:hAnsi="Arial"/>
          <w:sz w:val="18"/>
          <w:szCs w:val="18"/>
        </w:rPr>
        <w:t xml:space="preserve">El texto completo de la voz en off se entrega en un documento aparte, sincronizado con cada escena.</w:t>
      </w:r>
    </w:p>
    <w:p>
      <w:pPr>
        <w:pStyle w:val="Heading1"/>
        <w:spacing w:after="120" w:before="240"/>
      </w:pPr>
      <w:r>
        <w:rPr>
          <w:rFonts w:ascii="Arial" w:cs="Arial" w:eastAsia="Arial" w:hAnsi="Arial"/>
          <w:b/>
          <w:bCs/>
          <w:color w:val="1F3864"/>
          <w:sz w:val="26"/>
          <w:szCs w:val="26"/>
        </w:rPr>
        <w:t xml:space="preserve">Conclusiones</w:t>
      </w:r>
    </w:p>
    <w:p>
      <w:pPr>
        <w:spacing w:after="80" w:line="259"/>
        <w:ind w:firstLine="567"/>
        <w:jc w:val="both"/>
      </w:pPr>
      <w:r>
        <w:rPr>
          <w:rFonts w:ascii="Arial" w:cs="Arial" w:eastAsia="Arial" w:hAnsi="Arial"/>
          <w:sz w:val="22"/>
          <w:szCs w:val="22"/>
        </w:rPr>
        <w:t xml:space="preserve">Los tres casos demuestran que no existe una única forma de prevenir: cada población tiene riesgos distintos que exigen intervenciones adaptadas a su edad, su entorno y sus condiciones de vida. En la comunidad rural, la prioridad es el entorno (agua y agroquímicos); en los estudiantes, los estilos de vida y la salud mental; y en los adultos mayores, el control de las enfermedades crónicas, la prevención de caídas y la compañía.</w:t>
      </w:r>
    </w:p>
    <w:p>
      <w:pPr>
        <w:spacing w:after="80" w:line="259"/>
        <w:ind w:firstLine="567"/>
        <w:jc w:val="both"/>
      </w:pPr>
      <w:r>
        <w:rPr>
          <w:rFonts w:ascii="Arial" w:cs="Arial" w:eastAsia="Arial" w:hAnsi="Arial"/>
          <w:sz w:val="22"/>
          <w:szCs w:val="22"/>
        </w:rPr>
        <w:t xml:space="preserve">Colombia cuenta con un marco normativo vigente y amplio que respalda estas acciones, y con mecanismos de financiación como el PIC, los recursos de bienestar universitario y la estampilla para el adulto mayor. El reto está en la gestión pública: articular a las secretarías de salud, las ESE, las EPS y las comunidades para que la prevención llegue a donde vive la gente. Prevenir no solo reduce costos; sobre todo, protege la vida y la dignidad de las personas.</w:t>
      </w:r>
    </w:p>
    <w:p>
      <w:r>
        <w:br w:type="page"/>
      </w:r>
    </w:p>
    <w:p>
      <w:pPr>
        <w:pStyle w:val="Heading1"/>
        <w:spacing w:after="120" w:before="240"/>
      </w:pPr>
      <w:r>
        <w:rPr>
          <w:rFonts w:ascii="Arial" w:cs="Arial" w:eastAsia="Arial" w:hAnsi="Arial"/>
          <w:b/>
          <w:bCs/>
          <w:color w:val="1F3864"/>
          <w:sz w:val="26"/>
          <w:szCs w:val="26"/>
        </w:rPr>
        <w:t xml:space="preserve">Referencias</w:t>
      </w:r>
    </w:p>
    <w:p>
      <w:pPr>
        <w:spacing w:after="100" w:line="276"/>
        <w:ind w:left="567" w:hanging="567"/>
        <w:jc w:val="left"/>
      </w:pPr>
      <w:r>
        <w:rPr>
          <w:rFonts w:ascii="Arial" w:cs="Arial" w:eastAsia="Arial" w:hAnsi="Arial"/>
          <w:i w:val="false"/>
          <w:iCs w:val="false"/>
          <w:sz w:val="22"/>
          <w:szCs w:val="22"/>
        </w:rPr>
        <w:t xml:space="preserve">Congreso de la República de Colombia. (1979). Ley 9 de 1979, por la cual se dictan medidas sanitarias.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35.193.</w:t>
      </w:r>
    </w:p>
    <w:p>
      <w:pPr>
        <w:spacing w:after="100" w:line="276"/>
        <w:ind w:left="567" w:hanging="567"/>
        <w:jc w:val="left"/>
      </w:pPr>
      <w:r>
        <w:rPr>
          <w:rFonts w:ascii="Arial" w:cs="Arial" w:eastAsia="Arial" w:hAnsi="Arial"/>
          <w:i w:val="false"/>
          <w:iCs w:val="false"/>
          <w:sz w:val="22"/>
          <w:szCs w:val="22"/>
        </w:rPr>
        <w:t xml:space="preserve">Congreso de la República de Colombia. (1992). Ley 30 de 1992, por la cual se organiza el servicio público de la educación superior. </w:t>
      </w:r>
      <w:r>
        <w:rPr>
          <w:rFonts w:ascii="Arial" w:cs="Arial" w:eastAsia="Arial" w:hAnsi="Arial"/>
          <w:i/>
          <w:iCs/>
          <w:sz w:val="22"/>
          <w:szCs w:val="22"/>
        </w:rPr>
        <w:t xml:space="preserve">Diario Oficial</w:t>
      </w:r>
      <w:r>
        <w:rPr>
          <w:rFonts w:ascii="Arial" w:cs="Arial" w:eastAsia="Arial" w:hAnsi="Arial"/>
          <w:i w:val="false"/>
          <w:iCs w:val="false"/>
          <w:sz w:val="22"/>
          <w:szCs w:val="22"/>
        </w:rPr>
        <w:t xml:space="preserve"> 40.700.</w:t>
      </w:r>
    </w:p>
    <w:p>
      <w:pPr>
        <w:spacing w:after="100" w:line="276"/>
        <w:ind w:left="567" w:hanging="567"/>
        <w:jc w:val="left"/>
      </w:pPr>
      <w:r>
        <w:rPr>
          <w:rFonts w:ascii="Arial" w:cs="Arial" w:eastAsia="Arial" w:hAnsi="Arial"/>
          <w:i w:val="false"/>
          <w:iCs w:val="false"/>
          <w:sz w:val="22"/>
          <w:szCs w:val="22"/>
        </w:rPr>
        <w:t xml:space="preserve">Congreso de la República de Colombia. (2008). Ley 1251 de 2008, por la cual se dictan normas tendientes a procurar la protección, promoción y defensa de los derechos de los adultos mayores.</w:t>
      </w:r>
    </w:p>
    <w:p>
      <w:pPr>
        <w:spacing w:after="100" w:line="276"/>
        <w:ind w:left="567" w:hanging="567"/>
        <w:jc w:val="left"/>
      </w:pPr>
      <w:r>
        <w:rPr>
          <w:rFonts w:ascii="Arial" w:cs="Arial" w:eastAsia="Arial" w:hAnsi="Arial"/>
          <w:i w:val="false"/>
          <w:iCs w:val="false"/>
          <w:sz w:val="22"/>
          <w:szCs w:val="22"/>
        </w:rPr>
        <w:t xml:space="preserve">Congreso de la República de Colombia. (2009). Ley 1276 de 2009, a través de la cual se modifica la Ley 687 de 2001 y se establecen nuevos criterios de atención integral del adulto mayor en los Centros Vida.</w:t>
      </w:r>
    </w:p>
    <w:p>
      <w:pPr>
        <w:spacing w:after="100" w:line="276"/>
        <w:ind w:left="567" w:hanging="567"/>
        <w:jc w:val="left"/>
      </w:pPr>
      <w:r>
        <w:rPr>
          <w:rFonts w:ascii="Arial" w:cs="Arial" w:eastAsia="Arial" w:hAnsi="Arial"/>
          <w:i w:val="false"/>
          <w:iCs w:val="false"/>
          <w:sz w:val="22"/>
          <w:szCs w:val="22"/>
        </w:rPr>
        <w:t xml:space="preserve">Congreso de la República de Colombia. (2009). Ley 1355 de 2009, por medio de la cual se define la obesidad y las enfermedades crónicas no transmisibles asociadas a esta como una prioridad de salud pública.</w:t>
      </w:r>
    </w:p>
    <w:p>
      <w:pPr>
        <w:spacing w:after="100" w:line="276"/>
        <w:ind w:left="567" w:hanging="567"/>
        <w:jc w:val="left"/>
      </w:pPr>
      <w:r>
        <w:rPr>
          <w:rFonts w:ascii="Arial" w:cs="Arial" w:eastAsia="Arial" w:hAnsi="Arial"/>
          <w:i w:val="false"/>
          <w:iCs w:val="false"/>
          <w:sz w:val="22"/>
          <w:szCs w:val="22"/>
        </w:rPr>
        <w:t xml:space="preserve">Congreso de la República de Colombia. (2010). Ley 1373 de 2010, por la cual se garantiza la vacunación gratuita y obligatoria a toda la población colombiana objeto de la misma.</w:t>
      </w:r>
    </w:p>
    <w:p>
      <w:pPr>
        <w:spacing w:after="100" w:line="276"/>
        <w:ind w:left="567" w:hanging="567"/>
        <w:jc w:val="left"/>
      </w:pPr>
      <w:r>
        <w:rPr>
          <w:rFonts w:ascii="Arial" w:cs="Arial" w:eastAsia="Arial" w:hAnsi="Arial"/>
          <w:i w:val="false"/>
          <w:iCs w:val="false"/>
          <w:sz w:val="22"/>
          <w:szCs w:val="22"/>
        </w:rPr>
        <w:t xml:space="preserve">Congreso de la República de Colombia. (2013). Ley 1616 de 2013, por medio de la cual se expide la ley de salud mental.</w:t>
      </w:r>
    </w:p>
    <w:p>
      <w:pPr>
        <w:spacing w:after="100" w:line="276"/>
        <w:ind w:left="567" w:hanging="567"/>
        <w:jc w:val="left"/>
      </w:pPr>
      <w:r>
        <w:rPr>
          <w:rFonts w:ascii="Arial" w:cs="Arial" w:eastAsia="Arial" w:hAnsi="Arial"/>
          <w:i w:val="false"/>
          <w:iCs w:val="false"/>
          <w:sz w:val="22"/>
          <w:szCs w:val="22"/>
        </w:rPr>
        <w:t xml:space="preserve">Congreso de la República de Colombia. (2015). Ley Estatutaria 1751 de 2015, por medio de la cual se regula el derecho fundamental a la salud.</w:t>
      </w:r>
    </w:p>
    <w:p>
      <w:pPr>
        <w:spacing w:after="100" w:line="276"/>
        <w:ind w:left="567" w:hanging="567"/>
        <w:jc w:val="left"/>
      </w:pPr>
      <w:r>
        <w:rPr>
          <w:rFonts w:ascii="Arial" w:cs="Arial" w:eastAsia="Arial" w:hAnsi="Arial"/>
          <w:i w:val="false"/>
          <w:iCs w:val="false"/>
          <w:sz w:val="22"/>
          <w:szCs w:val="22"/>
        </w:rPr>
        <w:t xml:space="preserve">Congreso de la República de Colombia. (2020). Ley 2055 de 2020, por medio de la cual se aprueba la Convención Interamericana sobre la Protección de los Derechos Humanos de las Personas Mayores.</w:t>
      </w:r>
    </w:p>
    <w:p>
      <w:pPr>
        <w:spacing w:after="100" w:line="276"/>
        <w:ind w:left="567" w:hanging="567"/>
        <w:jc w:val="left"/>
      </w:pPr>
      <w:r>
        <w:rPr>
          <w:rFonts w:ascii="Arial" w:cs="Arial" w:eastAsia="Arial" w:hAnsi="Arial"/>
          <w:i w:val="false"/>
          <w:iCs w:val="false"/>
          <w:sz w:val="22"/>
          <w:szCs w:val="22"/>
        </w:rPr>
        <w:t xml:space="preserve">Congreso de la República de Colombia. (2021). Ley 2120 de 2021, por medio de la cual se adoptan medidas para fomentar entornos alimentarios saludables y prevenir enfermedades no transmisibles.</w:t>
      </w:r>
    </w:p>
    <w:p>
      <w:pPr>
        <w:spacing w:after="100" w:line="276"/>
        <w:ind w:left="567" w:hanging="567"/>
        <w:jc w:val="left"/>
      </w:pPr>
      <w:r>
        <w:rPr>
          <w:rFonts w:ascii="Arial" w:cs="Arial" w:eastAsia="Arial" w:hAnsi="Arial"/>
          <w:i w:val="false"/>
          <w:iCs w:val="false"/>
          <w:sz w:val="22"/>
          <w:szCs w:val="22"/>
        </w:rPr>
        <w:t xml:space="preserve">Consejo Nacional de Seguridad Social en Salud. (2004). Acuerdo 260 de 2004, por el cual se define el régimen de pagos compartidos y cuotas moderadoras dentro del Sistema General de Seguridad Social en Salud.</w:t>
      </w:r>
    </w:p>
    <w:p>
      <w:pPr>
        <w:spacing w:after="100" w:line="276"/>
        <w:ind w:left="567" w:hanging="567"/>
        <w:jc w:val="left"/>
      </w:pPr>
      <w:r>
        <w:rPr>
          <w:rFonts w:ascii="Arial" w:cs="Arial" w:eastAsia="Arial" w:hAnsi="Arial"/>
          <w:i w:val="false"/>
          <w:iCs w:val="false"/>
          <w:sz w:val="22"/>
          <w:szCs w:val="22"/>
        </w:rPr>
        <w:t xml:space="preserve">Hernández-Sarmiento, J. M., Jaramillo-Jaramillo, L. I., Villegas-Alzate, J. D., Álvarez-Hernández, L. F., Roldan-Tabares, M. D., Ruiz-Mejía, C., … &amp; Martínez-Sánchez, L. M. (2020). La educación en salud como una importante estrategia de promoción y prevención. </w:t>
      </w:r>
      <w:r>
        <w:rPr>
          <w:rFonts w:ascii="Arial" w:cs="Arial" w:eastAsia="Arial" w:hAnsi="Arial"/>
          <w:i/>
          <w:iCs/>
          <w:sz w:val="22"/>
          <w:szCs w:val="22"/>
        </w:rPr>
        <w:t xml:space="preserve">Archivos de Medicina (Manizales)</w:t>
      </w:r>
      <w:r>
        <w:rPr>
          <w:rFonts w:ascii="Arial" w:cs="Arial" w:eastAsia="Arial" w:hAnsi="Arial"/>
          <w:i w:val="false"/>
          <w:iCs w:val="false"/>
          <w:sz w:val="22"/>
          <w:szCs w:val="22"/>
        </w:rPr>
        <w:t xml:space="preserve">, 20(2), 4-20.</w:t>
      </w:r>
    </w:p>
    <w:p>
      <w:pPr>
        <w:spacing w:after="100" w:line="276"/>
        <w:ind w:left="567" w:hanging="567"/>
        <w:jc w:val="left"/>
      </w:pPr>
      <w:r>
        <w:rPr>
          <w:rFonts w:ascii="Arial" w:cs="Arial" w:eastAsia="Arial" w:hAnsi="Arial"/>
          <w:i w:val="false"/>
          <w:iCs w:val="false"/>
          <w:sz w:val="22"/>
          <w:szCs w:val="22"/>
        </w:rPr>
        <w:t xml:space="preserve">Ministerio de la Protección Social. (2007). Decreto 1575 de 2007, por el cual se establece el Sistema para la Protección y Control de la Calidad del Agua para Consumo Humano.</w:t>
      </w:r>
    </w:p>
    <w:p>
      <w:pPr>
        <w:spacing w:after="100" w:line="276"/>
        <w:ind w:left="567" w:hanging="567"/>
        <w:jc w:val="left"/>
      </w:pPr>
      <w:r>
        <w:rPr>
          <w:rFonts w:ascii="Arial" w:cs="Arial" w:eastAsia="Arial" w:hAnsi="Arial"/>
          <w:i w:val="false"/>
          <w:iCs w:val="false"/>
          <w:sz w:val="22"/>
          <w:szCs w:val="22"/>
        </w:rPr>
        <w:t xml:space="preserve">Ministerio de la Protección Social y Ministerio de Ambiente, Vivienda y Desarrollo Territorial. (2007). Resolución 2115 de 2007, por medio de la cual se señalan características, instrumentos básicos y frecuencias del sistema de control y vigilancia para la calidad del agua para consumo humano.</w:t>
      </w:r>
    </w:p>
    <w:p>
      <w:pPr>
        <w:spacing w:after="100" w:line="276"/>
        <w:ind w:left="567" w:hanging="567"/>
        <w:jc w:val="left"/>
      </w:pPr>
      <w:r>
        <w:rPr>
          <w:rFonts w:ascii="Arial" w:cs="Arial" w:eastAsia="Arial" w:hAnsi="Arial"/>
          <w:i w:val="false"/>
          <w:iCs w:val="false"/>
          <w:sz w:val="22"/>
          <w:szCs w:val="22"/>
        </w:rPr>
        <w:t xml:space="preserve">Ministerio de Salud y Protección Social. (2018). Resolución 3280 de 2018, por medio de la cual se adoptan los lineamientos técnicos y operativos de la Ruta Integral de Atención para la Promoción y Mantenimiento de la Salud.</w:t>
      </w:r>
    </w:p>
    <w:p>
      <w:pPr>
        <w:spacing w:after="100" w:line="276"/>
        <w:ind w:left="567" w:hanging="567"/>
        <w:jc w:val="left"/>
      </w:pPr>
      <w:r>
        <w:rPr>
          <w:rFonts w:ascii="Arial" w:cs="Arial" w:eastAsia="Arial" w:hAnsi="Arial"/>
          <w:i w:val="false"/>
          <w:iCs w:val="false"/>
          <w:sz w:val="22"/>
          <w:szCs w:val="22"/>
        </w:rPr>
        <w:t xml:space="preserve">Ministerio de Salud y Protección Social. (2019). Resolución 276 de 2019, por la cual se modifica la Resolución 3280 de 2018.</w:t>
      </w:r>
    </w:p>
    <w:p>
      <w:pPr>
        <w:spacing w:after="100" w:line="276"/>
        <w:ind w:left="567" w:hanging="567"/>
        <w:jc w:val="left"/>
      </w:pPr>
      <w:r>
        <w:rPr>
          <w:rFonts w:ascii="Arial" w:cs="Arial" w:eastAsia="Arial" w:hAnsi="Arial"/>
          <w:i w:val="false"/>
          <w:iCs w:val="false"/>
          <w:sz w:val="22"/>
          <w:szCs w:val="22"/>
        </w:rPr>
        <w:t xml:space="preserve">Ministerio de Salud y Protección Social. (2022). Decreto 681 de 2022, por medio del cual se adopta la Política Pública Nacional de Envejecimiento y Vejez 2022-2031.</w:t>
      </w:r>
    </w:p>
    <w:p>
      <w:pPr>
        <w:spacing w:after="100" w:line="276"/>
        <w:ind w:left="567" w:hanging="567"/>
        <w:jc w:val="left"/>
      </w:pPr>
      <w:r>
        <w:rPr>
          <w:rFonts w:ascii="Arial" w:cs="Arial" w:eastAsia="Arial" w:hAnsi="Arial"/>
          <w:i w:val="false"/>
          <w:iCs w:val="false"/>
          <w:sz w:val="22"/>
          <w:szCs w:val="22"/>
        </w:rPr>
        <w:t xml:space="preserve">Ministerio de Salud y Protección Social. (2022). Resolución 1035 de 2022, por la cual se adopta el Plan Decenal de Salud Pública 2022-2031.</w:t>
      </w:r>
    </w:p>
    <w:p>
      <w:pPr>
        <w:spacing w:after="100" w:line="276"/>
        <w:ind w:left="567" w:hanging="567"/>
        <w:jc w:val="left"/>
      </w:pPr>
      <w:r>
        <w:rPr>
          <w:rFonts w:ascii="Arial" w:cs="Arial" w:eastAsia="Arial" w:hAnsi="Arial"/>
          <w:i w:val="false"/>
          <w:iCs w:val="false"/>
          <w:sz w:val="22"/>
          <w:szCs w:val="22"/>
        </w:rPr>
        <w:t xml:space="preserve">Ministerio de Salud y Protección Social. (2024). Resolución 100 de 2024, por la cual se dictan disposiciones sobre la Planeación Integral para la Salud.</w:t>
      </w:r>
    </w:p>
    <w:p>
      <w:pPr>
        <w:spacing w:after="100" w:line="276"/>
        <w:ind w:left="567" w:hanging="567"/>
        <w:jc w:val="left"/>
      </w:pPr>
      <w:r>
        <w:rPr>
          <w:rFonts w:ascii="Arial" w:cs="Arial" w:eastAsia="Arial" w:hAnsi="Arial"/>
          <w:i w:val="false"/>
          <w:iCs w:val="false"/>
          <w:sz w:val="22"/>
          <w:szCs w:val="22"/>
        </w:rPr>
        <w:t xml:space="preserve">Ministerio de Salud y Protección Social. (2025). Decreto 729 de 2025, por el cual se adopta la Política Nacional de Salud Mental.</w:t>
      </w:r>
    </w:p>
    <w:p>
      <w:pPr>
        <w:spacing w:after="100" w:line="276"/>
        <w:ind w:left="567" w:hanging="567"/>
        <w:jc w:val="left"/>
      </w:pPr>
      <w:r>
        <w:rPr>
          <w:rFonts w:ascii="Arial" w:cs="Arial" w:eastAsia="Arial" w:hAnsi="Arial"/>
          <w:i w:val="false"/>
          <w:iCs w:val="false"/>
          <w:sz w:val="22"/>
          <w:szCs w:val="22"/>
        </w:rPr>
        <w:t xml:space="preserve">Ministerio de Salud y Protección Social. (2025). Resolución 1597 de 2025, por la cual se establecen disposiciones para la gestión territorial integral de la salud pública y el Plan de Salud Pública de Intervenciones Colectivas. https://www.minsalud.gov.co/Normatividad_Nuevo/Resolucion%20No%201597%20de%202025.pdf</w:t>
      </w:r>
    </w:p>
    <w:p>
      <w:pPr>
        <w:spacing w:after="100" w:line="276"/>
        <w:ind w:left="567" w:hanging="567"/>
        <w:jc w:val="left"/>
      </w:pPr>
      <w:r>
        <w:rPr>
          <w:rFonts w:ascii="Arial" w:cs="Arial" w:eastAsia="Arial" w:hAnsi="Arial"/>
          <w:i w:val="false"/>
          <w:iCs w:val="false"/>
          <w:sz w:val="22"/>
          <w:szCs w:val="22"/>
        </w:rPr>
        <w:t xml:space="preserve">Organización Mundial de la Salud. (2021). </w:t>
      </w:r>
      <w:r>
        <w:rPr>
          <w:rFonts w:ascii="Arial" w:cs="Arial" w:eastAsia="Arial" w:hAnsi="Arial"/>
          <w:i/>
          <w:iCs/>
          <w:sz w:val="22"/>
          <w:szCs w:val="22"/>
        </w:rPr>
        <w:t xml:space="preserve">Estrategia mundial para acelerar la eliminación del cáncer del cuello uterino como problema de salud pública</w:t>
      </w:r>
      <w:r>
        <w:rPr>
          <w:rFonts w:ascii="Arial" w:cs="Arial" w:eastAsia="Arial" w:hAnsi="Arial"/>
          <w:i w:val="false"/>
          <w:iCs w:val="false"/>
          <w:sz w:val="22"/>
          <w:szCs w:val="22"/>
        </w:rPr>
        <w:t xml:space="preserve"> (pp. 43-48). OMS.</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2026-10-14T22:19:18.605Z</dcterms:created>
  <dcterms:modified xsi:type="dcterms:W3CDTF">2026-10-14T22:19:18.605Z</dcterms:modified>
</cp:coreProperties>
</file>

<file path=docProps/custom.xml><?xml version="1.0" encoding="utf-8"?>
<Properties xmlns="http://schemas.openxmlformats.org/officeDocument/2006/custom-properties" xmlns:vt="http://schemas.openxmlformats.org/officeDocument/2006/docPropsVTypes"/>
</file>