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jc w:val="center"/>
      </w:pPr>
      <w:r>
        <w:rPr>
          <w:rFonts w:ascii="Arial" w:cs="Arial" w:eastAsia="Arial" w:hAnsi="Arial"/>
          <w:b w:val="false"/>
          <w:bCs w:val="false"/>
          <w:sz w:val="24"/>
          <w:szCs w:val="24"/>
        </w:rPr>
        <w:t xml:space="preserve"/>
      </w:r>
    </w:p>
    <w:p>
      <w:pPr>
        <w:spacing w:after="200"/>
        <w:jc w:val="center"/>
      </w:pPr>
      <w:r>
        <w:rPr>
          <w:rFonts w:ascii="Arial" w:cs="Arial" w:eastAsia="Arial" w:hAnsi="Arial"/>
          <w:b/>
          <w:bCs/>
          <w:sz w:val="36"/>
          <w:szCs w:val="36"/>
        </w:rPr>
        <w:t xml:space="preserve">La guía no es un papel</w:t>
      </w:r>
    </w:p>
    <w:p>
      <w:pPr>
        <w:spacing w:after="900"/>
        <w:jc w:val="center"/>
      </w:pPr>
      <w:r>
        <w:rPr>
          <w:rFonts w:ascii="Arial" w:cs="Arial" w:eastAsia="Arial" w:hAnsi="Arial"/>
          <w:b w:val="false"/>
          <w:bCs w:val="false"/>
          <w:sz w:val="26"/>
          <w:szCs w:val="26"/>
        </w:rPr>
        <w:t xml:space="preserve">Análisis de la importancia de las guías y protocolos en salud</w:t>
      </w:r>
    </w:p>
    <w:p>
      <w:pPr>
        <w:spacing w:after="700"/>
        <w:jc w:val="center"/>
      </w:pPr>
      <w:r>
        <w:rPr>
          <w:rFonts w:ascii="Arial" w:cs="Arial" w:eastAsia="Arial" w:hAnsi="Arial"/>
          <w:b w:val="false"/>
          <w:bCs w:val="false"/>
          <w:sz w:val="22"/>
          <w:szCs w:val="22"/>
        </w:rPr>
        <w:t xml:space="preserve">Video</w:t>
      </w:r>
    </w:p>
    <w:p>
      <w:pPr>
        <w:spacing w:after="500"/>
        <w:jc w:val="center"/>
      </w:pPr>
      <w:r>
        <w:rPr>
          <w:rFonts w:ascii="Arial" w:cs="Arial" w:eastAsia="Arial" w:hAnsi="Arial"/>
          <w:b/>
          <w:bCs/>
          <w:sz w:val="24"/>
          <w:szCs w:val="24"/>
        </w:rPr>
        <w:t xml:space="preserve">Yina Vanessa Cadena Mantilla</w:t>
      </w:r>
    </w:p>
    <w:p>
      <w:pPr>
        <w:spacing w:after="120"/>
        <w:jc w:val="center"/>
      </w:pPr>
      <w:r>
        <w:rPr>
          <w:rFonts w:ascii="Arial" w:cs="Arial" w:eastAsia="Arial" w:hAnsi="Arial"/>
          <w:b w:val="false"/>
          <w:bCs w:val="false"/>
          <w:sz w:val="24"/>
          <w:szCs w:val="24"/>
        </w:rPr>
        <w:t xml:space="preserve">Especialización en Gerencia y Auditoría de la Calidad en Salud</w:t>
      </w:r>
    </w:p>
    <w:p>
      <w:pPr>
        <w:spacing w:after="120"/>
        <w:jc w:val="center"/>
      </w:pPr>
      <w:r>
        <w:rPr>
          <w:rFonts w:ascii="Arial" w:cs="Arial" w:eastAsia="Arial" w:hAnsi="Arial"/>
          <w:b w:val="false"/>
          <w:bCs w:val="false"/>
          <w:sz w:val="24"/>
          <w:szCs w:val="24"/>
        </w:rPr>
        <w:t xml:space="preserve">Curso: Normatividad Regulación Salud</w:t>
      </w:r>
    </w:p>
    <w:p>
      <w:pPr>
        <w:spacing w:after="500"/>
        <w:jc w:val="center"/>
      </w:pPr>
      <w:r>
        <w:rPr>
          <w:rFonts w:ascii="Arial" w:cs="Arial" w:eastAsia="Arial" w:hAnsi="Arial"/>
          <w:b w:val="false"/>
          <w:bCs w:val="false"/>
          <w:sz w:val="24"/>
          <w:szCs w:val="24"/>
        </w:rPr>
        <w:t xml:space="preserve">Semana 8: Video. Análisis de la importancia de las guías y protocolos en salud</w:t>
      </w:r>
    </w:p>
    <w:p>
      <w:pPr>
        <w:spacing w:after="500"/>
        <w:jc w:val="center"/>
      </w:pPr>
      <w:r>
        <w:rPr>
          <w:rFonts w:ascii="Arial" w:cs="Arial" w:eastAsia="Arial" w:hAnsi="Arial"/>
          <w:b w:val="false"/>
          <w:bCs w:val="false"/>
          <w:sz w:val="24"/>
          <w:szCs w:val="24"/>
        </w:rPr>
        <w:t xml:space="preserve">Docente: Martha Cecilia Ordoñez Ocasion</w:t>
      </w:r>
    </w:p>
    <w:p>
      <w:pPr>
        <w:spacing w:after="120"/>
        <w:jc w:val="center"/>
      </w:pPr>
      <w:r>
        <w:rPr>
          <w:rFonts w:ascii="Arial" w:cs="Arial" w:eastAsia="Arial" w:hAnsi="Arial"/>
          <w:b w:val="false"/>
          <w:bCs w:val="false"/>
          <w:sz w:val="24"/>
          <w:szCs w:val="24"/>
        </w:rPr>
        <w:t xml:space="preserve">Corporación Universitaria Minuto de Dios – UNIMINUTO</w:t>
      </w:r>
    </w:p>
    <w:p>
      <w:pPr>
        <w:spacing w:after="500"/>
        <w:jc w:val="center"/>
      </w:pPr>
      <w:r>
        <w:rPr>
          <w:rFonts w:ascii="Arial" w:cs="Arial" w:eastAsia="Arial" w:hAnsi="Arial"/>
          <w:b w:val="false"/>
          <w:bCs w:val="false"/>
          <w:sz w:val="24"/>
          <w:szCs w:val="24"/>
        </w:rPr>
        <w:t xml:space="preserve">[Fecha de entrega]</w:t>
      </w:r>
    </w:p>
    <w:p>
      <w:pPr>
        <w:spacing w:after="120"/>
        <w:jc w:val="center"/>
      </w:pPr>
      <w:r>
        <w:rPr>
          <w:rFonts w:ascii="Arial" w:cs="Arial" w:eastAsia="Arial" w:hAnsi="Arial"/>
          <w:b/>
          <w:bCs/>
          <w:sz w:val="24"/>
          <w:szCs w:val="24"/>
        </w:rPr>
        <w:t xml:space="preserve">Enlace del video en YouTube: [pegar aquí el enlace]</w:t>
      </w:r>
    </w:p>
    <w:p>
      <w:r>
        <w:br w:type="page"/>
      </w:r>
    </w:p>
    <w:p>
      <w:pPr>
        <w:pStyle w:val="Heading1"/>
        <w:spacing w:after="120" w:before="240"/>
      </w:pPr>
      <w:r>
        <w:rPr>
          <w:rFonts w:ascii="Arial" w:cs="Arial" w:eastAsia="Arial" w:hAnsi="Arial"/>
          <w:b/>
          <w:bCs/>
          <w:color w:val="1F3864"/>
          <w:sz w:val="26"/>
          <w:szCs w:val="26"/>
        </w:rPr>
        <w:t xml:space="preserve">Introducción</w:t>
      </w:r>
    </w:p>
    <w:p>
      <w:pPr>
        <w:spacing w:after="80" w:line="259"/>
        <w:ind w:firstLine="567"/>
        <w:jc w:val="both"/>
      </w:pPr>
      <w:r>
        <w:rPr>
          <w:rFonts w:ascii="Arial" w:cs="Arial" w:eastAsia="Arial" w:hAnsi="Arial"/>
          <w:sz w:val="22"/>
          <w:szCs w:val="22"/>
        </w:rPr>
        <w:t xml:space="preserve">Las guías de práctica clínica y los protocolos traducen la mejor evidencia científica en decisiones concretas al lado del paciente. Como señalan Arias Capote et al. (2019), reducen la variabilidad injustificada de la práctica clínica sin reemplazar el juicio del profesional, y su calidad depende de una metodología rigurosa de elaboración y actualización (Torres-Tamayo et al., 2020). Este trabajo analiza su importancia a partir de un caso real ocurrido en Santander en 2025, revisa el marco normativo colombiano por cursos de vida y el marco legal del daño médico, y propone acciones de mejora. Al final se presenta el guion del video y la guía para editarlo en Clipchamp.</w:t>
      </w:r>
    </w:p>
    <w:p>
      <w:pPr>
        <w:pStyle w:val="Heading1"/>
        <w:spacing w:after="120" w:before="240"/>
      </w:pPr>
      <w:r>
        <w:rPr>
          <w:rFonts w:ascii="Arial" w:cs="Arial" w:eastAsia="Arial" w:hAnsi="Arial"/>
          <w:b/>
          <w:bCs/>
          <w:color w:val="1F3864"/>
          <w:sz w:val="26"/>
          <w:szCs w:val="26"/>
        </w:rPr>
        <w:t xml:space="preserve">1. Situación real: muerte de una niña por dengue en Floridablanca</w:t>
      </w:r>
    </w:p>
    <w:p>
      <w:pPr>
        <w:spacing w:after="80" w:line="259"/>
        <w:ind w:firstLine="567"/>
        <w:jc w:val="both"/>
      </w:pPr>
      <w:r>
        <w:rPr>
          <w:rFonts w:ascii="Arial" w:cs="Arial" w:eastAsia="Arial" w:hAnsi="Arial"/>
          <w:sz w:val="22"/>
          <w:szCs w:val="22"/>
        </w:rPr>
        <w:t xml:space="preserve">En 2025, Santander fue el departamento con más casos de dengue del país, con más de 9.000 casos notificados (Vanguardia, 2025; El Tiempo, 2025). En ese contexto, una niña de 10 años de Floridablanca empezó con fiebre alta el 26 de octubre. Según el relato de su familia, en el primer centro de atención le aplicaron suero y le dieron salida el mismo día porque sus plaquetas estaban bien. El 28 de octubre regresó con dengue grave, fue hospitalizada e intubada, y falleció el 1 de noviembre de 2025 (El Tiempo, 2025; Infobae, 2025).</w:t>
      </w:r>
    </w:p>
    <w:p>
      <w:pPr>
        <w:spacing w:after="80" w:line="259"/>
        <w:jc w:val="both"/>
      </w:pPr>
      <w:r>
        <w:rPr>
          <w:rFonts w:ascii="Arial" w:cs="Arial" w:eastAsia="Arial" w:hAnsi="Arial"/>
          <w:b/>
          <w:bCs/>
          <w:sz w:val="22"/>
          <w:szCs w:val="22"/>
        </w:rPr>
        <w:t xml:space="preserve">Aclaración ética: </w:t>
      </w:r>
      <w:r>
        <w:rPr>
          <w:rFonts w:ascii="Arial" w:cs="Arial" w:eastAsia="Arial" w:hAnsi="Arial"/>
          <w:sz w:val="22"/>
          <w:szCs w:val="22"/>
        </w:rPr>
        <w:t xml:space="preserve">la familia denuncia una presunta negligencia y el caso está en investigación; por eso el análisis se plantea en términos de lo que la guía exige y no da por probada una falla. Por respeto a la menor, el video no usa su nombre.</w:t>
      </w:r>
    </w:p>
    <w:p>
      <w:pPr>
        <w:pStyle w:val="Heading1"/>
        <w:spacing w:after="120" w:before="240"/>
      </w:pPr>
      <w:r>
        <w:rPr>
          <w:rFonts w:ascii="Arial" w:cs="Arial" w:eastAsia="Arial" w:hAnsi="Arial"/>
          <w:b/>
          <w:bCs/>
          <w:color w:val="1F3864"/>
          <w:sz w:val="26"/>
          <w:szCs w:val="26"/>
        </w:rPr>
        <w:t xml:space="preserve">2. Proceso clínico: qué se debía hacer según la guía</w:t>
      </w:r>
    </w:p>
    <w:p>
      <w:pPr>
        <w:spacing w:after="80" w:line="259"/>
        <w:ind w:firstLine="567"/>
        <w:jc w:val="both"/>
      </w:pPr>
      <w:r>
        <w:rPr>
          <w:rFonts w:ascii="Arial" w:cs="Arial" w:eastAsia="Arial" w:hAnsi="Arial"/>
          <w:sz w:val="22"/>
          <w:szCs w:val="22"/>
        </w:rPr>
        <w:t xml:space="preserve">La Guía para la atención clínica integral del paciente con dengue del Ministerio de Salud y Protección Social, su algoritmo clínico (2019) y los algoritmos de la Organización Panamericana de la Salud (2020) establecen que todo paciente con sospecha de dengue debe clasificarse según la presencia de signos de alarma, las condiciones asociadas y el riesgo social:</w:t>
      </w:r>
    </w:p>
    <w:p>
      <w:pPr>
        <w:keepNext/>
        <w:spacing w:after="60" w:before="120"/>
      </w:pPr>
      <w:r>
        <w:rPr>
          <w:rFonts w:ascii="Arial" w:cs="Arial" w:eastAsia="Arial" w:hAnsi="Arial"/>
          <w:b/>
          <w:bCs/>
          <w:sz w:val="20"/>
          <w:szCs w:val="20"/>
        </w:rPr>
        <w:t xml:space="preserve">Tabla 1</w:t>
      </w:r>
    </w:p>
    <w:p>
      <w:pPr>
        <w:keepNext/>
        <w:spacing w:after="80"/>
      </w:pPr>
      <w:r>
        <w:rPr>
          <w:rFonts w:ascii="Arial" w:cs="Arial" w:eastAsia="Arial" w:hAnsi="Arial"/>
          <w:i/>
          <w:iCs/>
          <w:sz w:val="20"/>
          <w:szCs w:val="20"/>
        </w:rPr>
        <w:t xml:space="preserve">Clasificación y conducta según la guía de dengue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Grupo</w:t>
            </w:r>
          </w:p>
        </w:tc>
        <w:tc>
          <w:tcPr>
            <w:tcW w:type="dxa" w:w="393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Criterios</w:t>
            </w:r>
          </w:p>
        </w:tc>
        <w:tc>
          <w:tcPr>
            <w:tcW w:type="dxa" w:w="393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Conducta</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w:t>
            </w:r>
          </w:p>
        </w:tc>
        <w:tc>
          <w:tcPr>
            <w:tcW w:type="dxa" w:w="393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signos de alarma, tolera la vía oral, orina con normalidad, sin comorbilidades ni riesgo social.</w:t>
            </w:r>
          </w:p>
        </w:tc>
        <w:tc>
          <w:tcPr>
            <w:tcW w:type="dxa" w:w="393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Manejo en casa con hidratación oral y acetaminofén (sin antiinflamatorios), control médico diario durante la fase crítica y signos de alarma entregados por escrito.</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B</w:t>
            </w:r>
          </w:p>
        </w:tc>
        <w:tc>
          <w:tcPr>
            <w:tcW w:type="dxa" w:w="393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 signos de alarma, o con condiciones asociadas (comorbilidades, embarazo, riesgo social).</w:t>
            </w:r>
          </w:p>
        </w:tc>
        <w:tc>
          <w:tcPr>
            <w:tcW w:type="dxa" w:w="393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Hospitalización, líquidos intravenosos y vigilancia estrecha del hematocrito y los signos vitales.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w:t>
            </w:r>
          </w:p>
        </w:tc>
        <w:tc>
          <w:tcPr>
            <w:tcW w:type="dxa" w:w="393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Dengue grave: choque, sangrado grave o compromiso grave de órganos.</w:t>
            </w:r>
          </w:p>
        </w:tc>
        <w:tc>
          <w:tcPr>
            <w:tcW w:type="dxa" w:w="393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Atención de urgencia y manejo en cuidado intensivo.</w:t>
            </w:r>
          </w:p>
        </w:tc>
      </w:tr>
    </w:tbl>
    <w:p>
      <w:pPr>
        <w:spacing w:after="80" w:line="259"/>
        <w:jc w:val="both"/>
      </w:pPr>
      <w:r>
        <w:rPr>
          <w:rFonts w:ascii="Arial" w:cs="Arial" w:eastAsia="Arial" w:hAnsi="Arial"/>
          <w:b/>
          <w:bCs/>
          <w:sz w:val="22"/>
          <w:szCs w:val="22"/>
        </w:rPr>
        <w:t xml:space="preserve">Signos de alarma: </w:t>
      </w:r>
      <w:r>
        <w:rPr>
          <w:rFonts w:ascii="Arial" w:cs="Arial" w:eastAsia="Arial" w:hAnsi="Arial"/>
          <w:sz w:val="22"/>
          <w:szCs w:val="22"/>
        </w:rPr>
        <w:t xml:space="preserve">dolor abdominal intenso y continuo, vómito persistente, acumulación de líquidos, sangrado de mucosas, somnolencia o irritabilidad, hepatomegalia y aumento progresivo del hematocrito. La fase crítica suele aparecer cuando cede la fiebre, entre el tercer y el séptimo día.</w:t>
      </w:r>
    </w:p>
    <w:p>
      <w:pPr>
        <w:spacing w:after="80" w:line="259"/>
        <w:jc w:val="both"/>
      </w:pPr>
      <w:r>
        <w:rPr>
          <w:rFonts w:ascii="Arial" w:cs="Arial" w:eastAsia="Arial" w:hAnsi="Arial"/>
          <w:b/>
          <w:bCs/>
          <w:sz w:val="22"/>
          <w:szCs w:val="22"/>
        </w:rPr>
        <w:t xml:space="preserve">Análisis frente al caso: </w:t>
      </w:r>
      <w:r>
        <w:rPr>
          <w:rFonts w:ascii="Arial" w:cs="Arial" w:eastAsia="Arial" w:hAnsi="Arial"/>
          <w:sz w:val="22"/>
          <w:szCs w:val="22"/>
        </w:rPr>
        <w:t xml:space="preserve">si se confirma el relato de la familia, la decisión de salida se habría basado en el recuento de plaquetas, un dato que por sí solo no descarta el riesgo. La guía exige clasificar por signos de alarma y, si el paciente se maneja en casa, garantizar el control en 24 horas, la educación escrita sobre signos de alarma y el registro completo en la historia clínica. La investigación del caso determinará si esto se cumplió.</w:t>
      </w:r>
    </w:p>
    <w:p>
      <w:pPr>
        <w:spacing w:after="80" w:line="259"/>
        <w:jc w:val="both"/>
      </w:pPr>
      <w:r>
        <w:rPr>
          <w:rFonts w:ascii="Arial" w:cs="Arial" w:eastAsia="Arial" w:hAnsi="Arial"/>
          <w:b/>
          <w:bCs/>
          <w:sz w:val="22"/>
          <w:szCs w:val="22"/>
        </w:rPr>
        <w:t xml:space="preserve">Consecuencias de cumplir la guía: </w:t>
      </w:r>
      <w:r>
        <w:rPr>
          <w:rFonts w:ascii="Arial" w:cs="Arial" w:eastAsia="Arial" w:hAnsi="Arial"/>
          <w:sz w:val="22"/>
          <w:szCs w:val="22"/>
        </w:rPr>
        <w:t xml:space="preserve">la adherencia cambia el desenlace. La detección oportuna de los signos de alarma y el acceso a una atención adecuada reducen la mortalidad del dengue grave a menos del 1 %, y en 2025 la letalidad regional reportada por la Organización Panamericana de la Salud fue de 0,05 %. Por el contrario, una salida sin clasificación ni control deja al paciente sin vigilancia justo antes de la fase crítica, que es cuando aparecen el choque y las complicaciones.</w:t>
      </w:r>
    </w:p>
    <w:p>
      <w:pPr>
        <w:pStyle w:val="Heading1"/>
        <w:spacing w:after="120" w:before="240"/>
      </w:pPr>
      <w:r>
        <w:rPr>
          <w:rFonts w:ascii="Arial" w:cs="Arial" w:eastAsia="Arial" w:hAnsi="Arial"/>
          <w:b/>
          <w:bCs/>
          <w:color w:val="1F3864"/>
          <w:sz w:val="26"/>
          <w:szCs w:val="26"/>
        </w:rPr>
        <w:t xml:space="preserve">3. Marco normativo colombiano por cursos de vida</w:t>
      </w:r>
    </w:p>
    <w:p>
      <w:pPr>
        <w:spacing w:after="80" w:line="259"/>
        <w:ind w:firstLine="567"/>
        <w:jc w:val="both"/>
      </w:pPr>
      <w:r>
        <w:rPr>
          <w:rFonts w:ascii="Arial" w:cs="Arial" w:eastAsia="Arial" w:hAnsi="Arial"/>
          <w:sz w:val="22"/>
          <w:szCs w:val="22"/>
        </w:rPr>
        <w:t xml:space="preserve">En Colombia, las guías y protocolos tienen respaldo legal. La Ley 1751 de 2015 (art. 17) garantiza la autonomía profesional, pero ejercida con ética, racionalidad y evidencia científica; la Ley 1438 de 2011 (art. 94) define los estándares, guías y protocolos como referentes basados en evidencia; el Decreto 780 de 2016 incorpora el Sistema Obligatorio de Garantía de Calidad, con la auditoría para el mejoramiento (PAMEC), y la Resolución 3100 de 2019, modificada entre otras por la Resolución 465 de 2025, exige a los prestadores adoptar guías y protocolos para habilitar sus servicios. La Resolución 3280 de 2018 organiza la atención por cursos de vida mediante las Rutas Integrales de Atención en Salud (RIAS):</w:t>
      </w:r>
    </w:p>
    <w:p>
      <w:pPr>
        <w:keepNext/>
        <w:spacing w:after="60" w:before="120"/>
      </w:pPr>
      <w:r>
        <w:rPr>
          <w:rFonts w:ascii="Arial" w:cs="Arial" w:eastAsia="Arial" w:hAnsi="Arial"/>
          <w:b/>
          <w:bCs/>
          <w:sz w:val="20"/>
          <w:szCs w:val="20"/>
        </w:rPr>
        <w:t xml:space="preserve">Tabla 2</w:t>
      </w:r>
    </w:p>
    <w:p>
      <w:pPr>
        <w:keepNext/>
        <w:spacing w:after="80"/>
      </w:pPr>
      <w:r>
        <w:rPr>
          <w:rFonts w:ascii="Arial" w:cs="Arial" w:eastAsia="Arial" w:hAnsi="Arial"/>
          <w:i/>
          <w:iCs/>
          <w:sz w:val="20"/>
          <w:szCs w:val="20"/>
        </w:rPr>
        <w:t xml:space="preserve">Normas, guías y protocolos por curso de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60"/>
        <w:gridCol w:w="3100"/>
      </w:tblGrid>
      <w:tr>
        <w:trPr>
          <w:tblHeader/>
        </w:trPr>
        <w:tc>
          <w:tcPr>
            <w:tcW w:type="dxa" w:w="21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Curso de vida</w:t>
            </w:r>
          </w:p>
        </w:tc>
        <w:tc>
          <w:tcPr>
            <w:tcW w:type="dxa" w:w="41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Normas, guías y protocolos</w:t>
            </w:r>
          </w:p>
        </w:tc>
        <w:tc>
          <w:tcPr>
            <w:tcW w:type="dxa" w:w="31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Ejemplo aplicado</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Gestación</w:t>
            </w:r>
          </w:p>
        </w:tc>
        <w:tc>
          <w:tcPr>
            <w:tcW w:type="dxa" w:w="41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(Ruta Integral de Atención Materno Perinatal); guías de práctica clínica de embarazo y puerperio; Ley 2244 de 2022 (parto digno).</w:t>
            </w:r>
          </w:p>
        </w:tc>
        <w:tc>
          <w:tcPr>
            <w:tcW w:type="dxa" w:w="3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Ante una hemorragia posparto se activa el código rojo y el equipo actúa en minutos, con funciones definidas para cada integrante.</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Primera infancia e infancia</w:t>
            </w:r>
          </w:p>
        </w:tc>
        <w:tc>
          <w:tcPr>
            <w:tcW w:type="dxa" w:w="41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(valoración integral y vacunación); estrategia AIEPI; Resolución 2350 de 2020, modificada por la Resolución 115 de 2026 (desnutrición aguda); Guía de atención clínica integral del dengue.</w:t>
            </w:r>
          </w:p>
        </w:tc>
        <w:tc>
          <w:tcPr>
            <w:tcW w:type="dxa" w:w="3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 el caso analizado, la guía de dengue define si el niño se maneja en casa con control diario o si debe hospitalizarse.</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Adolescencia y juventud</w:t>
            </w:r>
          </w:p>
        </w:tc>
        <w:tc>
          <w:tcPr>
            <w:tcW w:type="dxa" w:w="41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(salud sexual y reproductiva, salud mental); Resolución 459 de 2012 (protocolo de atención a víctimas de violencia sexual); Ley 1616 de 2013 (salud mental).</w:t>
            </w:r>
          </w:p>
        </w:tc>
        <w:tc>
          <w:tcPr>
            <w:tcW w:type="dxa" w:w="3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Una víctima de violencia sexual se atiende como urgencia médica, con profilaxis y anticoncepción de emergencia dentro de las primeras 72 horas.</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Adultez</w:t>
            </w:r>
          </w:p>
        </w:tc>
        <w:tc>
          <w:tcPr>
            <w:tcW w:type="dxa" w:w="41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(tamizajes de riesgo cardiovascular y cáncer); guías de práctica clínica de hipertensión arterial y diabetes tipo 2 del Ministerio de Salud.</w:t>
            </w:r>
          </w:p>
        </w:tc>
        <w:tc>
          <w:tcPr>
            <w:tcW w:type="dxa" w:w="3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Las guías de hipertensión y diabetes fijan metas de control de la presión arterial y la glucosa en cada consulta.</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Vejez</w:t>
            </w:r>
          </w:p>
        </w:tc>
        <w:tc>
          <w:tcPr>
            <w:tcW w:type="dxa" w:w="41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(valoración integral de la persona mayor); Decreto 681 de 2022 (Política Pública Nacional de Envejecimiento y Vejez 2022-2031).</w:t>
            </w:r>
          </w:p>
        </w:tc>
        <w:tc>
          <w:tcPr>
            <w:tcW w:type="dxa" w:w="3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 cada control se valora el riesgo de caídas y la funcionalidad, para prevenir fracturas y pérdida de autonomía.</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Vigencia verificada en fuentes oficiales y compilaciones normativas. La Resolución 459 de 2012 tiene un proyecto de reemplazo publicado en 2026 que aún no ha sido expedido.</w:t>
      </w:r>
    </w:p>
    <w:p>
      <w:pPr>
        <w:pStyle w:val="Heading1"/>
        <w:spacing w:after="120" w:before="240"/>
      </w:pPr>
      <w:r>
        <w:rPr>
          <w:rFonts w:ascii="Arial" w:cs="Arial" w:eastAsia="Arial" w:hAnsi="Arial"/>
          <w:b/>
          <w:bCs/>
          <w:color w:val="1F3864"/>
          <w:sz w:val="26"/>
          <w:szCs w:val="26"/>
        </w:rPr>
        <w:t xml:space="preserve">4. Marco legal del daño médico</w:t>
      </w:r>
    </w:p>
    <w:p>
      <w:pPr>
        <w:spacing w:after="80" w:line="259"/>
        <w:ind w:firstLine="567"/>
        <w:jc w:val="both"/>
      </w:pPr>
      <w:r>
        <w:rPr>
          <w:rFonts w:ascii="Arial" w:cs="Arial" w:eastAsia="Arial" w:hAnsi="Arial"/>
          <w:sz w:val="22"/>
          <w:szCs w:val="22"/>
        </w:rPr>
        <w:t xml:space="preserve">Cuando la falta de adherencia a una guía o protocolo causa un daño, pueden surgir cuatro tipos de responsabilidad:</w:t>
      </w:r>
    </w:p>
    <w:p>
      <w:pPr>
        <w:keepNext/>
        <w:spacing w:after="60" w:before="120"/>
      </w:pPr>
      <w:r>
        <w:rPr>
          <w:rFonts w:ascii="Arial" w:cs="Arial" w:eastAsia="Arial" w:hAnsi="Arial"/>
          <w:b/>
          <w:bCs/>
          <w:sz w:val="20"/>
          <w:szCs w:val="20"/>
        </w:rPr>
        <w:t xml:space="preserve">Tabla 3</w:t>
      </w:r>
    </w:p>
    <w:p>
      <w:pPr>
        <w:keepNext/>
        <w:spacing w:after="80"/>
      </w:pPr>
      <w:r>
        <w:rPr>
          <w:rFonts w:ascii="Arial" w:cs="Arial" w:eastAsia="Arial" w:hAnsi="Arial"/>
          <w:i/>
          <w:iCs/>
          <w:sz w:val="20"/>
          <w:szCs w:val="20"/>
        </w:rPr>
        <w:t xml:space="preserve">Tipos de responsabilidad por daño en la atención en 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Tipo</w:t>
            </w:r>
          </w:p>
        </w:tc>
        <w:tc>
          <w:tcPr>
            <w:tcW w:type="dxa" w:w="32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Fundamento</w:t>
            </w:r>
          </w:p>
        </w:tc>
        <w:tc>
          <w:tcPr>
            <w:tcW w:type="dxa" w:w="40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Consecuencia</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Civil</w:t>
            </w:r>
          </w:p>
        </w:tc>
        <w:tc>
          <w:tcPr>
            <w:tcW w:type="dxa" w:w="32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Código Civil, art. 2341 (responsabilidad extracontractual) y responsabilidad contractual con el paciente.</w:t>
            </w:r>
          </w:p>
        </w:tc>
        <w:tc>
          <w:tcPr>
            <w:tcW w:type="dxa" w:w="4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Indemnizar los perjuicios materiales y morales causados al paciente y a su familia.</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Penal</w:t>
            </w:r>
          </w:p>
        </w:tc>
        <w:tc>
          <w:tcPr>
            <w:tcW w:type="dxa" w:w="32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Ley 599 de 2000 (Código Penal), arts. 109 (homicidio culposo) y 120 (lesiones personales culposas).</w:t>
            </w:r>
          </w:p>
        </w:tc>
        <w:tc>
          <w:tcPr>
            <w:tcW w:type="dxa" w:w="4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Prisión, multa e inhabilidad para ejercer la profesión.</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Ético-disciplinaria</w:t>
            </w:r>
          </w:p>
        </w:tc>
        <w:tc>
          <w:tcPr>
            <w:tcW w:type="dxa" w:w="32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Ley 23 de 1981 (ética médica) y Ley 911 de 2004 (ética de enfermería), con sus tribunales de ética.</w:t>
            </w:r>
          </w:p>
        </w:tc>
        <w:tc>
          <w:tcPr>
            <w:tcW w:type="dxa" w:w="4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Amonestación, censura o suspensión del ejercicio profesional.</w:t>
            </w:r>
          </w:p>
        </w:tc>
      </w:tr>
      <w:tr>
        <w:trPr>
          <w:tblHeader w:val="false"/>
        </w:trPr>
        <w:tc>
          <w:tcPr>
            <w:tcW w:type="dxa" w:w="21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Administrativa</w:t>
            </w:r>
          </w:p>
        </w:tc>
        <w:tc>
          <w:tcPr>
            <w:tcW w:type="dxa" w:w="32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Constitución Política, art. 90 (responsabilidad patrimonial del Estado), medio de control de reparación directa y Ley 1949 de 2019 (régimen sancionatorio de la Supersalud).</w:t>
            </w:r>
          </w:p>
        </w:tc>
        <w:tc>
          <w:tcPr>
            <w:tcW w:type="dxa" w:w="4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Condena patrimonial de la institución pública; multas y medidas de la Superintendencia Nacional de Salud contra la EPS o la IPS.</w:t>
            </w:r>
          </w:p>
        </w:tc>
      </w:tr>
    </w:tbl>
    <w:p>
      <w:pPr>
        <w:spacing w:after="80" w:line="259"/>
        <w:ind w:firstLine="567"/>
        <w:jc w:val="both"/>
      </w:pPr>
      <w:r>
        <w:rPr>
          <w:rFonts w:ascii="Arial" w:cs="Arial" w:eastAsia="Arial" w:hAnsi="Arial"/>
          <w:sz w:val="22"/>
          <w:szCs w:val="22"/>
        </w:rPr>
        <w:t xml:space="preserve">La jurisprudencia del Consejo de Estado aplica a la actividad médica el régimen de la falla probada del servicio, y en general la obligación del médico se entiende como de medios y no de resultados: no se le exige curar, sino actuar con la diligencia de la lex artis. Para que exista responsabilidad deben probarse el daño, la falla y el nexo causal. En ese análisis, las guías de práctica clínica son el referente con el que se compara la atención, y la historia clínica (Resolución 1995 de 1999) es la prueba de si se siguieron y de por qué se tomaron las decisiones.</w:t>
      </w:r>
    </w:p>
    <w:p>
      <w:pPr>
        <w:pStyle w:val="Heading2"/>
        <w:spacing w:after="100" w:before="180"/>
      </w:pPr>
      <w:r>
        <w:rPr>
          <w:rFonts w:ascii="Arial" w:cs="Arial" w:eastAsia="Arial" w:hAnsi="Arial"/>
          <w:b/>
          <w:bCs/>
          <w:color w:val="2E5496"/>
          <w:sz w:val="23"/>
          <w:szCs w:val="23"/>
        </w:rPr>
        <w:t xml:space="preserve">4.1 Ejemplos de consecuencias concretas</w:t>
      </w:r>
    </w:p>
    <w:p>
      <w:pPr>
        <w:pStyle w:val="ListParagraph"/>
        <w:numPr>
          <w:ilvl w:val="0"/>
          <w:numId w:val="2"/>
        </w:numPr>
        <w:spacing w:after="60" w:line="290"/>
        <w:jc w:val="both"/>
      </w:pPr>
      <w:r>
        <w:rPr>
          <w:rFonts w:ascii="Arial" w:cs="Arial" w:eastAsia="Arial" w:hAnsi="Arial"/>
          <w:b/>
          <w:bCs/>
          <w:sz w:val="22"/>
          <w:szCs w:val="22"/>
        </w:rPr>
        <w:t xml:space="preserve">Consecuencia penal (Barrancabermeja, 2026): </w:t>
      </w:r>
      <w:r>
        <w:rPr>
          <w:rFonts w:ascii="Arial" w:cs="Arial" w:eastAsia="Arial" w:hAnsi="Arial"/>
          <w:sz w:val="22"/>
          <w:szCs w:val="22"/>
        </w:rPr>
        <w:t xml:space="preserve">un médico fue condenado en primera instancia a cuatro años de prisión por homicidio culposo, tras la muerte de una paciente en un procedimiento estético e invasivo para el que, según Medicina Legal, no tenía la especialización ni la licencia requeridas (El Colombiano, 2026).</w:t>
      </w:r>
    </w:p>
    <w:p>
      <w:pPr>
        <w:pStyle w:val="ListParagraph"/>
        <w:numPr>
          <w:ilvl w:val="0"/>
          <w:numId w:val="2"/>
        </w:numPr>
        <w:spacing w:after="60" w:line="290"/>
        <w:jc w:val="both"/>
      </w:pPr>
      <w:r>
        <w:rPr>
          <w:rFonts w:ascii="Arial" w:cs="Arial" w:eastAsia="Arial" w:hAnsi="Arial"/>
          <w:b/>
          <w:bCs/>
          <w:sz w:val="22"/>
          <w:szCs w:val="22"/>
        </w:rPr>
        <w:t xml:space="preserve">Consecuencia clínica e institucional (Yarumal, 2026): </w:t>
      </w:r>
      <w:r>
        <w:rPr>
          <w:rFonts w:ascii="Arial" w:cs="Arial" w:eastAsia="Arial" w:hAnsi="Arial"/>
          <w:sz w:val="22"/>
          <w:szCs w:val="22"/>
        </w:rPr>
        <w:t xml:space="preserve">un antiácido de uso oral se administró por vía intravenosa; la paciente fue remitida a cuidados intensivos, y el hospital reconoció el evento adverso, inició la investigación y apartó de sus funciones a la estudiante en práctica (ESE Hospital San Juan de Dios de Yarumal, 2026).</w:t>
      </w:r>
    </w:p>
    <w:p>
      <w:pPr>
        <w:pStyle w:val="Heading2"/>
        <w:spacing w:after="100" w:before="180"/>
      </w:pPr>
      <w:r>
        <w:rPr>
          <w:rFonts w:ascii="Arial" w:cs="Arial" w:eastAsia="Arial" w:hAnsi="Arial"/>
          <w:b/>
          <w:bCs/>
          <w:color w:val="2E5496"/>
          <w:sz w:val="23"/>
          <w:szCs w:val="23"/>
        </w:rPr>
        <w:t xml:space="preserve">4.2 Dimensión ética y seguridad del paciente</w:t>
      </w:r>
    </w:p>
    <w:p>
      <w:pPr>
        <w:spacing w:after="80" w:line="259"/>
        <w:ind w:firstLine="567"/>
        <w:jc w:val="both"/>
      </w:pPr>
      <w:r>
        <w:rPr>
          <w:rFonts w:ascii="Arial" w:cs="Arial" w:eastAsia="Arial" w:hAnsi="Arial"/>
          <w:sz w:val="22"/>
          <w:szCs w:val="22"/>
        </w:rPr>
        <w:t xml:space="preserve">No seguir una guía sin una razón clínica justificada vulnera los principios de la ética en salud: la no maleficencia (no causar daño evitable), la beneficencia (actuar en favor del paciente con la mejor evidencia disponible) y la justicia (que todos los pacientes reciban el mismo estándar de calidad). Por eso la adherencia es una práctica segura en el sentido de la Política de Seguridad del Paciente: cada paso de la guía funciona como una barrera que impide que un error llegue al paciente.</w:t>
      </w:r>
    </w:p>
    <w:p>
      <w:pPr>
        <w:pStyle w:val="Heading1"/>
        <w:spacing w:after="120" w:before="240"/>
      </w:pPr>
      <w:r>
        <w:rPr>
          <w:rFonts w:ascii="Arial" w:cs="Arial" w:eastAsia="Arial" w:hAnsi="Arial"/>
          <w:b/>
          <w:bCs/>
          <w:color w:val="1F3864"/>
          <w:sz w:val="26"/>
          <w:szCs w:val="26"/>
        </w:rPr>
        <w:t xml:space="preserve">5. Análisis crítico y acciones de mejora</w:t>
      </w:r>
    </w:p>
    <w:p>
      <w:pPr>
        <w:pStyle w:val="Heading2"/>
        <w:spacing w:after="100" w:before="180"/>
      </w:pPr>
      <w:r>
        <w:rPr>
          <w:rFonts w:ascii="Arial" w:cs="Arial" w:eastAsia="Arial" w:hAnsi="Arial"/>
          <w:b/>
          <w:bCs/>
          <w:color w:val="2E5496"/>
          <w:sz w:val="23"/>
          <w:szCs w:val="23"/>
        </w:rPr>
        <w:t xml:space="preserve">5.1 Barreras para cumplir la guía</w:t>
      </w:r>
    </w:p>
    <w:p>
      <w:pPr>
        <w:pStyle w:val="ListParagraph"/>
        <w:numPr>
          <w:ilvl w:val="0"/>
          <w:numId w:val="2"/>
        </w:numPr>
        <w:spacing w:after="60" w:line="290"/>
        <w:jc w:val="both"/>
      </w:pPr>
      <w:r>
        <w:rPr>
          <w:rFonts w:ascii="Arial" w:cs="Arial" w:eastAsia="Arial" w:hAnsi="Arial"/>
          <w:b/>
          <w:bCs/>
          <w:sz w:val="22"/>
          <w:szCs w:val="22"/>
        </w:rPr>
        <w:t xml:space="preserve">Recursos: </w:t>
      </w:r>
      <w:r>
        <w:rPr>
          <w:rFonts w:ascii="Arial" w:cs="Arial" w:eastAsia="Arial" w:hAnsi="Arial"/>
          <w:sz w:val="22"/>
          <w:szCs w:val="22"/>
        </w:rPr>
        <w:t xml:space="preserve">servicios de urgencias saturados durante la epidemia y acceso limitado a laboratorio de control.</w:t>
      </w:r>
    </w:p>
    <w:p>
      <w:pPr>
        <w:pStyle w:val="ListParagraph"/>
        <w:numPr>
          <w:ilvl w:val="0"/>
          <w:numId w:val="2"/>
        </w:numPr>
        <w:spacing w:after="60" w:line="290"/>
        <w:jc w:val="both"/>
      </w:pPr>
      <w:r>
        <w:rPr>
          <w:rFonts w:ascii="Arial" w:cs="Arial" w:eastAsia="Arial" w:hAnsi="Arial"/>
          <w:b/>
          <w:bCs/>
          <w:sz w:val="22"/>
          <w:szCs w:val="22"/>
        </w:rPr>
        <w:t xml:space="preserve">Capacitación: </w:t>
      </w:r>
      <w:r>
        <w:rPr>
          <w:rFonts w:ascii="Arial" w:cs="Arial" w:eastAsia="Arial" w:hAnsi="Arial"/>
          <w:sz w:val="22"/>
          <w:szCs w:val="22"/>
        </w:rPr>
        <w:t xml:space="preserve">rotación del personal y desconocimiento de la clasificación por signos de alarma.</w:t>
      </w:r>
    </w:p>
    <w:p>
      <w:pPr>
        <w:pStyle w:val="ListParagraph"/>
        <w:numPr>
          <w:ilvl w:val="0"/>
          <w:numId w:val="2"/>
        </w:numPr>
        <w:spacing w:after="60" w:line="290"/>
        <w:jc w:val="both"/>
      </w:pPr>
      <w:r>
        <w:rPr>
          <w:rFonts w:ascii="Arial" w:cs="Arial" w:eastAsia="Arial" w:hAnsi="Arial"/>
          <w:b/>
          <w:bCs/>
          <w:sz w:val="22"/>
          <w:szCs w:val="22"/>
        </w:rPr>
        <w:t xml:space="preserve">Cultura de seguridad: </w:t>
      </w:r>
      <w:r>
        <w:rPr>
          <w:rFonts w:ascii="Arial" w:cs="Arial" w:eastAsia="Arial" w:hAnsi="Arial"/>
          <w:sz w:val="22"/>
          <w:szCs w:val="22"/>
        </w:rPr>
        <w:t xml:space="preserve">decisiones basadas en un solo dato de laboratorio y poco reporte de eventos adversos.</w:t>
      </w:r>
    </w:p>
    <w:p>
      <w:pPr>
        <w:pStyle w:val="ListParagraph"/>
        <w:numPr>
          <w:ilvl w:val="0"/>
          <w:numId w:val="2"/>
        </w:numPr>
        <w:spacing w:after="60" w:line="290"/>
        <w:jc w:val="both"/>
      </w:pPr>
      <w:r>
        <w:rPr>
          <w:rFonts w:ascii="Arial" w:cs="Arial" w:eastAsia="Arial" w:hAnsi="Arial"/>
          <w:b/>
          <w:bCs/>
          <w:sz w:val="22"/>
          <w:szCs w:val="22"/>
        </w:rPr>
        <w:t xml:space="preserve">Liderazgo: </w:t>
      </w:r>
      <w:r>
        <w:rPr>
          <w:rFonts w:ascii="Arial" w:cs="Arial" w:eastAsia="Arial" w:hAnsi="Arial"/>
          <w:sz w:val="22"/>
          <w:szCs w:val="22"/>
        </w:rPr>
        <w:t xml:space="preserve">falta de medición de la adherencia a las guías y de seguimiento por parte de la dirección.</w:t>
      </w:r>
    </w:p>
    <w:p>
      <w:pPr>
        <w:pStyle w:val="Heading2"/>
        <w:spacing w:after="100" w:before="180"/>
      </w:pPr>
      <w:r>
        <w:rPr>
          <w:rFonts w:ascii="Arial" w:cs="Arial" w:eastAsia="Arial" w:hAnsi="Arial"/>
          <w:b/>
          <w:bCs/>
          <w:color w:val="2E5496"/>
          <w:sz w:val="23"/>
          <w:szCs w:val="23"/>
        </w:rPr>
        <w:t xml:space="preserve">5.2 Acciones de mejora realistas</w:t>
      </w:r>
    </w:p>
    <w:p>
      <w:pPr>
        <w:keepNext/>
        <w:spacing w:after="60" w:before="120"/>
      </w:pPr>
      <w:r>
        <w:rPr>
          <w:rFonts w:ascii="Arial" w:cs="Arial" w:eastAsia="Arial" w:hAnsi="Arial"/>
          <w:b/>
          <w:bCs/>
          <w:sz w:val="20"/>
          <w:szCs w:val="20"/>
        </w:rPr>
        <w:t xml:space="preserve">Tabla 4</w:t>
      </w:r>
    </w:p>
    <w:p>
      <w:pPr>
        <w:keepNext/>
        <w:spacing w:after="80"/>
      </w:pPr>
      <w:r>
        <w:rPr>
          <w:rFonts w:ascii="Arial" w:cs="Arial" w:eastAsia="Arial" w:hAnsi="Arial"/>
          <w:i/>
          <w:iCs/>
          <w:sz w:val="20"/>
          <w:szCs w:val="20"/>
        </w:rPr>
        <w:t xml:space="preserve">Plan de mejora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60"/>
        <w:gridCol w:w="2900"/>
      </w:tblGrid>
      <w:tr>
        <w:trPr>
          <w:tblHeader/>
        </w:trPr>
        <w:tc>
          <w:tcPr>
            <w:tcW w:type="dxa" w:w="26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Acción</w:t>
            </w:r>
          </w:p>
        </w:tc>
        <w:tc>
          <w:tcPr>
            <w:tcW w:type="dxa" w:w="38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Descripción</w:t>
            </w:r>
          </w:p>
        </w:tc>
        <w:tc>
          <w:tcPr>
            <w:tcW w:type="dxa" w:w="29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Indicador</w:t>
            </w:r>
          </w:p>
        </w:tc>
      </w:tr>
      <w:tr>
        <w:trPr>
          <w:tblHeader w:val="false"/>
        </w:trPr>
        <w:tc>
          <w:tcPr>
            <w:tcW w:type="dxa" w:w="26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Capacitación en GPC y RIAS</w:t>
            </w:r>
          </w:p>
        </w:tc>
        <w:tc>
          <w:tcPr>
            <w:tcW w:type="dxa" w:w="38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Curso de la guía de dengue con casos reales para el personal de urgencias y consulta externa.</w:t>
            </w:r>
          </w:p>
        </w:tc>
        <w:tc>
          <w:tcPr>
            <w:tcW w:type="dxa" w:w="2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Porcentaje de personal capacitado</w:t>
            </w:r>
          </w:p>
        </w:tc>
      </w:tr>
      <w:tr>
        <w:trPr>
          <w:tblHeader w:val="false"/>
        </w:trPr>
        <w:tc>
          <w:tcPr>
            <w:tcW w:type="dxa" w:w="26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Estandarización de formatos</w:t>
            </w:r>
          </w:p>
        </w:tc>
        <w:tc>
          <w:tcPr>
            <w:tcW w:type="dxa" w:w="38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Hoja de egreso con signos de alarma y cita de control en 24 horas para todo paciente con dengue que se maneje en casa.</w:t>
            </w:r>
          </w:p>
        </w:tc>
        <w:tc>
          <w:tcPr>
            <w:tcW w:type="dxa" w:w="2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Reconsultas en menos de 72 horas</w:t>
            </w:r>
          </w:p>
        </w:tc>
      </w:tr>
      <w:tr>
        <w:trPr>
          <w:tblHeader w:val="false"/>
        </w:trPr>
        <w:tc>
          <w:tcPr>
            <w:tcW w:type="dxa" w:w="26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Auditorías internas (PAMEC)</w:t>
            </w:r>
          </w:p>
        </w:tc>
        <w:tc>
          <w:tcPr>
            <w:tcW w:type="dxa" w:w="38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Revisión mensual de una muestra de historias clínicas de pacientes con dengue.</w:t>
            </w:r>
          </w:p>
        </w:tc>
        <w:tc>
          <w:tcPr>
            <w:tcW w:type="dxa" w:w="2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Adherencia a la guía (meta: 90 % o más)</w:t>
            </w:r>
          </w:p>
        </w:tc>
      </w:tr>
      <w:tr>
        <w:trPr>
          <w:tblHeader w:val="false"/>
        </w:trPr>
        <w:tc>
          <w:tcPr>
            <w:tcW w:type="dxa" w:w="26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Simulacros</w:t>
            </w:r>
          </w:p>
        </w:tc>
        <w:tc>
          <w:tcPr>
            <w:tcW w:type="dxa" w:w="38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Simulacro trimestral de atención del dengue grave y del choque.</w:t>
            </w:r>
          </w:p>
        </w:tc>
        <w:tc>
          <w:tcPr>
            <w:tcW w:type="dxa" w:w="2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Tiempo del triage a la valoración médica</w:t>
            </w:r>
          </w:p>
        </w:tc>
      </w:tr>
      <w:tr>
        <w:trPr>
          <w:tblHeader w:val="false"/>
        </w:trPr>
        <w:tc>
          <w:tcPr>
            <w:tcW w:type="dxa" w:w="26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Análisis de casos</w:t>
            </w:r>
          </w:p>
        </w:tc>
        <w:tc>
          <w:tcPr>
            <w:tcW w:type="dxa" w:w="38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Unidad de análisis de toda muerte por dengue, con enfoque de aprendizaje y no de culpa.</w:t>
            </w:r>
          </w:p>
        </w:tc>
        <w:tc>
          <w:tcPr>
            <w:tcW w:type="dxa" w:w="2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Eventos adversos analizados; letalidad por dengue</w:t>
            </w:r>
          </w:p>
        </w:tc>
      </w:tr>
    </w:tbl>
    <w:p>
      <w:pPr>
        <w:pStyle w:val="Heading1"/>
        <w:spacing w:after="120" w:before="240"/>
      </w:pPr>
      <w:r>
        <w:rPr>
          <w:rFonts w:ascii="Arial" w:cs="Arial" w:eastAsia="Arial" w:hAnsi="Arial"/>
          <w:b/>
          <w:bCs/>
          <w:color w:val="1F3864"/>
          <w:sz w:val="26"/>
          <w:szCs w:val="26"/>
        </w:rPr>
        <w:t xml:space="preserve">6. Postura sobre el papel de las guías y protocolos</w:t>
      </w:r>
    </w:p>
    <w:p>
      <w:pPr>
        <w:spacing w:after="80" w:line="259"/>
        <w:ind w:firstLine="567"/>
        <w:jc w:val="both"/>
      </w:pPr>
      <w:r>
        <w:rPr>
          <w:rFonts w:ascii="Arial" w:cs="Arial" w:eastAsia="Arial" w:hAnsi="Arial"/>
          <w:sz w:val="22"/>
          <w:szCs w:val="22"/>
        </w:rPr>
        <w:t xml:space="preserve">Considero que las guías no limitan la autonomía médica, sino que le dan un piso común de calidad. Son el piso, no el techo: garantizan que todos los pacientes reciban como mínimo la atención que la evidencia ha demostrado efectiva y dejan espacio al juicio clínico para adaptar las decisiones a cada persona. Apartarse de una guía es posible, pero debe estar justificado y registrado en la historia clínica. Así entendidas, las guías son una herramienta central de la seguridad del paciente, porque convierten el conocimiento en barreras concretas contra el error.</w:t>
      </w:r>
    </w:p>
    <w:p>
      <w:pPr>
        <w:pStyle w:val="Heading1"/>
        <w:spacing w:after="120" w:before="240"/>
      </w:pPr>
      <w:r>
        <w:rPr>
          <w:rFonts w:ascii="Arial" w:cs="Arial" w:eastAsia="Arial" w:hAnsi="Arial"/>
          <w:b/>
          <w:bCs/>
          <w:color w:val="1F3864"/>
          <w:sz w:val="26"/>
          <w:szCs w:val="26"/>
        </w:rPr>
        <w:t xml:space="preserve">7. Respuesta a las preguntas orientadoras</w:t>
      </w:r>
    </w:p>
    <w:p>
      <w:pPr>
        <w:spacing w:after="80" w:line="259"/>
        <w:jc w:val="both"/>
      </w:pPr>
      <w:r>
        <w:rPr>
          <w:rFonts w:ascii="Arial" w:cs="Arial" w:eastAsia="Arial" w:hAnsi="Arial"/>
          <w:b/>
          <w:bCs/>
          <w:sz w:val="22"/>
          <w:szCs w:val="22"/>
        </w:rPr>
        <w:t xml:space="preserve">¿Cuál es la importancia de la adherencia a guías y protocolos según el marco legal? </w:t>
      </w:r>
      <w:r>
        <w:rPr>
          <w:rFonts w:ascii="Arial" w:cs="Arial" w:eastAsia="Arial" w:hAnsi="Arial"/>
          <w:sz w:val="22"/>
          <w:szCs w:val="22"/>
        </w:rPr>
        <w:t xml:space="preserve">La adherencia protege al paciente, porque reduce la variabilidad y los errores; protege al profesional, porque demuestra que actuó conforme a la lex artis, y protege a la institución, porque es un requisito de habilitación y del Sistema Obligatorio de Garantía de Calidad (Ley 1751 de 2015, art. 17; Ley 1438 de 2011, art. 94; Resolución 3100 de 2019).</w:t>
      </w:r>
    </w:p>
    <w:p>
      <w:pPr>
        <w:spacing w:after="80" w:line="259"/>
        <w:jc w:val="both"/>
      </w:pPr>
      <w:r>
        <w:rPr>
          <w:rFonts w:ascii="Arial" w:cs="Arial" w:eastAsia="Arial" w:hAnsi="Arial"/>
          <w:b/>
          <w:bCs/>
          <w:sz w:val="22"/>
          <w:szCs w:val="22"/>
        </w:rPr>
        <w:t xml:space="preserve">¿Cuáles son las repercusiones de la falta de adherencia en una institución de salud? </w:t>
      </w:r>
      <w:r>
        <w:rPr>
          <w:rFonts w:ascii="Arial" w:cs="Arial" w:eastAsia="Arial" w:hAnsi="Arial"/>
          <w:sz w:val="22"/>
          <w:szCs w:val="22"/>
        </w:rPr>
        <w:t xml:space="preserve">Clínicas (complicaciones, secuelas y muertes evitables), éticas (se vulneran los principios de no maleficencia y beneficencia, se pierde la confianza de la comunidad y los profesionales se afectan como segundas víctimas), legales (demandas, condenas penales y sanciones ético-disciplinarias y de la Supersalud) e institucionales (mayores costos, daño a la reputación y riesgo para la habilitación y la acreditación).</w:t>
      </w:r>
    </w:p>
    <w:p>
      <w:r>
        <w:br w:type="page"/>
      </w:r>
    </w:p>
    <w:p>
      <w:pPr>
        <w:pStyle w:val="Heading1"/>
        <w:spacing w:after="120" w:before="240"/>
      </w:pPr>
      <w:r>
        <w:rPr>
          <w:rFonts w:ascii="Arial" w:cs="Arial" w:eastAsia="Arial" w:hAnsi="Arial"/>
          <w:b/>
          <w:bCs/>
          <w:color w:val="1F3864"/>
          <w:sz w:val="26"/>
          <w:szCs w:val="26"/>
        </w:rPr>
        <w:t xml:space="preserve">8. Guion del video</w:t>
      </w:r>
    </w:p>
    <w:p>
      <w:pPr>
        <w:spacing w:after="80" w:line="259"/>
        <w:jc w:val="both"/>
      </w:pPr>
      <w:r>
        <w:rPr>
          <w:rFonts w:ascii="Arial" w:cs="Arial" w:eastAsia="Arial" w:hAnsi="Arial"/>
          <w:b/>
          <w:bCs/>
          <w:sz w:val="22"/>
          <w:szCs w:val="22"/>
        </w:rPr>
        <w:t xml:space="preserve">Duración total: </w:t>
      </w:r>
      <w:r>
        <w:rPr>
          <w:rFonts w:ascii="Arial" w:cs="Arial" w:eastAsia="Arial" w:hAnsi="Arial"/>
          <w:sz w:val="22"/>
          <w:szCs w:val="22"/>
        </w:rPr>
        <w:t xml:space="preserve">7:50 (26 escenas), dentro del rango de 5 a 8 minutos. </w:t>
      </w:r>
      <w:r>
        <w:rPr>
          <w:rFonts w:ascii="Arial" w:cs="Arial" w:eastAsia="Arial" w:hAnsi="Arial"/>
          <w:b/>
          <w:bCs/>
          <w:sz w:val="22"/>
          <w:szCs w:val="22"/>
        </w:rPr>
        <w:t xml:space="preserve">Formato: </w:t>
      </w:r>
      <w:r>
        <w:rPr>
          <w:rFonts w:ascii="Arial" w:cs="Arial" w:eastAsia="Arial" w:hAnsi="Arial"/>
          <w:sz w:val="22"/>
          <w:szCs w:val="22"/>
        </w:rPr>
        <w:t xml:space="preserve">video editado en Clipchamp con tarjetas gráficas propias (diagramas y tablas), videos de stock de la biblioteca de Clipchamp, textos en pantalla, voz en off y música de fondo. </w:t>
      </w:r>
      <w:r>
        <w:rPr>
          <w:rFonts w:ascii="Arial" w:cs="Arial" w:eastAsia="Arial" w:hAnsi="Arial"/>
          <w:b/>
          <w:bCs/>
          <w:sz w:val="22"/>
          <w:szCs w:val="22"/>
        </w:rPr>
        <w:t xml:space="preserve">Escenario: </w:t>
      </w:r>
      <w:r>
        <w:rPr>
          <w:rFonts w:ascii="Arial" w:cs="Arial" w:eastAsia="Arial" w:hAnsi="Arial"/>
          <w:sz w:val="22"/>
          <w:szCs w:val="22"/>
        </w:rPr>
        <w:t xml:space="preserve">servicios de urgencias y consulta, representados con videos de stock de hospitales y de atención de pacientes.</w:t>
      </w:r>
    </w:p>
    <w:p>
      <w:pPr>
        <w:keepNext/>
        <w:spacing w:after="60" w:before="120"/>
      </w:pPr>
      <w:r>
        <w:rPr>
          <w:rFonts w:ascii="Arial" w:cs="Arial" w:eastAsia="Arial" w:hAnsi="Arial"/>
          <w:b/>
          <w:bCs/>
          <w:sz w:val="20"/>
          <w:szCs w:val="20"/>
        </w:rPr>
        <w:t xml:space="preserve">Tabla 5</w:t>
      </w:r>
    </w:p>
    <w:p>
      <w:pPr>
        <w:keepNext/>
        <w:spacing w:after="80"/>
      </w:pPr>
      <w:r>
        <w:rPr>
          <w:rFonts w:ascii="Arial" w:cs="Arial" w:eastAsia="Arial" w:hAnsi="Arial"/>
          <w:i/>
          <w:iCs/>
          <w:sz w:val="20"/>
          <w:szCs w:val="20"/>
        </w:rPr>
        <w:t xml:space="preserve">Guion técnico del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2350"/>
        <w:gridCol w:w="2050"/>
        <w:gridCol w:w="1610"/>
        <w:gridCol w:w="1000"/>
      </w:tblGrid>
      <w:tr>
        <w:trPr>
          <w:tblHeader/>
        </w:trPr>
        <w:tc>
          <w:tcPr>
            <w:tcW w:type="dxa" w:w="15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Escena</w:t>
            </w:r>
          </w:p>
        </w:tc>
        <w:tc>
          <w:tcPr>
            <w:tcW w:type="dxa" w:w="85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Tiempo</w:t>
            </w:r>
          </w:p>
        </w:tc>
        <w:tc>
          <w:tcPr>
            <w:tcW w:type="dxa" w:w="235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Imagen (bosquejo)</w:t>
            </w:r>
          </w:p>
        </w:tc>
        <w:tc>
          <w:tcPr>
            <w:tcW w:type="dxa" w:w="205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Texto en pantalla</w:t>
            </w:r>
          </w:p>
        </w:tc>
        <w:tc>
          <w:tcPr>
            <w:tcW w:type="dxa" w:w="161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Audio</w:t>
            </w:r>
          </w:p>
        </w:tc>
        <w:tc>
          <w:tcPr>
            <w:tcW w:type="dxa" w:w="10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Duración</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 Portada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0:00 – 0:10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Portada con fondo verde y video de pasillo de hospital a la derecha; logo de UNIMINUTO, título, tema, nombre, curso y docente.</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Video · Semana 8 · La guía no es un papel · Análisis de la importancia de las guías y protocolos en salud</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voz. Música: apertura (piano y cuerdas).</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 Un caso real</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0:10 – 0:20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Panel verde con el texto y video de stock de un pasillo de hospital. Video de stock: “hospital corridor”.</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 caso real · Santander, 2025 · ¿Por qué seguir la guía puede salvar una vida?</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3. Frase de arranque</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0:20 – 0:30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Fondo verde con hojas; texto animado que aparece por partes.</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¿Qué separa una consulta de rutina de una tragedia? Muchas veces, seguir o no seguir una guía.</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4. Lo que veremos</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0:30 – 0:40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Video de stock de un pasillo de hospital con un recuadro beige y el texto del recorrido del video. Video de stock: “hospital corridor”.</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 este video veremos qué son las guías, un caso real, lo que dice la norma y lo que podemos mejorar. Empecemos por lo básico.</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5. Guía, protocolo y algoritmo</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0:40 – 0:56</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Tres tarjetas con íconos: libro (guía), lista de chequeo (protocolo) y flechas de decisión (algoritmo).</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Guía · Protocolo · Algoritmo</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16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6. ¿Cómo se construye una guía?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0:56 – 1:12</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Flujo de cinco pasos con flechas: pregunta clínica, búsqueda de evidencia, calificación, recomendaciones y actualización.</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Pregunta → Evidencia → Calificación → Recomendación → Actualización</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16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7. Contexto: dengue en Santander</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1:12 – 1:26</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Video de stock de un mosquito o de fumigación; panel con la cifra destacada. Video de stock: “mosquito”.</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Santander, 2025: más de 9.000 casos de dengue</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tensión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14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8. El caso</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1:26 – 1:48</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Línea de tiempo del 26 de octubre al 1 de noviembre de 2025, con la fuente y la aclaración de que el caso está en investigación.</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Floridablanca, octubre de 2025 · Caso en investigación</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tensión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22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9. Lo que dice la guía: clasificación</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1:48 – 2:13</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Tres columnas de colores: grupo A (casa con control diario), grupo B (hospitalización) y grupo C (cuidado intensivo).</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Grupo A · Grupo B · Grupo C</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10. Signos de alarma y fase crítica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2:13 – 2:35</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Lista de signos de alarma con íconos y una barra de días de enfermedad que resalta la fase crítica (días 3 a 7).</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fase crítica llega cuando baja la fiebre · Plaquetas normales no descartan el riesgo</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22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11. La guía frente al caso</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2:35 – 3:00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Comparación en dos columnas (lo que exige la guía y lo que reporta la familia) y una franja con la consecuencia de cumplirla.</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Lo que exige la guía · Lo que reporta la familia · Si se cumple la guía: letalidad menor al 1 %</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12. Marco normativo general</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3:00 – 3:25</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Cuatro bloques de normas con su año y lo que exige cada una.</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Ley 1751 de 2015 · Ley 1438 de 2011 · Decreto 780 de 2016 · Resolución 3100 de 2019</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13. Cursos de vida: gestación e infancia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3:25 – 3:50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Línea del curso de vida (gestación → infancia) con las normas y un ejemplo aplicado en cada momento.</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Gestación · Primera infancia e infancia</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14. Cursos de vida: adolescencia a vejez</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3:50 – 4:15</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Continuación de la línea del curso de vida (adolescencia → adultez → vejez) con sus normas y un ejemplo aplicado en cada momento.</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Adolescencia y juventud · Adultez · Vejez</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15. Marco legal del daño médico</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4:15 – 4:40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Cuatro tarjetas: responsabilidad civil, penal, ético-disciplinaria y administrativa, con su norma.</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Civil · Penal · Ético-disciplinaria · Administrativa</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tensión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16. La guía como prueba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4:40 – 4:58</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Ecuación visual: daño + falla + nexo causal = responsabilidad; debajo, la historia clínica como prueba.</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Daño + Falla + Nexo causal · Obligación de medios</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tensión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18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17. Consecuencias reales</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4:58 – 5:23</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Dos tarjetas con casos reales: Barrancabermeja (condena penal) y Yarumal (evento adverso e investigación), con su fuente.</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Barrancabermeja, 2026: condena por homicidio culposo · Yarumal, 2026: evento adverso e investigación</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tensión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18. Consecuencias de no adherirse</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5:23 – 5:43</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Cuatro íconos en fila: clínicas, éticas, legales e institucionales.</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Consecuencias clínicas · éticas · legales · institucionales</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tensión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19. Barreras para cumplir la guía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5:43 – 6:01</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Video de stock de una sala de urgencias congestionada; panel con las cuatro barreras. Video de stock: “busy emergency room”.</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Recursos · Capacitación · Cultura de seguridad · Liderazgo</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reflexiva.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18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20. Acciones de mejora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6:01 – 6:26</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Lista de chequeo con cinco acciones de mejora y sus responsables.</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Capacitación · Formatos · Auditorías · Simulacros · Análisis de casos</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esperanzadora.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21. Indicadores de seguimiento</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6:26 – 6:42</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Tablero de cinco indicadores con su fórmula y meta.</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Adherencia · Reconsultas · Eventos adversos · Tiempos · Letalidad</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esperanzadora.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16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22. Mi postura</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6:42 – 7:04</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Balanza: a un lado lo que aporta la guía y al otro su límite; abajo, la postura personal.</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guía es el piso, no el techo</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reflexiva.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22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23. Importancia según el marco legal</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7:04 – 7:24</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Tres escudos: protege al paciente, al profesional y a la institución.</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Adherencia = seguridad del paciente</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esperanzadora.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24. Cierre</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7:24 – 7:36</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Video de stock de una médica atendiendo a un niño; frase final. Video de stock: “doctor child patient”.</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Una guía bien aplicada es una decisión a tiempo</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Música: cálida, crece y se desvanece.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12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25. Referencias</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7:36 – 7:44</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Lista de referencias en dos columnas.</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Referencias</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voz. Música: suave.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8 s</w:t>
            </w:r>
          </w:p>
        </w:tc>
      </w:tr>
      <w:tr>
        <w:trPr>
          <w:tblHeader w:val="false"/>
        </w:trPr>
        <w:tc>
          <w:tcPr>
            <w:tcW w:type="dxa" w:w="15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26. Créditos</w:t>
            </w:r>
          </w:p>
        </w:tc>
        <w:tc>
          <w:tcPr>
            <w:tcW w:type="dxa" w:w="8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7:44 – 7:50</w:t>
            </w:r>
          </w:p>
        </w:tc>
        <w:tc>
          <w:tcPr>
            <w:tcW w:type="dxa" w:w="23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Créditos: autora, curso, docente, imágenes, música y edición.</w:t>
            </w:r>
          </w:p>
        </w:tc>
        <w:tc>
          <w:tcPr>
            <w:tcW w:type="dxa" w:w="2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Créditos</w:t>
            </w:r>
          </w:p>
        </w:tc>
        <w:tc>
          <w:tcPr>
            <w:tcW w:type="dxa" w:w="161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voz. Música: se desvanece.</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 s</w:t>
            </w:r>
          </w:p>
        </w:tc>
      </w:tr>
    </w:tbl>
    <w:p>
      <w:pPr>
        <w:pStyle w:val="Heading1"/>
        <w:spacing w:after="120" w:before="240"/>
      </w:pPr>
      <w:r>
        <w:rPr>
          <w:rFonts w:ascii="Arial" w:cs="Arial" w:eastAsia="Arial" w:hAnsi="Arial"/>
          <w:b/>
          <w:bCs/>
          <w:color w:val="1F3864"/>
          <w:sz w:val="26"/>
          <w:szCs w:val="26"/>
        </w:rPr>
        <w:t xml:space="preserve">9. Texto de la voz en off</w:t>
      </w:r>
    </w:p>
    <w:p>
      <w:pPr>
        <w:spacing w:after="80" w:line="259"/>
        <w:jc w:val="both"/>
      </w:pPr>
      <w:r>
        <w:rPr>
          <w:rFonts w:ascii="Arial" w:cs="Arial" w:eastAsia="Arial" w:hAnsi="Arial"/>
          <w:sz w:val="22"/>
          <w:szCs w:val="22"/>
        </w:rPr>
        <w:t xml:space="preserve">Cada texto está calculado para la duración de su escena. Lea despacio y con naturalidad; si le sobra tiempo, deje la tarjeta unos segundos más en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300"/>
        <w:gridCol w:w="5260"/>
      </w:tblGrid>
      <w:tr>
        <w:trPr>
          <w:tblHeader/>
        </w:trPr>
        <w:tc>
          <w:tcPr>
            <w:tcW w:type="dxa" w:w="7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N.º</w:t>
            </w:r>
          </w:p>
        </w:tc>
        <w:tc>
          <w:tcPr>
            <w:tcW w:type="dxa" w:w="21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Escena</w:t>
            </w:r>
          </w:p>
        </w:tc>
        <w:tc>
          <w:tcPr>
            <w:tcW w:type="dxa" w:w="13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Tiempo</w:t>
            </w:r>
          </w:p>
        </w:tc>
        <w:tc>
          <w:tcPr>
            <w:tcW w:type="dxa" w:w="52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Texto para leer</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Portada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0:00 – 0:10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voz. Solo música de apertura.)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 caso real</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0:10 – 0:20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Hola, soy Yina Vanessa Cadena Mantilla, estudiante de UNIMINUTO, y hoy les presento un caso real ocurrido en Santander.</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3</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Frase de arranque</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0:20 – 0:30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¿Qué separa una consulta de rutina de una tragedia? Muchas veces, seguir o no seguir una guía.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4</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Lo que veremos</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0:30 – 0:40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Veremos qué son las guías, un caso real, lo que dice la norma y lo que podemos mejorar. Empecemos por lo básico.</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Guía, protocolo y algoritmo</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0:40 – 0:56</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guía de práctica clínica reúne recomendaciones basadas en evidencia; el protocolo las adapta a cada institución, y el algoritmo resume las decisiones paso a paso. Ninguno reemplaza el juicio clínico; todos lo orientan.</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6</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¿Cómo se construye una guía?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0:56 – 1:12</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Una guía no se escribe por opinión: según Torres-Tamayo y colaboradores, parte de preguntas clínicas, busca y califica la evidencia, formula recomendaciones y se actualiza periódicamente.</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7</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Contexto: dengue en Santander</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1:12 – 1:26</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El caso ocurrió en Santander, el departamento con más casos de dengue del país en 2025. En plena epidemia, la guía era la herramienta clave para decidir quién podía irse a casa.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8</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El caso</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1:26 – 1:48</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 octubre de 2025, una niña de diez años de Floridablanca empezó con fiebre alta. Según su familia, en el primer centro le aplicaron suero y la enviaron a casa porque sus plaquetas estaban bien. Un día después regresó con dengue grave, fue intubada y murió el 1 de noviembre.</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9</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Lo que dice la guía: clasificación</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1:48 – 2:13</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¿Qué dice la guía? Todo paciente con dengue se clasifica en tres grupos. El grupo A puede manejarse en casa, pero con control médico diario. El grupo B, con signos de alarma o condiciones de riesgo, debe hospitalizarse. Y el grupo C, con dengue grave, necesita cuidado intensivo.</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Signos de alarma y fase crítica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2:13 – 2:35</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guía advierte que el momento más peligroso llega cuando la fiebre baja, entre el tercer y el séptimo día. Por eso, quien se va a casa debe recibir por escrito los signos de alarma, como dolor abdominal intenso, vómito o sangrados, y volver de inmediato si aparecen.</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11</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guía frente al caso</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2:35 – 3:00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 el relato de la familia se confirma, la decisión se basó en las plaquetas, un dato que por sí solo no descarta el riesgo. Cumplir la guía cambia el desenlace: con clasificación y tratamiento oportunos, la mortalidad del dengue grave baja a menos del 1 %. Solo la investigación dirá si hubo una falla.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12</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Marco normativo general</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3:00 – 3:25</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 Colombia, seguir las guías no es opcional. La Ley 1751 de 2015 garantiza la autonomía médica, pero dentro de la ética y la evidencia científica. La Ley 1438 de 2011 define las guías como referentes basados en evidencia, y la Resolución 3100 de 2019 exige adoptarlas para habilitar los servicios.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13</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Cursos de vida: gestación e infancia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3:25 – 3:50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Las guías también se organizan por cursos de vida. En la gestación, la Ruta Materno Perinatal incluye el código rojo: ante una hemorragia posparto, el equipo actúa en minutos. En la infancia, la ruta define la valoración integral, la Resolución 2350 orienta la desnutrición aguda y la guía de dengue decide, como en este caso, quién se hospitaliza.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14</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Cursos de vida: adolescencia a vejez</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3:50 – 4:15</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 la adolescencia, la Resolución 459 de 2012 obliga a atender a una víctima de violencia sexual como una urgencia, con profilaxis en las primeras 72 horas. En la adultez, las guías de hipertensión y diabetes fijan metas de control. Y en la vejez, la ruta y el Decreto 681 de 2022 priorizan la prevención de caídas.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Marco legal del daño médico</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4:15 – 4:40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Cuando no se sigue una guía y se causa un daño, la responsabilidad puede ser de cuatro tipos: civil, que obliga a reparar los perjuicios; penal, por homicidio o lesiones culposas; ético-disciplinaria, ante los tribunales de ética; y administrativa, cuando responde una institución pública, además de las sanciones de la Supersalud.</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16</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guía como prueba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4:40 – 4:58</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Para que haya responsabilidad deben probarse el daño, la falla y la relación entre ambos. La obligación es de medios, no de resultados: el juez compara la atención con la lex artis, y la guía y la historia clínica son la prueba.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17</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Consecuencias reales</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4:58 – 5:23</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Estas consecuencias son reales. En Barrancabermeja, en 2026, un médico fue condenado en primera instancia a cuatro años de prisión por homicidio culposo, tras un procedimiento estético para el que no tenía la especialización requerida. Y en Yarumal, un error en la vía de administración llevó a una paciente a cuidados intensivos y a una investigación.</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18</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Consecuencias de no adherirse</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5:23 – 5:43</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¿Qué pasa cuando una institución no se adhiere a sus guías? Hay consecuencias clínicas, como muertes evitables; éticas, porque se rompen los principios de no hacer daño y de buscar el bien del paciente; legales, como demandas y sanciones; e institucionales, como mayores costos y pérdida de confianza.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19</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Barreras para cumplir la guía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5:43 – 6:01</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 casos como este, las barreras suelen repetirse: urgencias saturadas durante la epidemia, personal que rota y no conoce la guía, una cultura que decide por un solo dato de laboratorio, y líderes que no miden la adherencia.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Acciones de mejora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6:01 – 6:26</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Propongo acciones realistas: capacitar al personal en la guía de dengue y en las rutas integrales; estandarizar una hoja de egreso con los signos de alarma y la cita de control en 24 horas; hacer auditorías internas de historias clínicas dentro del PAMEC; y realizar simulacros de dengue grave.</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21</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Indicadores de seguimiento</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6:26 – 6:42</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Para saber si funciona, se miden: la adherencia a la guía, las reconsultas en menos de 72 horas, los eventos adversos, el tiempo de atención y la letalidad por dengue.</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22</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Mi postura</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6:42 – 7:04</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¿Las guías limitan la autonomía médica? Mi postura es que no. La guía es el piso, no el techo: garantiza un mínimo de calidad y deja espacio al juicio clínico. Apartarse de ella es posible, pero debe justificarse en la historia clínica.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23</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Importancia según el marco legal</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7:04 – 7:24</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Por eso, según el marco legal, la adherencia a las guías es clave: protege al paciente, porque reduce errores; protege al profesional, porque demuestra que actuó con diligencia; y protege a la institución, porque es parte de la calidad que exige el sistema.</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24</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Cierre</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7:24 – 7:36</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Una guía bien aplicada es una decisión tomada a tiempo. Y en salud, decidir a tiempo puede salvar una vida. Gracias.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Referencias</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7:36 – 7:44</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voz.)</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26</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Créditos</w:t>
            </w:r>
          </w:p>
        </w:tc>
        <w:tc>
          <w:tcPr>
            <w:tcW w:type="dxa" w:w="13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7:44 – 7:50</w:t>
            </w:r>
          </w:p>
        </w:tc>
        <w:tc>
          <w:tcPr>
            <w:tcW w:type="dxa" w:w="52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voz.)</w:t>
            </w:r>
          </w:p>
        </w:tc>
      </w:tr>
    </w:tbl>
    <w:p>
      <w:r>
        <w:br w:type="page"/>
      </w:r>
    </w:p>
    <w:p>
      <w:pPr>
        <w:pStyle w:val="Heading1"/>
        <w:spacing w:after="120" w:before="240"/>
      </w:pPr>
      <w:r>
        <w:rPr>
          <w:rFonts w:ascii="Arial" w:cs="Arial" w:eastAsia="Arial" w:hAnsi="Arial"/>
          <w:b/>
          <w:bCs/>
          <w:color w:val="1F3864"/>
          <w:sz w:val="26"/>
          <w:szCs w:val="26"/>
        </w:rPr>
        <w:t xml:space="preserve">10. Cómo armar el video en Clipchamp</w:t>
      </w:r>
    </w:p>
    <w:p>
      <w:pPr>
        <w:pStyle w:val="ListParagraph"/>
        <w:numPr>
          <w:ilvl w:val="0"/>
          <w:numId w:val="2"/>
        </w:numPr>
        <w:spacing w:after="60" w:line="290"/>
        <w:jc w:val="both"/>
      </w:pPr>
      <w:r>
        <w:rPr>
          <w:rFonts w:ascii="Arial" w:cs="Arial" w:eastAsia="Arial" w:hAnsi="Arial"/>
          <w:b/>
          <w:bCs/>
          <w:sz w:val="22"/>
          <w:szCs w:val="22"/>
        </w:rPr>
        <w:t xml:space="preserve">Crear el proyecto: </w:t>
      </w:r>
      <w:r>
        <w:rPr>
          <w:rFonts w:ascii="Arial" w:cs="Arial" w:eastAsia="Arial" w:hAnsi="Arial"/>
          <w:sz w:val="22"/>
          <w:szCs w:val="22"/>
        </w:rPr>
        <w:t xml:space="preserve">en Clipchamp, cree un video nuevo en formato 16:9 (1920 × 1080).</w:t>
      </w:r>
    </w:p>
    <w:p>
      <w:pPr>
        <w:pStyle w:val="ListParagraph"/>
        <w:numPr>
          <w:ilvl w:val="0"/>
          <w:numId w:val="2"/>
        </w:numPr>
        <w:spacing w:after="60" w:line="290"/>
        <w:jc w:val="both"/>
      </w:pPr>
      <w:r>
        <w:rPr>
          <w:rFonts w:ascii="Arial" w:cs="Arial" w:eastAsia="Arial" w:hAnsi="Arial"/>
          <w:b/>
          <w:bCs/>
          <w:sz w:val="22"/>
          <w:szCs w:val="22"/>
        </w:rPr>
        <w:t xml:space="preserve">Editar las tarjetas (opcional): </w:t>
      </w:r>
      <w:r>
        <w:rPr>
          <w:rFonts w:ascii="Arial" w:cs="Arial" w:eastAsia="Arial" w:hAnsi="Arial"/>
          <w:sz w:val="22"/>
          <w:szCs w:val="22"/>
        </w:rPr>
        <w:t xml:space="preserve">abra “Tarjetas_editables_Guias_y_Protocolos.pptx” en PowerPoint y cambie lo que necesite (curso, docente, semana, logo). Luego vaya a Archivo → Exportar → Cambiar el tipo de archivo → PNG → Todas las diapositivas. Las notas de cada diapositiva traen la voz en off.</w:t>
      </w:r>
    </w:p>
    <w:p>
      <w:pPr>
        <w:pStyle w:val="ListParagraph"/>
        <w:numPr>
          <w:ilvl w:val="0"/>
          <w:numId w:val="2"/>
        </w:numPr>
        <w:spacing w:after="60" w:line="290"/>
        <w:jc w:val="both"/>
      </w:pPr>
      <w:r>
        <w:rPr>
          <w:rFonts w:ascii="Arial" w:cs="Arial" w:eastAsia="Arial" w:hAnsi="Arial"/>
          <w:b/>
          <w:bCs/>
          <w:sz w:val="22"/>
          <w:szCs w:val="22"/>
        </w:rPr>
        <w:t xml:space="preserve">Escenas OVERLAY editadas: </w:t>
      </w:r>
      <w:r>
        <w:rPr>
          <w:rFonts w:ascii="Arial" w:cs="Arial" w:eastAsia="Arial" w:hAnsi="Arial"/>
          <w:sz w:val="22"/>
          <w:szCs w:val="22"/>
        </w:rPr>
        <w:t xml:space="preserve">si modifica las diapositivas OVERLAY del PowerPoint (2, 5, 17 o 22), borre el texto gris de indicación, seleccione el panel azul con sus textos, haga clic derecho → Guardar como imagen → PNG. Así la imagen queda con fondo transparente. Si no las modifica, use los PNG “OVERLAY” incluidos.</w:t>
      </w:r>
    </w:p>
    <w:p>
      <w:pPr>
        <w:pStyle w:val="ListParagraph"/>
        <w:numPr>
          <w:ilvl w:val="0"/>
          <w:numId w:val="2"/>
        </w:numPr>
        <w:spacing w:after="60" w:line="290"/>
        <w:jc w:val="both"/>
      </w:pPr>
      <w:r>
        <w:rPr>
          <w:rFonts w:ascii="Arial" w:cs="Arial" w:eastAsia="Arial" w:hAnsi="Arial"/>
          <w:b/>
          <w:bCs/>
          <w:sz w:val="22"/>
          <w:szCs w:val="22"/>
        </w:rPr>
        <w:t xml:space="preserve">Importar las tarjetas: </w:t>
      </w:r>
      <w:r>
        <w:rPr>
          <w:rFonts w:ascii="Arial" w:cs="Arial" w:eastAsia="Arial" w:hAnsi="Arial"/>
          <w:sz w:val="22"/>
          <w:szCs w:val="22"/>
        </w:rPr>
        <w:t xml:space="preserve">en “Tus medios”, importe la carpeta “escenas”. Los archivos “tarjeta” ocupan toda la pantalla; los archivos “OVERLAY” tienen fondo transparente.</w:t>
      </w:r>
    </w:p>
    <w:p>
      <w:pPr>
        <w:pStyle w:val="ListParagraph"/>
        <w:numPr>
          <w:ilvl w:val="0"/>
          <w:numId w:val="2"/>
        </w:numPr>
        <w:spacing w:after="60" w:line="290"/>
        <w:jc w:val="both"/>
      </w:pPr>
      <w:r>
        <w:rPr>
          <w:rFonts w:ascii="Arial" w:cs="Arial" w:eastAsia="Arial" w:hAnsi="Arial"/>
          <w:b/>
          <w:bCs/>
          <w:sz w:val="22"/>
          <w:szCs w:val="22"/>
        </w:rPr>
        <w:t xml:space="preserve">Escenas con video de stock (2 (02_OVERLAY.png), 7 (05_OVERLAY.png), 19 (17_OVERLAY.png), 24 (22_OVERLAY.png)): </w:t>
      </w:r>
      <w:r>
        <w:rPr>
          <w:rFonts w:ascii="Arial" w:cs="Arial" w:eastAsia="Arial" w:hAnsi="Arial"/>
          <w:sz w:val="22"/>
          <w:szCs w:val="22"/>
        </w:rPr>
        <w:t xml:space="preserve">en “Biblioteca de contenido → Videos”, busque el término indicado en la tabla, arrástrelo a la línea de tiempo y ponga encima, en una pista superior, el PNG “OVERLAY”. El video se verá a la derecha y el texto a la izquierda.</w:t>
      </w:r>
    </w:p>
    <w:p>
      <w:pPr>
        <w:pStyle w:val="ListParagraph"/>
        <w:numPr>
          <w:ilvl w:val="0"/>
          <w:numId w:val="2"/>
        </w:numPr>
        <w:spacing w:after="60" w:line="290"/>
        <w:jc w:val="both"/>
      </w:pPr>
      <w:r>
        <w:rPr>
          <w:rFonts w:ascii="Arial" w:cs="Arial" w:eastAsia="Arial" w:hAnsi="Arial"/>
          <w:b/>
          <w:bCs/>
          <w:sz w:val="22"/>
          <w:szCs w:val="22"/>
        </w:rPr>
        <w:t xml:space="preserve">Escenas hechas en Clipchamp (3 y 4): </w:t>
      </w:r>
      <w:r>
        <w:rPr>
          <w:rFonts w:ascii="Arial" w:cs="Arial" w:eastAsia="Arial" w:hAnsi="Arial"/>
          <w:sz w:val="22"/>
          <w:szCs w:val="22"/>
        </w:rPr>
        <w:t xml:space="preserve">la frase de arranque y el recorrido del video ya están diseñados directamente en Clipchamp; déjelas de 10 segundos cada una.</w:t>
      </w:r>
    </w:p>
    <w:p>
      <w:pPr>
        <w:pStyle w:val="ListParagraph"/>
        <w:numPr>
          <w:ilvl w:val="0"/>
          <w:numId w:val="2"/>
        </w:numPr>
        <w:spacing w:after="60" w:line="290"/>
        <w:jc w:val="both"/>
      </w:pPr>
      <w:r>
        <w:rPr>
          <w:rFonts w:ascii="Arial" w:cs="Arial" w:eastAsia="Arial" w:hAnsi="Arial"/>
          <w:b/>
          <w:bCs/>
          <w:sz w:val="22"/>
          <w:szCs w:val="22"/>
        </w:rPr>
        <w:t xml:space="preserve">Duraciones: </w:t>
      </w:r>
      <w:r>
        <w:rPr>
          <w:rFonts w:ascii="Arial" w:cs="Arial" w:eastAsia="Arial" w:hAnsi="Arial"/>
          <w:sz w:val="22"/>
          <w:szCs w:val="22"/>
        </w:rPr>
        <w:t xml:space="preserve">ajuste cada elemento a la duración de la tabla siguiente. Puede agregar transiciones suaves (“disolver”) de medio segundo entre escenas.</w:t>
      </w:r>
    </w:p>
    <w:p>
      <w:pPr>
        <w:pStyle w:val="ListParagraph"/>
        <w:numPr>
          <w:ilvl w:val="0"/>
          <w:numId w:val="2"/>
        </w:numPr>
        <w:spacing w:after="60" w:line="290"/>
        <w:jc w:val="both"/>
      </w:pPr>
      <w:r>
        <w:rPr>
          <w:rFonts w:ascii="Arial" w:cs="Arial" w:eastAsia="Arial" w:hAnsi="Arial"/>
          <w:b/>
          <w:bCs/>
          <w:sz w:val="22"/>
          <w:szCs w:val="22"/>
        </w:rPr>
        <w:t xml:space="preserve">Logo y datos: </w:t>
      </w:r>
      <w:r>
        <w:rPr>
          <w:rFonts w:ascii="Arial" w:cs="Arial" w:eastAsia="Arial" w:hAnsi="Arial"/>
          <w:sz w:val="22"/>
          <w:szCs w:val="22"/>
        </w:rPr>
        <w:t xml:space="preserve">en la tarjeta 1, ponga encima el logo de UNIMINUTO y, con la herramienta de texto, el nombre del curso, el docente y el número de la semana (o edítelos antes en este Word y en la tarjeta).</w:t>
      </w:r>
    </w:p>
    <w:p>
      <w:pPr>
        <w:pStyle w:val="ListParagraph"/>
        <w:numPr>
          <w:ilvl w:val="0"/>
          <w:numId w:val="2"/>
        </w:numPr>
        <w:spacing w:after="60" w:line="290"/>
        <w:jc w:val="both"/>
      </w:pPr>
      <w:r>
        <w:rPr>
          <w:rFonts w:ascii="Arial" w:cs="Arial" w:eastAsia="Arial" w:hAnsi="Arial"/>
          <w:b/>
          <w:bCs/>
          <w:sz w:val="22"/>
          <w:szCs w:val="22"/>
        </w:rPr>
        <w:t xml:space="preserve">Voz en off: </w:t>
      </w:r>
      <w:r>
        <w:rPr>
          <w:rFonts w:ascii="Arial" w:cs="Arial" w:eastAsia="Arial" w:hAnsi="Arial"/>
          <w:sz w:val="22"/>
          <w:szCs w:val="22"/>
        </w:rPr>
        <w:t xml:space="preserve">grabe cada texto con “Grabar y crear → Audio” o con el celular, y ubíquelo al inicio de su escena.</w:t>
      </w:r>
    </w:p>
    <w:p>
      <w:pPr>
        <w:pStyle w:val="ListParagraph"/>
        <w:numPr>
          <w:ilvl w:val="0"/>
          <w:numId w:val="2"/>
        </w:numPr>
        <w:spacing w:after="60" w:line="290"/>
        <w:jc w:val="both"/>
      </w:pPr>
      <w:r>
        <w:rPr>
          <w:rFonts w:ascii="Arial" w:cs="Arial" w:eastAsia="Arial" w:hAnsi="Arial"/>
          <w:b/>
          <w:bCs/>
          <w:sz w:val="22"/>
          <w:szCs w:val="22"/>
        </w:rPr>
        <w:t xml:space="preserve">Música: </w:t>
      </w:r>
      <w:r>
        <w:rPr>
          <w:rFonts w:ascii="Arial" w:cs="Arial" w:eastAsia="Arial" w:hAnsi="Arial"/>
          <w:sz w:val="22"/>
          <w:szCs w:val="22"/>
        </w:rPr>
        <w:t xml:space="preserve">agregue la música en una pista inferior y bájela al 15 o 20 % para que la voz se escuche clara.</w:t>
      </w:r>
    </w:p>
    <w:p>
      <w:pPr>
        <w:pStyle w:val="ListParagraph"/>
        <w:numPr>
          <w:ilvl w:val="0"/>
          <w:numId w:val="2"/>
        </w:numPr>
        <w:spacing w:after="60" w:line="290"/>
        <w:jc w:val="both"/>
      </w:pPr>
      <w:r>
        <w:rPr>
          <w:rFonts w:ascii="Arial" w:cs="Arial" w:eastAsia="Arial" w:hAnsi="Arial"/>
          <w:b/>
          <w:bCs/>
          <w:sz w:val="22"/>
          <w:szCs w:val="22"/>
        </w:rPr>
        <w:t xml:space="preserve">Exportar: </w:t>
      </w:r>
      <w:r>
        <w:rPr>
          <w:rFonts w:ascii="Arial" w:cs="Arial" w:eastAsia="Arial" w:hAnsi="Arial"/>
          <w:sz w:val="22"/>
          <w:szCs w:val="22"/>
        </w:rPr>
        <w:t xml:space="preserve">exporte en 1080p, revise el video completo con audífonos y súbalo a YouTube como “Público” o “No listado”, sin restricciones.</w:t>
      </w:r>
    </w:p>
    <w:p>
      <w:pPr>
        <w:keepNext/>
        <w:spacing w:after="60" w:before="120"/>
      </w:pPr>
      <w:r>
        <w:rPr>
          <w:rFonts w:ascii="Arial" w:cs="Arial" w:eastAsia="Arial" w:hAnsi="Arial"/>
          <w:b/>
          <w:bCs/>
          <w:sz w:val="20"/>
          <w:szCs w:val="20"/>
        </w:rPr>
        <w:t xml:space="preserve">Tabla 6</w:t>
      </w:r>
    </w:p>
    <w:p>
      <w:pPr>
        <w:keepNext/>
        <w:spacing w:after="80"/>
      </w:pPr>
      <w:r>
        <w:rPr>
          <w:rFonts w:ascii="Arial" w:cs="Arial" w:eastAsia="Arial" w:hAnsi="Arial"/>
          <w:i/>
          <w:iCs/>
          <w:sz w:val="20"/>
          <w:szCs w:val="20"/>
        </w:rPr>
        <w:t xml:space="preserve">Archivo, video de stock y duración por escena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500"/>
        <w:gridCol w:w="2460"/>
        <w:gridCol w:w="1000"/>
      </w:tblGrid>
      <w:tr>
        <w:trPr>
          <w:tblHeader/>
        </w:trPr>
        <w:tc>
          <w:tcPr>
            <w:tcW w:type="dxa" w:w="7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N.º</w:t>
            </w:r>
          </w:p>
        </w:tc>
        <w:tc>
          <w:tcPr>
            <w:tcW w:type="dxa" w:w="27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Escena</w:t>
            </w:r>
          </w:p>
        </w:tc>
        <w:tc>
          <w:tcPr>
            <w:tcW w:type="dxa" w:w="25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Archivo</w:t>
            </w:r>
          </w:p>
        </w:tc>
        <w:tc>
          <w:tcPr>
            <w:tcW w:type="dxa" w:w="24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Video de stock (buscar en Clipchamp)</w:t>
            </w:r>
          </w:p>
        </w:tc>
        <w:tc>
          <w:tcPr>
            <w:tcW w:type="dxa" w:w="10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Duración</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Portada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01_tarjeta.png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 caso real</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02_OVERLAY.png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“hospital corridor”</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3</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Frase de arranque</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Hecha en Clipchamp</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4</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Lo que veremos</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Hecha en Clipchamp</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“hospital corridor”</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5</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Guía, protocolo y algoritmo</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03_tarjeta.png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16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6</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¿Cómo se construye una guía?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04_tarjeta.png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16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7</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Contexto: dengue en Santander</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05_OVERLAY.png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“mosquito”</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14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8</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El caso</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06_tarjeta.png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22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9</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Lo que dice la guía: clasificación</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07_tarjeta.png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10</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Signos de alarma y fase crítica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08_tarjeta.png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22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11</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guía frente al caso</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09_tarjeta.png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12</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Marco normativo general</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13</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Cursos de vida: gestación e infancia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11_tarjeta.png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14</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Cursos de vida: adolescencia a vejez</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12_tarjeta.png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15</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Marco legal del daño médico</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13_tarjeta.png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16</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guía como prueba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14_tarjeta.png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18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17</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Consecuencias reales</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15_tarjeta.png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18</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Consecuencias de no adherirse</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16_tarjeta.png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19</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Barreras para cumplir la guía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17_OVERLAY.png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“busy emergency room”</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18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20</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Acciones de mejora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18_tarjeta.png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21</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Indicadores de seguimiento</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19_tarjeta.png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16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22</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Mi postura</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22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23</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Importancia según el marco legal</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21_tarjeta.png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24</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Cierre</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22_OVERLAY.png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“doctor child patient”</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12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25</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Referencias</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23_tarjeta.png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8 s</w:t>
            </w:r>
          </w:p>
        </w:tc>
      </w:tr>
      <w:tr>
        <w:trPr>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26</w:t>
            </w:r>
          </w:p>
        </w:tc>
        <w:tc>
          <w:tcPr>
            <w:tcW w:type="dxa" w:w="27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Créditos</w:t>
            </w:r>
          </w:p>
        </w:tc>
        <w:tc>
          <w:tcPr>
            <w:tcW w:type="dxa" w:w="25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24_tarjeta.png</w:t>
            </w:r>
          </w:p>
        </w:tc>
        <w:tc>
          <w:tcPr>
            <w:tcW w:type="dxa" w:w="24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No aplica</w:t>
            </w:r>
          </w:p>
        </w:tc>
        <w:tc>
          <w:tcPr>
            <w:tcW w:type="dxa" w:w="10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 s</w:t>
            </w:r>
          </w:p>
        </w:tc>
      </w:tr>
    </w:tbl>
    <w:p>
      <w:pPr>
        <w:pStyle w:val="Heading1"/>
        <w:spacing w:after="120" w:before="240"/>
      </w:pPr>
      <w:r>
        <w:rPr>
          <w:rFonts w:ascii="Arial" w:cs="Arial" w:eastAsia="Arial" w:hAnsi="Arial"/>
          <w:b/>
          <w:bCs/>
          <w:color w:val="1F3864"/>
          <w:sz w:val="26"/>
          <w:szCs w:val="26"/>
        </w:rPr>
        <w:t xml:space="preserve">Conclusiones</w:t>
      </w:r>
    </w:p>
    <w:p>
      <w:pPr>
        <w:spacing w:after="80" w:line="259"/>
        <w:ind w:firstLine="567"/>
        <w:jc w:val="both"/>
      </w:pPr>
      <w:r>
        <w:rPr>
          <w:rFonts w:ascii="Arial" w:cs="Arial" w:eastAsia="Arial" w:hAnsi="Arial"/>
          <w:sz w:val="22"/>
          <w:szCs w:val="22"/>
        </w:rPr>
        <w:t xml:space="preserve">El caso de Floridablanca muestra que una guía no es un papel: es la herramienta que permite decidir a tiempo, sobre todo en una epidemia. La normatividad colombiana respalda su uso en todos los cursos de vida, y el marco legal del daño médico las convierte en el referente con el que se juzga la atención. Por eso, la adherencia a las guías debe gestionarse como parte de la calidad: con capacitación, formatos estandarizados, auditoría, simulacros e indicadores que permitan aprender de cada caso.</w:t>
      </w:r>
    </w:p>
    <w:p>
      <w:r>
        <w:br w:type="page"/>
      </w:r>
    </w:p>
    <w:p>
      <w:pPr>
        <w:pStyle w:val="Heading1"/>
        <w:spacing w:after="120" w:before="240"/>
      </w:pPr>
      <w:r>
        <w:rPr>
          <w:rFonts w:ascii="Arial" w:cs="Arial" w:eastAsia="Arial" w:hAnsi="Arial"/>
          <w:b/>
          <w:bCs/>
          <w:color w:val="1F3864"/>
          <w:sz w:val="26"/>
          <w:szCs w:val="26"/>
        </w:rPr>
        <w:t xml:space="preserve">Referencias</w:t>
      </w:r>
    </w:p>
    <w:p>
      <w:pPr>
        <w:spacing w:after="100" w:line="276"/>
        <w:ind w:left="567" w:hanging="567"/>
        <w:jc w:val="left"/>
      </w:pPr>
      <w:r>
        <w:rPr>
          <w:rFonts w:ascii="Arial" w:cs="Arial" w:eastAsia="Arial" w:hAnsi="Arial"/>
          <w:i w:val="false"/>
          <w:iCs w:val="false"/>
          <w:sz w:val="22"/>
          <w:szCs w:val="22"/>
        </w:rPr>
        <w:t xml:space="preserve">Arias Capote, J. C., Hidalgo Mesa, C. J., &amp; Hidalgo Cepero, H. E. (2019). Utilidad de las guías, protocolos y algoritmos en la práctica clínica. </w:t>
      </w:r>
      <w:r>
        <w:rPr>
          <w:rFonts w:ascii="Arial" w:cs="Arial" w:eastAsia="Arial" w:hAnsi="Arial"/>
          <w:i/>
          <w:iCs/>
          <w:sz w:val="22"/>
          <w:szCs w:val="22"/>
        </w:rPr>
        <w:t xml:space="preserve">Revista Cubana de Medicina, 58</w:t>
      </w:r>
      <w:r>
        <w:rPr>
          <w:rFonts w:ascii="Arial" w:cs="Arial" w:eastAsia="Arial" w:hAnsi="Arial"/>
          <w:i w:val="false"/>
          <w:iCs w:val="false"/>
          <w:sz w:val="22"/>
          <w:szCs w:val="22"/>
        </w:rPr>
        <w:t xml:space="preserve">(1), 1-10.</w:t>
      </w:r>
    </w:p>
    <w:p>
      <w:pPr>
        <w:spacing w:after="100" w:line="276"/>
        <w:ind w:left="567" w:hanging="567"/>
        <w:jc w:val="left"/>
      </w:pPr>
      <w:r>
        <w:rPr>
          <w:rFonts w:ascii="Arial" w:cs="Arial" w:eastAsia="Arial" w:hAnsi="Arial"/>
          <w:i w:val="false"/>
          <w:iCs w:val="false"/>
          <w:sz w:val="22"/>
          <w:szCs w:val="22"/>
        </w:rPr>
        <w:t xml:space="preserve">Congreso de Colombia. (1981). Ley 23 de 1981, por la cual se dictan normas en materia de ética médica.</w:t>
      </w:r>
    </w:p>
    <w:p>
      <w:pPr>
        <w:spacing w:after="100" w:line="276"/>
        <w:ind w:left="567" w:hanging="567"/>
        <w:jc w:val="left"/>
      </w:pPr>
      <w:r>
        <w:rPr>
          <w:rFonts w:ascii="Arial" w:cs="Arial" w:eastAsia="Arial" w:hAnsi="Arial"/>
          <w:i w:val="false"/>
          <w:iCs w:val="false"/>
          <w:sz w:val="22"/>
          <w:szCs w:val="22"/>
        </w:rPr>
        <w:t xml:space="preserve">Congreso de Colombia. (2000). Ley 599 de 2000, por la cual se expide el Código Penal.</w:t>
      </w:r>
    </w:p>
    <w:p>
      <w:pPr>
        <w:spacing w:after="100" w:line="276"/>
        <w:ind w:left="567" w:hanging="567"/>
        <w:jc w:val="left"/>
      </w:pPr>
      <w:r>
        <w:rPr>
          <w:rFonts w:ascii="Arial" w:cs="Arial" w:eastAsia="Arial" w:hAnsi="Arial"/>
          <w:i w:val="false"/>
          <w:iCs w:val="false"/>
          <w:sz w:val="22"/>
          <w:szCs w:val="22"/>
        </w:rPr>
        <w:t xml:space="preserve">Congreso de Colombia. (2004). Ley 911 de 2004, por la cual se dictan disposiciones en materia de responsabilidad deontológica para el ejercicio de la profesión de enfermería.</w:t>
      </w:r>
    </w:p>
    <w:p>
      <w:pPr>
        <w:spacing w:after="100" w:line="276"/>
        <w:ind w:left="567" w:hanging="567"/>
        <w:jc w:val="left"/>
      </w:pPr>
      <w:r>
        <w:rPr>
          <w:rFonts w:ascii="Arial" w:cs="Arial" w:eastAsia="Arial" w:hAnsi="Arial"/>
          <w:i w:val="false"/>
          <w:iCs w:val="false"/>
          <w:sz w:val="22"/>
          <w:szCs w:val="22"/>
        </w:rPr>
        <w:t xml:space="preserve">Congreso de Colombia. (2011). Ley 1438 de 2011, por medio de la cual se reforma el Sistema General de Seguridad Social en Salud.</w:t>
      </w:r>
    </w:p>
    <w:p>
      <w:pPr>
        <w:spacing w:after="100" w:line="276"/>
        <w:ind w:left="567" w:hanging="567"/>
        <w:jc w:val="left"/>
      </w:pPr>
      <w:r>
        <w:rPr>
          <w:rFonts w:ascii="Arial" w:cs="Arial" w:eastAsia="Arial" w:hAnsi="Arial"/>
          <w:i w:val="false"/>
          <w:iCs w:val="false"/>
          <w:sz w:val="22"/>
          <w:szCs w:val="22"/>
        </w:rPr>
        <w:t xml:space="preserve">Congreso de Colombia. (2013). Ley 1616 de 2013, por medio de la cual se expide la ley de salud mental.</w:t>
      </w:r>
    </w:p>
    <w:p>
      <w:pPr>
        <w:spacing w:after="100" w:line="276"/>
        <w:ind w:left="567" w:hanging="567"/>
        <w:jc w:val="left"/>
      </w:pPr>
      <w:r>
        <w:rPr>
          <w:rFonts w:ascii="Arial" w:cs="Arial" w:eastAsia="Arial" w:hAnsi="Arial"/>
          <w:i w:val="false"/>
          <w:iCs w:val="false"/>
          <w:sz w:val="22"/>
          <w:szCs w:val="22"/>
        </w:rPr>
        <w:t xml:space="preserve">Congreso de Colombia. (2015). Ley Estatutaria 1751 de 2015, por medio de la cual se regula el derecho fundamental a la salud.</w:t>
      </w:r>
    </w:p>
    <w:p>
      <w:pPr>
        <w:spacing w:after="100" w:line="276"/>
        <w:ind w:left="567" w:hanging="567"/>
        <w:jc w:val="left"/>
      </w:pPr>
      <w:r>
        <w:rPr>
          <w:rFonts w:ascii="Arial" w:cs="Arial" w:eastAsia="Arial" w:hAnsi="Arial"/>
          <w:i w:val="false"/>
          <w:iCs w:val="false"/>
          <w:sz w:val="22"/>
          <w:szCs w:val="22"/>
        </w:rPr>
        <w:t xml:space="preserve">Congreso de Colombia. (2019). Ley 1949 de 2019, por la cual se adicionan y modifican algunos artículos de las Leyes 1122 de 2007 y 1438 de 2011.</w:t>
      </w:r>
    </w:p>
    <w:p>
      <w:pPr>
        <w:spacing w:after="100" w:line="276"/>
        <w:ind w:left="567" w:hanging="567"/>
        <w:jc w:val="left"/>
      </w:pPr>
      <w:r>
        <w:rPr>
          <w:rFonts w:ascii="Arial" w:cs="Arial" w:eastAsia="Arial" w:hAnsi="Arial"/>
          <w:i w:val="false"/>
          <w:iCs w:val="false"/>
          <w:sz w:val="22"/>
          <w:szCs w:val="22"/>
        </w:rPr>
        <w:t xml:space="preserve">Congreso de Colombia. (2022). Ley 2244 de 2022, por medio de la cual se reconocen los derechos de la mujer en embarazo, trabajo de parto, parto y posparto.</w:t>
      </w:r>
    </w:p>
    <w:p>
      <w:pPr>
        <w:spacing w:after="100" w:line="276"/>
        <w:ind w:left="567" w:hanging="567"/>
        <w:jc w:val="left"/>
      </w:pPr>
      <w:r>
        <w:rPr>
          <w:rFonts w:ascii="Arial" w:cs="Arial" w:eastAsia="Arial" w:hAnsi="Arial"/>
          <w:i w:val="false"/>
          <w:iCs w:val="false"/>
          <w:sz w:val="22"/>
          <w:szCs w:val="22"/>
        </w:rPr>
        <w:t xml:space="preserve">El Colombiano. (2026, febrero). Condenan a médico a 4 años por homicidio culposo tras negligencia en cirugía estética en Barrancabermeja. https://www.elcolombiano.com/colombia/condenan-medico-4-anos-homicidio-culposo-cirugia-estetica-barrancabermeja-HC33134344</w:t>
      </w:r>
    </w:p>
    <w:p>
      <w:pPr>
        <w:spacing w:after="100" w:line="276"/>
        <w:ind w:left="567" w:hanging="567"/>
        <w:jc w:val="left"/>
      </w:pPr>
      <w:r>
        <w:rPr>
          <w:rFonts w:ascii="Arial" w:cs="Arial" w:eastAsia="Arial" w:hAnsi="Arial"/>
          <w:i w:val="false"/>
          <w:iCs w:val="false"/>
          <w:sz w:val="22"/>
          <w:szCs w:val="22"/>
        </w:rPr>
        <w:t xml:space="preserve">El Tiempo. (2025, noviembre). La preocupante historia de niña que murió por dengue en Bucaramanga: denuncian que en primer hospital la devolvieron para cuidado en casa y falleció. https://www.eltiempo.com/colombia/santander/la-preocupante-historia-de-nina-que-murio-por-dengue-en-bucaramanga-denuncian-que-en-primer-hospital-la-devolvieron-para-cuidado-en-casa-y-fallecio-3505931</w:t>
      </w:r>
    </w:p>
    <w:p>
      <w:pPr>
        <w:spacing w:after="100" w:line="276"/>
        <w:ind w:left="567" w:hanging="567"/>
        <w:jc w:val="left"/>
      </w:pPr>
      <w:r>
        <w:rPr>
          <w:rFonts w:ascii="Arial" w:cs="Arial" w:eastAsia="Arial" w:hAnsi="Arial"/>
          <w:i w:val="false"/>
          <w:iCs w:val="false"/>
          <w:sz w:val="22"/>
          <w:szCs w:val="22"/>
        </w:rPr>
        <w:t xml:space="preserve">ESE Hospital San Juan de Dios de Yarumal. (2026, 22 de abril). Comunicado a la opinión pública sobre el evento adverso en el servicio de urgencias.</w:t>
      </w:r>
    </w:p>
    <w:p>
      <w:pPr>
        <w:spacing w:after="100" w:line="276"/>
        <w:ind w:left="567" w:hanging="567"/>
        <w:jc w:val="left"/>
      </w:pPr>
      <w:r>
        <w:rPr>
          <w:rFonts w:ascii="Arial" w:cs="Arial" w:eastAsia="Arial" w:hAnsi="Arial"/>
          <w:i w:val="false"/>
          <w:iCs w:val="false"/>
          <w:sz w:val="22"/>
          <w:szCs w:val="22"/>
        </w:rPr>
        <w:t xml:space="preserve">Infobae. (2025, 3 de noviembre). Niña de 10 años falleció, presuntamente, por dengue en Floridablanca, Santander: esto se sabe. https://www.infobae.com/colombia/2025/11/03/nina-de-10-anos-fallecio-presuntamente-por-dengue-en-floridablanca-santander-esto-se-sabe/</w:t>
      </w:r>
    </w:p>
    <w:p>
      <w:pPr>
        <w:spacing w:after="100" w:line="276"/>
        <w:ind w:left="567" w:hanging="567"/>
        <w:jc w:val="left"/>
      </w:pPr>
      <w:r>
        <w:rPr>
          <w:rFonts w:ascii="Arial" w:cs="Arial" w:eastAsia="Arial" w:hAnsi="Arial"/>
          <w:i w:val="false"/>
          <w:iCs w:val="false"/>
          <w:sz w:val="22"/>
          <w:szCs w:val="22"/>
        </w:rPr>
        <w:t xml:space="preserve">Ministerio de Salud. (1999). Resolución 1995 de 1999, por la cual se establecen normas para el manejo de la historia clínica.</w:t>
      </w:r>
    </w:p>
    <w:p>
      <w:pPr>
        <w:spacing w:after="100" w:line="276"/>
        <w:ind w:left="567" w:hanging="567"/>
        <w:jc w:val="left"/>
      </w:pPr>
      <w:r>
        <w:rPr>
          <w:rFonts w:ascii="Arial" w:cs="Arial" w:eastAsia="Arial" w:hAnsi="Arial"/>
          <w:i w:val="false"/>
          <w:iCs w:val="false"/>
          <w:sz w:val="22"/>
          <w:szCs w:val="22"/>
        </w:rPr>
        <w:t xml:space="preserve">Ministerio de Salud y Protección Social. (2012). Resolución 459 de 2012, por la cual se adopta el Protocolo y Modelo de Atención Integral en Salud para Víctimas de Violencia Sexual.</w:t>
      </w:r>
    </w:p>
    <w:p>
      <w:pPr>
        <w:spacing w:after="100" w:line="276"/>
        <w:ind w:left="567" w:hanging="567"/>
        <w:jc w:val="left"/>
      </w:pPr>
      <w:r>
        <w:rPr>
          <w:rFonts w:ascii="Arial" w:cs="Arial" w:eastAsia="Arial" w:hAnsi="Arial"/>
          <w:i w:val="false"/>
          <w:iCs w:val="false"/>
          <w:sz w:val="22"/>
          <w:szCs w:val="22"/>
        </w:rPr>
        <w:t xml:space="preserve">Ministerio de Salud y Protección Social. (2016). Decreto 780 de 2016, por medio del cual se expide el Decreto Único Reglamentario del Sector Salud y Protección Social.</w:t>
      </w:r>
    </w:p>
    <w:p>
      <w:pPr>
        <w:spacing w:after="100" w:line="276"/>
        <w:ind w:left="567" w:hanging="567"/>
        <w:jc w:val="left"/>
      </w:pPr>
      <w:r>
        <w:rPr>
          <w:rFonts w:ascii="Arial" w:cs="Arial" w:eastAsia="Arial" w:hAnsi="Arial"/>
          <w:i w:val="false"/>
          <w:iCs w:val="false"/>
          <w:sz w:val="22"/>
          <w:szCs w:val="22"/>
        </w:rPr>
        <w:t xml:space="preserve">Ministerio de Salud y Protección Social. (2018). Resolución 3280 de 2018, por medio de la cual se adoptan los lineamientos técnicos y operativos de la Ruta Integral de Atención para la Promoción y Mantenimiento de la Salud y la Ruta Integral de Atención en Salud para la Población Materno Perinatal.</w:t>
      </w:r>
    </w:p>
    <w:p>
      <w:pPr>
        <w:spacing w:after="100" w:line="276"/>
        <w:ind w:left="567" w:hanging="567"/>
        <w:jc w:val="left"/>
      </w:pPr>
      <w:r>
        <w:rPr>
          <w:rFonts w:ascii="Arial" w:cs="Arial" w:eastAsia="Arial" w:hAnsi="Arial"/>
          <w:i w:val="false"/>
          <w:iCs w:val="false"/>
          <w:sz w:val="22"/>
          <w:szCs w:val="22"/>
        </w:rPr>
        <w:t xml:space="preserve">Ministerio de Salud y Protección Social. (2019). </w:t>
      </w:r>
      <w:r>
        <w:rPr>
          <w:rFonts w:ascii="Arial" w:cs="Arial" w:eastAsia="Arial" w:hAnsi="Arial"/>
          <w:i/>
          <w:iCs/>
          <w:sz w:val="22"/>
          <w:szCs w:val="22"/>
        </w:rPr>
        <w:t xml:space="preserve">Algoritmo de diagnóstico y tratamiento de dengue</w:t>
      </w:r>
      <w:r>
        <w:rPr>
          <w:rFonts w:ascii="Arial" w:cs="Arial" w:eastAsia="Arial" w:hAnsi="Arial"/>
          <w:i w:val="false"/>
          <w:iCs w:val="false"/>
          <w:sz w:val="22"/>
          <w:szCs w:val="22"/>
        </w:rPr>
        <w:t xml:space="preserve">.</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3100 de 2019, por la cual se definen los procedimientos y condiciones de inscripción de los prestadores de servicios de salud y de habilitación de los servicios de salud.</w:t>
      </w:r>
    </w:p>
    <w:p>
      <w:pPr>
        <w:spacing w:after="100" w:line="276"/>
        <w:ind w:left="567" w:hanging="567"/>
        <w:jc w:val="left"/>
      </w:pPr>
      <w:r>
        <w:rPr>
          <w:rFonts w:ascii="Arial" w:cs="Arial" w:eastAsia="Arial" w:hAnsi="Arial"/>
          <w:i w:val="false"/>
          <w:iCs w:val="false"/>
          <w:sz w:val="22"/>
          <w:szCs w:val="22"/>
        </w:rPr>
        <w:t xml:space="preserve">Ministerio de Salud y Protección Social. (2020). Resolución 2350 de 2020, por la cual se adopta el lineamiento técnico para el manejo integral de atención a la desnutrición aguda moderada y severa en niños de 0 a 59 meses.</w:t>
      </w:r>
    </w:p>
    <w:p>
      <w:pPr>
        <w:spacing w:after="100" w:line="276"/>
        <w:ind w:left="567" w:hanging="567"/>
        <w:jc w:val="left"/>
      </w:pPr>
      <w:r>
        <w:rPr>
          <w:rFonts w:ascii="Arial" w:cs="Arial" w:eastAsia="Arial" w:hAnsi="Arial"/>
          <w:i w:val="false"/>
          <w:iCs w:val="false"/>
          <w:sz w:val="22"/>
          <w:szCs w:val="22"/>
        </w:rPr>
        <w:t xml:space="preserve">Ministerio de Salud y Protección Social. (2022). Decreto 681 de 2022, por medio del cual se adopta la Política Pública Nacional de Envejecimiento y Vejez 2022-2031.</w:t>
      </w:r>
    </w:p>
    <w:p>
      <w:pPr>
        <w:spacing w:after="100" w:line="276"/>
        <w:ind w:left="567" w:hanging="567"/>
        <w:jc w:val="left"/>
      </w:pPr>
      <w:r>
        <w:rPr>
          <w:rFonts w:ascii="Arial" w:cs="Arial" w:eastAsia="Arial" w:hAnsi="Arial"/>
          <w:i w:val="false"/>
          <w:iCs w:val="false"/>
          <w:sz w:val="22"/>
          <w:szCs w:val="22"/>
        </w:rPr>
        <w:t xml:space="preserve">Ministerio de Salud y Protección Social. (2025). Resolución 465 de 2025, por la cual se modifica la Resolución 3100 de 2019.</w:t>
      </w:r>
    </w:p>
    <w:p>
      <w:pPr>
        <w:spacing w:after="100" w:line="276"/>
        <w:ind w:left="567" w:hanging="567"/>
        <w:jc w:val="left"/>
      </w:pPr>
      <w:r>
        <w:rPr>
          <w:rFonts w:ascii="Arial" w:cs="Arial" w:eastAsia="Arial" w:hAnsi="Arial"/>
          <w:i w:val="false"/>
          <w:iCs w:val="false"/>
          <w:sz w:val="22"/>
          <w:szCs w:val="22"/>
        </w:rPr>
        <w:t xml:space="preserve">Ministerio de Salud y Protección Social. (2026). Resolución 115 de 2026, por la cual se modifica parcialmente la Resolución 2350 de 2020.</w:t>
      </w:r>
    </w:p>
    <w:p>
      <w:pPr>
        <w:spacing w:after="100" w:line="276"/>
        <w:ind w:left="567" w:hanging="567"/>
        <w:jc w:val="left"/>
      </w:pPr>
      <w:r>
        <w:rPr>
          <w:rFonts w:ascii="Arial" w:cs="Arial" w:eastAsia="Arial" w:hAnsi="Arial"/>
          <w:i w:val="false"/>
          <w:iCs w:val="false"/>
          <w:sz w:val="22"/>
          <w:szCs w:val="22"/>
        </w:rPr>
        <w:t xml:space="preserve">Ministerio de Salud y Protección Social, Instituto Nacional de Salud y Organización Panamericana de la Salud. (2010). </w:t>
      </w:r>
      <w:r>
        <w:rPr>
          <w:rFonts w:ascii="Arial" w:cs="Arial" w:eastAsia="Arial" w:hAnsi="Arial"/>
          <w:i/>
          <w:iCs/>
          <w:sz w:val="22"/>
          <w:szCs w:val="22"/>
        </w:rPr>
        <w:t xml:space="preserve">Guía para la atención clínica integral del paciente con dengue</w:t>
      </w:r>
      <w:r>
        <w:rPr>
          <w:rFonts w:ascii="Arial" w:cs="Arial" w:eastAsia="Arial" w:hAnsi="Arial"/>
          <w:i w:val="false"/>
          <w:iCs w:val="false"/>
          <w:sz w:val="22"/>
          <w:szCs w:val="22"/>
        </w:rPr>
        <w:t xml:space="preserve">. Ministerio de Salud y Protección Social.</w:t>
      </w:r>
    </w:p>
    <w:p>
      <w:pPr>
        <w:spacing w:after="100" w:line="276"/>
        <w:ind w:left="567" w:hanging="567"/>
        <w:jc w:val="left"/>
      </w:pPr>
      <w:r>
        <w:rPr>
          <w:rFonts w:ascii="Arial" w:cs="Arial" w:eastAsia="Arial" w:hAnsi="Arial"/>
          <w:i w:val="false"/>
          <w:iCs w:val="false"/>
          <w:sz w:val="22"/>
          <w:szCs w:val="22"/>
        </w:rPr>
        <w:t xml:space="preserve">Organización Panamericana de la Salud. (2020). </w:t>
      </w:r>
      <w:r>
        <w:rPr>
          <w:rFonts w:ascii="Arial" w:cs="Arial" w:eastAsia="Arial" w:hAnsi="Arial"/>
          <w:i/>
          <w:iCs/>
          <w:sz w:val="22"/>
          <w:szCs w:val="22"/>
        </w:rPr>
        <w:t xml:space="preserve">Algoritmos para el manejo clínico de los casos de dengue</w:t>
      </w:r>
      <w:r>
        <w:rPr>
          <w:rFonts w:ascii="Arial" w:cs="Arial" w:eastAsia="Arial" w:hAnsi="Arial"/>
          <w:i w:val="false"/>
          <w:iCs w:val="false"/>
          <w:sz w:val="22"/>
          <w:szCs w:val="22"/>
        </w:rPr>
        <w:t xml:space="preserve">. OPS.</w:t>
      </w:r>
    </w:p>
    <w:p>
      <w:pPr>
        <w:spacing w:after="100" w:line="276"/>
        <w:ind w:left="567" w:hanging="567"/>
        <w:jc w:val="left"/>
      </w:pPr>
      <w:r>
        <w:rPr>
          <w:rFonts w:ascii="Arial" w:cs="Arial" w:eastAsia="Arial" w:hAnsi="Arial"/>
          <w:i w:val="false"/>
          <w:iCs w:val="false"/>
          <w:sz w:val="22"/>
          <w:szCs w:val="22"/>
        </w:rPr>
        <w:t xml:space="preserve">Organización Panamericana de la Salud. (2026, 20 de febrero). OPS actualiza situación del dengue en las Américas y recomienda reforzar la vigilancia. https://www.paho.org/es/noticias/20-2-2026-ops-actualiza-situacion-dengue-americas-recomienda-reforzar-vigilancia</w:t>
      </w:r>
    </w:p>
    <w:p>
      <w:pPr>
        <w:spacing w:after="100" w:line="276"/>
        <w:ind w:left="567" w:hanging="567"/>
        <w:jc w:val="left"/>
      </w:pPr>
      <w:r>
        <w:rPr>
          <w:rFonts w:ascii="Arial" w:cs="Arial" w:eastAsia="Arial" w:hAnsi="Arial"/>
          <w:i w:val="false"/>
          <w:iCs w:val="false"/>
          <w:sz w:val="22"/>
          <w:szCs w:val="22"/>
        </w:rPr>
        <w:t xml:space="preserve">Torres-Tamayo, M., Zurita-Cruz, J. N., Aguilar-Herrera, B. E., Miranda-Lora, A. L., Calzada-León, R., Rivera-Hernández, A. J., … &amp; Castilla-Peón, M. F. (2020). Metodología para la elaboración de la guía de práctica clínica. </w:t>
      </w:r>
      <w:r>
        <w:rPr>
          <w:rFonts w:ascii="Arial" w:cs="Arial" w:eastAsia="Arial" w:hAnsi="Arial"/>
          <w:i/>
          <w:iCs/>
          <w:sz w:val="22"/>
          <w:szCs w:val="22"/>
        </w:rPr>
        <w:t xml:space="preserve">Boletín Médico del Hospital Infantil de México</w:t>
      </w:r>
      <w:r>
        <w:rPr>
          <w:rFonts w:ascii="Arial" w:cs="Arial" w:eastAsia="Arial" w:hAnsi="Arial"/>
          <w:i w:val="false"/>
          <w:iCs w:val="false"/>
          <w:sz w:val="22"/>
          <w:szCs w:val="22"/>
        </w:rPr>
        <w:t xml:space="preserve">, 1-9.</w:t>
      </w:r>
    </w:p>
    <w:p>
      <w:pPr>
        <w:spacing w:after="100" w:line="276"/>
        <w:ind w:left="567" w:hanging="567"/>
        <w:jc w:val="left"/>
      </w:pPr>
      <w:r>
        <w:rPr>
          <w:rFonts w:ascii="Arial" w:cs="Arial" w:eastAsia="Arial" w:hAnsi="Arial"/>
          <w:i w:val="false"/>
          <w:iCs w:val="false"/>
          <w:sz w:val="22"/>
          <w:szCs w:val="22"/>
        </w:rPr>
        <w:t xml:space="preserve">Vanguardia. (2025, 9 de noviembre). ¿Por qué Santander es el departamento con más casos de dengue? https://www.vanguardia.com/area-metropolitana/bucaramanga/2025/11/09/por-que-santander-es-el-departamento-con-mas-casos-de-dengue/</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2026-10-16T17:16:13.767Z</dcterms:created>
  <dcterms:modified xsi:type="dcterms:W3CDTF">2026-10-16T17:16:13.776Z</dcterms:modified>
</cp:coreProperties>
</file>

<file path=docProps/custom.xml><?xml version="1.0" encoding="utf-8"?>
<Properties xmlns="http://schemas.openxmlformats.org/officeDocument/2006/custom-properties" xmlns:vt="http://schemas.openxmlformats.org/officeDocument/2006/docPropsVTypes"/>
</file>