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jc w:val="center"/>
      </w:pPr>
      <w:r>
        <w:rPr>
          <w:rFonts w:ascii="Arial" w:cs="Arial" w:eastAsia="Arial" w:hAnsi="Arial"/>
          <w:b w:val="false"/>
          <w:bCs w:val="false"/>
          <w:sz w:val="24"/>
          <w:szCs w:val="24"/>
        </w:rPr>
        <w:t xml:space="preserve"/>
      </w:r>
    </w:p>
    <w:p>
      <w:pPr>
        <w:spacing w:after="400"/>
        <w:jc w:val="center"/>
      </w:pPr>
      <w:r>
        <w:rPr>
          <w:rFonts w:ascii="Arial" w:cs="Arial" w:eastAsia="Arial" w:hAnsi="Arial"/>
          <w:b/>
          <w:bCs/>
          <w:sz w:val="30"/>
          <w:szCs w:val="30"/>
        </w:rPr>
        <w:t xml:space="preserve">Determinantes sociales de la salud y gestión integral del riesgo en un paciente con cáncer de próstata metastásico en zona rural del sur de Bolívar</w:t>
      </w:r>
    </w:p>
    <w:p>
      <w:pPr>
        <w:spacing w:after="1400"/>
        <w:jc w:val="center"/>
      </w:pPr>
      <w:r>
        <w:rPr>
          <w:rFonts w:ascii="Arial" w:cs="Arial" w:eastAsia="Arial" w:hAnsi="Arial"/>
          <w:b w:val="false"/>
          <w:bCs w:val="false"/>
          <w:sz w:val="24"/>
          <w:szCs w:val="24"/>
        </w:rPr>
        <w:t xml:space="preserve">Análisis de caso: Edilberto Solera, vereda El Niai, municipio de Simití (Bolívar)</w:t>
      </w:r>
    </w:p>
    <w:p>
      <w:pPr>
        <w:spacing w:after="600"/>
        <w:jc w:val="center"/>
      </w:pPr>
      <w:r>
        <w:rPr>
          <w:rFonts w:ascii="Arial" w:cs="Arial" w:eastAsia="Arial" w:hAnsi="Arial"/>
          <w:b/>
          <w:bCs/>
          <w:sz w:val="24"/>
          <w:szCs w:val="24"/>
        </w:rPr>
        <w:t xml:space="preserve">Yina Vanessa Cadena Mantilla</w:t>
      </w:r>
    </w:p>
    <w:p>
      <w:pPr>
        <w:spacing w:after="120"/>
        <w:jc w:val="center"/>
      </w:pPr>
      <w:r>
        <w:rPr>
          <w:rFonts w:ascii="Arial" w:cs="Arial" w:eastAsia="Arial" w:hAnsi="Arial"/>
          <w:b w:val="false"/>
          <w:bCs w:val="false"/>
          <w:sz w:val="24"/>
          <w:szCs w:val="24"/>
        </w:rPr>
        <w:t xml:space="preserve">Especialización en Gerencia y Auditoría de la Calidad en Salud</w:t>
      </w:r>
    </w:p>
    <w:p>
      <w:pPr>
        <w:spacing w:after="120"/>
        <w:jc w:val="center"/>
      </w:pPr>
      <w:r>
        <w:rPr>
          <w:rFonts w:ascii="Arial" w:cs="Arial" w:eastAsia="Arial" w:hAnsi="Arial"/>
          <w:b w:val="false"/>
          <w:bCs w:val="false"/>
          <w:sz w:val="24"/>
          <w:szCs w:val="24"/>
        </w:rPr>
        <w:t xml:space="preserve">Curso: [Nombre del curso]</w:t>
      </w:r>
    </w:p>
    <w:p>
      <w:pPr>
        <w:spacing w:after="600"/>
        <w:jc w:val="center"/>
      </w:pPr>
      <w:r>
        <w:rPr>
          <w:rFonts w:ascii="Arial" w:cs="Arial" w:eastAsia="Arial" w:hAnsi="Arial"/>
          <w:b w:val="false"/>
          <w:bCs w:val="false"/>
          <w:sz w:val="24"/>
          <w:szCs w:val="24"/>
        </w:rPr>
        <w:t xml:space="preserve">Semana [N.º]: Análisis de caso. Determinantes sociales y gestión integral del riesgo en salud</w:t>
      </w:r>
    </w:p>
    <w:p>
      <w:pPr>
        <w:spacing w:after="600"/>
        <w:jc w:val="center"/>
      </w:pPr>
      <w:r>
        <w:rPr>
          <w:rFonts w:ascii="Arial" w:cs="Arial" w:eastAsia="Arial" w:hAnsi="Arial"/>
          <w:b w:val="false"/>
          <w:bCs w:val="false"/>
          <w:sz w:val="24"/>
          <w:szCs w:val="24"/>
        </w:rPr>
        <w:t xml:space="preserve">Docente: [Nombre del docente]</w:t>
      </w:r>
    </w:p>
    <w:p>
      <w:pPr>
        <w:spacing w:after="120"/>
        <w:jc w:val="center"/>
      </w:pPr>
      <w:r>
        <w:rPr>
          <w:rFonts w:ascii="Arial" w:cs="Arial" w:eastAsia="Arial" w:hAnsi="Arial"/>
          <w:b w:val="false"/>
          <w:bCs w:val="false"/>
          <w:sz w:val="24"/>
          <w:szCs w:val="24"/>
        </w:rPr>
        <w:t xml:space="preserve">22 de septiembre de 2026</w:t>
      </w:r>
    </w:p>
    <w:p>
      <w:r>
        <w:br w:type="page"/>
      </w:r>
    </w:p>
    <w:p>
      <w:pPr>
        <w:pStyle w:val="Heading1"/>
        <w:spacing w:after="120" w:before="240"/>
      </w:pPr>
      <w:r>
        <w:rPr>
          <w:rFonts w:ascii="Arial" w:cs="Arial" w:eastAsia="Arial" w:hAnsi="Arial"/>
          <w:b/>
          <w:bCs/>
          <w:color w:val="1F3864"/>
          <w:sz w:val="26"/>
          <w:szCs w:val="26"/>
        </w:rPr>
        <w:t xml:space="preserve">Introducción</w:t>
      </w:r>
    </w:p>
    <w:p>
      <w:pPr>
        <w:spacing w:after="80" w:line="259"/>
        <w:ind w:firstLine="567"/>
        <w:jc w:val="both"/>
      </w:pPr>
      <w:r>
        <w:rPr>
          <w:rFonts w:ascii="Arial" w:cs="Arial" w:eastAsia="Arial" w:hAnsi="Arial"/>
          <w:sz w:val="22"/>
          <w:szCs w:val="22"/>
        </w:rPr>
        <w:t xml:space="preserve">La salud de las personas no depende únicamente de la biología o de la atención médica que reciben; está condicionada por las circunstancias en que nacen, crecen, viven, trabajan y envejecen, y por la distribución del poder, el dinero y los recursos que moldea esas circunstancias. A este conjunto de condiciones la Organización Mundial de la Salud lo denomina determinantes sociales de la salud (DSS) y los clasifica, siguiendo el marco conceptual de Solar e Irwin (2010), en determinantes estructurales —contexto socioeconómico y político, y posición social— e intermedios —condiciones materiales, factores conductuales, biológicos, psicosociales y el propio sistema de salud—. Lema Añón (2021) advierte que abordarlos exige ir más allá del derecho a la atención sanitaria, porque las desigualdades en salud son desigualdades sociales injustas y evitables.</w:t>
      </w:r>
    </w:p>
    <w:p>
      <w:pPr>
        <w:spacing w:after="80" w:line="259"/>
        <w:ind w:firstLine="567"/>
        <w:jc w:val="both"/>
      </w:pPr>
      <w:r>
        <w:rPr>
          <w:rFonts w:ascii="Arial" w:cs="Arial" w:eastAsia="Arial" w:hAnsi="Arial"/>
          <w:sz w:val="22"/>
          <w:szCs w:val="22"/>
        </w:rPr>
        <w:t xml:space="preserve">El presente documento analiza un caso real del contexto local: el del señor Edilberto Solera, habitante de la vereda El Niai, en el municipio de Simití (sur de Bolívar), diagnosticado con cáncer de próstata con metástasis ósea, cuya atención se realiza en Sincelejo (Sucre) debido a que la EPS a la que estaba afiliado fue liquidada y la nueva EPS asignada no cuenta con red de prestadores en Bolívar. Se describe el contexto del caso, se clasifican los determinantes y los factores de riesgo según el modelo de Lalonde, y se propone un plan de gestión integral del riesgo en salud (GIRS) —prevención, mitigación, atención y seguimiento— con base normativa colombiana e indicadores de impacto y sostenibilidad, respondiendo además a las preguntas orientadoras de la actividad.</w:t>
      </w:r>
    </w:p>
    <w:p>
      <w:pPr>
        <w:pStyle w:val="Heading1"/>
        <w:spacing w:after="120" w:before="240"/>
      </w:pPr>
      <w:r>
        <w:rPr>
          <w:rFonts w:ascii="Arial" w:cs="Arial" w:eastAsia="Arial" w:hAnsi="Arial"/>
          <w:b/>
          <w:bCs/>
          <w:color w:val="1F3864"/>
          <w:sz w:val="26"/>
          <w:szCs w:val="26"/>
        </w:rPr>
        <w:t xml:space="preserve">Desarrollo</w:t>
      </w:r>
    </w:p>
    <w:p>
      <w:pPr>
        <w:pStyle w:val="Heading2"/>
        <w:spacing w:after="100" w:before="180"/>
      </w:pPr>
      <w:r>
        <w:rPr>
          <w:rFonts w:ascii="Arial" w:cs="Arial" w:eastAsia="Arial" w:hAnsi="Arial"/>
          <w:b/>
          <w:bCs/>
          <w:color w:val="2E5496"/>
          <w:sz w:val="23"/>
          <w:szCs w:val="23"/>
        </w:rPr>
        <w:t xml:space="preserve">1. Descripción de la problemática y del contexto local, temporal y geográfico</w:t>
      </w:r>
    </w:p>
    <w:p>
      <w:pPr>
        <w:spacing w:after="80" w:line="259"/>
        <w:ind w:firstLine="567"/>
        <w:jc w:val="both"/>
      </w:pPr>
      <w:r>
        <w:rPr>
          <w:rFonts w:ascii="Arial" w:cs="Arial" w:eastAsia="Arial" w:hAnsi="Arial"/>
          <w:b/>
          <w:bCs/>
          <w:sz w:val="22"/>
          <w:szCs w:val="22"/>
        </w:rPr>
        <w:t xml:space="preserve">Contexto geográfico. </w:t>
      </w:r>
      <w:r>
        <w:rPr>
          <w:rFonts w:ascii="Arial" w:cs="Arial" w:eastAsia="Arial" w:hAnsi="Arial"/>
          <w:sz w:val="22"/>
          <w:szCs w:val="22"/>
        </w:rPr>
        <w:t xml:space="preserve">Simití es un municipio del sur del departamento de Bolívar, ubicado en la subregión del Magdalena Medio, a orillas de la ciénaga de Simití y del río Magdalena. Su población es mayoritariamente rural y dispersa; las veredas, como El Niai, se comunican con la cabecera por vías terciarias en mal estado y por transporte fluvial, lo que encarece y prolonga cualquier desplazamiento. La oferta de servicios de salud en el municipio corresponde principalmente a baja complejidad, mientras que la oncología y el cuidado paliativo especializado se concentran en ciudades como Cartagena, Barrancabermeja, Bucaramanga o Sincelejo, a varias horas de recorrido.</w:t>
      </w:r>
    </w:p>
    <w:p>
      <w:pPr>
        <w:spacing w:after="80" w:line="259"/>
        <w:ind w:firstLine="567"/>
        <w:jc w:val="both"/>
      </w:pPr>
      <w:r>
        <w:rPr>
          <w:rFonts w:ascii="Arial" w:cs="Arial" w:eastAsia="Arial" w:hAnsi="Arial"/>
          <w:b/>
          <w:bCs/>
          <w:sz w:val="22"/>
          <w:szCs w:val="22"/>
        </w:rPr>
        <w:t xml:space="preserve">Contexto social y económico. </w:t>
      </w:r>
      <w:r>
        <w:rPr>
          <w:rFonts w:ascii="Arial" w:cs="Arial" w:eastAsia="Arial" w:hAnsi="Arial"/>
          <w:sz w:val="22"/>
          <w:szCs w:val="22"/>
        </w:rPr>
        <w:t xml:space="preserve">El sur de Bolívar es una de las zonas del país con mayores índices de pobreza multidimensional y de necesidades básicas insatisfechas, muy por encima del promedio nacional (14,13 % según el Censo Nacional de Población y Vivienda 2018 del DANE), con economías basadas en la agricultura de subsistencia, la pesca y la minería artesanal, alta informalidad laboral y presencia histórica del conflicto armado. La mayor parte de la población está afiliada al régimen subsidiado del Sistema General de Seguridad Social en Salud (SGSSS).</w:t>
      </w:r>
    </w:p>
    <w:p>
      <w:pPr>
        <w:spacing w:after="80" w:line="259"/>
        <w:ind w:firstLine="567"/>
        <w:jc w:val="both"/>
      </w:pPr>
      <w:r>
        <w:rPr>
          <w:rFonts w:ascii="Arial" w:cs="Arial" w:eastAsia="Arial" w:hAnsi="Arial"/>
          <w:b/>
          <w:bCs/>
          <w:sz w:val="22"/>
          <w:szCs w:val="22"/>
        </w:rPr>
        <w:t xml:space="preserve">Contexto temporal. </w:t>
      </w:r>
      <w:r>
        <w:rPr>
          <w:rFonts w:ascii="Arial" w:cs="Arial" w:eastAsia="Arial" w:hAnsi="Arial"/>
          <w:sz w:val="22"/>
          <w:szCs w:val="22"/>
        </w:rPr>
        <w:t xml:space="preserve">El caso ocurre en un periodo (2023–2026) marcado por la crisis financiera de las EPS, la liquidación de varias de ellas y la asignación masiva de afiliados a otras entidades según el Decreto 780 de 2016, modificado por el Decreto 1424 de 2019. En la práctica, muchos usuarios quedaron asignados a EPS sin red contratada en su departamento de residencia, lo que generó barreras de acceso para pacientes con enfermedades de alto costo.</w:t>
      </w:r>
    </w:p>
    <w:p>
      <w:pPr>
        <w:spacing w:after="80" w:line="259"/>
        <w:ind w:firstLine="567"/>
        <w:jc w:val="both"/>
      </w:pPr>
      <w:r>
        <w:rPr>
          <w:rFonts w:ascii="Arial" w:cs="Arial" w:eastAsia="Arial" w:hAnsi="Arial"/>
          <w:b/>
          <w:bCs/>
          <w:sz w:val="22"/>
          <w:szCs w:val="22"/>
        </w:rPr>
        <w:t xml:space="preserve">La problemática. </w:t>
      </w:r>
      <w:r>
        <w:rPr>
          <w:rFonts w:ascii="Arial" w:cs="Arial" w:eastAsia="Arial" w:hAnsi="Arial"/>
          <w:sz w:val="22"/>
          <w:szCs w:val="22"/>
        </w:rPr>
        <w:t xml:space="preserve">El señor Edilberto Solera padece cáncer de próstata que ya hizo metástasis en los huesos, es decir, una enfermedad avanzada que requiere tratamiento oncológico continuo (terapia hormonal, eventualmente quimioterapia o radioterapia), manejo del dolor, controles periódicos con laboratorios e imágenes, y cuidados paliativos. Tras la liquidación de su EPS, fue trasladado a otra que no presta servicios en Bolívar, por lo que debe viajar a Sincelejo para consultas, autorizaciones, entrega de medicamentos y exámenes. Al ser afiliado al régimen subsidiado y no contar con ingresos estables ni apoyo institucional, él y su familia asumen los costos de transporte, alimentación y estadía de cada desplazamiento, lo que produce retrasos, inasistencias, interrupciones del tratamiento, deterioro de su calidad de vida y empobrecimiento del hogar. Su enfermedad está, por tanto, agravada por la ruralidad, la pobreza y la fragmentación del sistema.</w:t>
      </w:r>
    </w:p>
    <w:p>
      <w:pPr>
        <w:pStyle w:val="Heading2"/>
        <w:spacing w:after="100" w:before="180"/>
      </w:pPr>
      <w:r>
        <w:rPr>
          <w:rFonts w:ascii="Arial" w:cs="Arial" w:eastAsia="Arial" w:hAnsi="Arial"/>
          <w:b/>
          <w:bCs/>
          <w:color w:val="2E5496"/>
          <w:sz w:val="23"/>
          <w:szCs w:val="23"/>
        </w:rPr>
        <w:t xml:space="preserve">2. Clasificación de los determinantes sociales de la salud</w:t>
      </w:r>
    </w:p>
    <w:p>
      <w:pPr>
        <w:spacing w:after="80" w:line="259"/>
        <w:ind w:firstLine="567"/>
        <w:jc w:val="both"/>
      </w:pPr>
      <w:r>
        <w:rPr>
          <w:rFonts w:ascii="Arial" w:cs="Arial" w:eastAsia="Arial" w:hAnsi="Arial"/>
          <w:sz w:val="22"/>
          <w:szCs w:val="22"/>
        </w:rPr>
        <w:t xml:space="preserve">La Tabla 1 organiza los determinantes identificados según el marco de la Comisión sobre Determinantes Sociales de la Salud (Solar e Irwin, 2010) y explica cómo cada uno afecta la situación del paciente.</w:t>
      </w:r>
    </w:p>
    <w:p>
      <w:pPr>
        <w:keepNext/>
        <w:spacing w:after="60" w:before="120"/>
      </w:pPr>
      <w:r>
        <w:rPr>
          <w:rFonts w:ascii="Arial" w:cs="Arial" w:eastAsia="Arial" w:hAnsi="Arial"/>
          <w:b/>
          <w:bCs/>
          <w:sz w:val="20"/>
          <w:szCs w:val="20"/>
        </w:rPr>
        <w:t xml:space="preserve">Tabla 1</w:t>
      </w:r>
    </w:p>
    <w:p>
      <w:pPr>
        <w:keepNext/>
        <w:spacing w:after="80"/>
      </w:pPr>
      <w:r>
        <w:rPr>
          <w:rFonts w:ascii="Arial" w:cs="Arial" w:eastAsia="Arial" w:hAnsi="Arial"/>
          <w:i/>
          <w:iCs/>
          <w:sz w:val="20"/>
          <w:szCs w:val="20"/>
        </w:rPr>
        <w:t xml:space="preserve">Clasificación de determinantes sociales en 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860"/>
      </w:tblGrid>
      <w:tr>
        <w:trPr>
          <w:tblHeader/>
        </w:trPr>
        <w:tc>
          <w:tcPr>
            <w:tcW w:type="dxa" w:w="15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Tipo</w:t>
            </w:r>
          </w:p>
        </w:tc>
        <w:tc>
          <w:tcPr>
            <w:tcW w:type="dxa" w:w="23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Categoría</w:t>
            </w:r>
          </w:p>
        </w:tc>
        <w:tc>
          <w:tcPr>
            <w:tcW w:type="dxa" w:w="27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Manifestación en el caso</w:t>
            </w:r>
          </w:p>
        </w:tc>
        <w:tc>
          <w:tcPr>
            <w:tcW w:type="dxa" w:w="28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Efecto sobre la situación de salud</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Estructural</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Económico</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Pobreza rural, ingresos de subsistencia, NBI elevadas, ausencia de ahorro o seguros.</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Imposibilidad de costear viajes, alimentación y estadía; inasistencia a controles; gasto de bolsillo que empobrece a la familia.</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Estructural</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Político</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Fragmentación del SGSSS, liquidación de la EPS y asignación a una EPS sin red en Bolívar; débil capacidad de inspección y vigilancia.</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Rompe la continuidad de la atención; traslada al paciente la carga de trámites y desplazamientos; retrasa autorizaciones.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Estructural</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Social</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Ruralidad dispersa, baja escolaridad, afectación histórica por el conflicto armado, régimen subsidiado como posición social.</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Menor acceso a información y a tamizaje; dificultad para exigir derechos; menor poder de negociación frente al sistema.</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Condiciones materiales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Vías terciarias en mal estado, transporte fluvial y terrestre costoso, vivienda rural, lejanía de servicios oncológicos.</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Viajes largos y agotadores para un paciente con dolor óseo; riesgo de fracturas; exposición a condiciones inadecuadas durante la estadía.</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Factores conductuales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Baja cultura de tamizaje en hombres, consulta solo ante síntomas, barreras culturales frente al tacto rectal.</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Diagnóstico en estadio avanzado (metastásico), cuando las opciones curativas ya son limitadas.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Factores biológicos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Sexo masculino, edad adulta, posible predisposición genética, enfermedad metastásica.</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Mayor riesgo de complicaciones: dolor, fracturas patológicas, compresión medular, anemia, hipercalcemia.</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Psicosociales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Estrés, incertidumbre, carga del cuidador familiar, separación del hogar durante los viajes.</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Deterioro emocional del paciente y la familia; riesgo de abandono del tratamiento.</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Sistema de salud</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Servicios de alta complejidad concentrados en ciudades; trámites presenciales; ausencia de transporte y alojamiento financiados.</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Barreras de acceso geográfico, administrativo y económico; atención no oportuna ni continua.</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Solar e Irwin (2010) y Lema Añón (2021).</w:t>
      </w:r>
    </w:p>
    <w:p>
      <w:pPr>
        <w:spacing w:after="80" w:line="259"/>
        <w:ind w:firstLine="567"/>
        <w:jc w:val="both"/>
      </w:pPr>
      <w:r>
        <w:rPr>
          <w:rFonts w:ascii="Arial" w:cs="Arial" w:eastAsia="Arial" w:hAnsi="Arial"/>
          <w:b/>
          <w:bCs/>
          <w:sz w:val="22"/>
          <w:szCs w:val="22"/>
        </w:rPr>
        <w:t xml:space="preserve">¿Qué impacto tiene en el territorio la gestión inadecuada de las NBI? </w:t>
      </w:r>
      <w:r>
        <w:rPr>
          <w:rFonts w:ascii="Arial" w:cs="Arial" w:eastAsia="Arial" w:hAnsi="Arial"/>
          <w:sz w:val="22"/>
          <w:szCs w:val="22"/>
        </w:rPr>
        <w:t xml:space="preserve">El caso muestra que las NBI no son un dato estadístico aislado: cuando no se gestionan, se convierten en barreras para la atención. Un hogar sin ingresos suficientes, en una vivienda aislada y sin vías adecuadas, no puede sostener un tratamiento oncológico en otra ciudad. A escala territorial, esto se traduce en diagnósticos tardíos, mayor mortalidad evitable, más años de vida potencialmente perdidos, empobrecimiento por gasto catastrófico en salud, sobrecarga de los servicios de urgencias locales y pérdida de confianza en las instituciones. La inequidad se reproduce: quien menos tiene es quien más paga, en dinero y en salud, por enfermar.</w:t>
      </w:r>
    </w:p>
    <w:p>
      <w:pPr>
        <w:pStyle w:val="Heading2"/>
        <w:spacing w:after="100" w:before="180"/>
      </w:pPr>
      <w:r>
        <w:rPr>
          <w:rFonts w:ascii="Arial" w:cs="Arial" w:eastAsia="Arial" w:hAnsi="Arial"/>
          <w:b/>
          <w:bCs/>
          <w:color w:val="2E5496"/>
          <w:sz w:val="23"/>
          <w:szCs w:val="23"/>
        </w:rPr>
        <w:t xml:space="preserve">3. Mapa de determinantes sociales y factores de riesgo (modelo de Lalonde)</w:t>
      </w:r>
    </w:p>
    <w:p>
      <w:pPr>
        <w:spacing w:after="80" w:line="259"/>
        <w:ind w:firstLine="567"/>
        <w:jc w:val="both"/>
      </w:pPr>
      <w:r>
        <w:rPr>
          <w:rFonts w:ascii="Arial" w:cs="Arial" w:eastAsia="Arial" w:hAnsi="Arial"/>
          <w:sz w:val="22"/>
          <w:szCs w:val="22"/>
        </w:rPr>
        <w:t xml:space="preserve">La Figura 1 integra los determinantes estructurales e intermedios con el resultado en salud y resume los factores de riesgo según los cuatro campos del modelo de Lalonde (1974): biología humana, medio ambiente, estilos de vida y sistema de atención en salud. Se observa que, aunque la biología explica la aparición de la enfermedad, son el medio ambiente social y el sistema de salud los campos que más pesan en su evolución desfavorable.</w:t>
      </w:r>
    </w:p>
    <w:p>
      <w:pPr>
        <w:keepNext/>
        <w:spacing w:after="60" w:before="120"/>
      </w:pPr>
      <w:r>
        <w:rPr>
          <w:rFonts w:ascii="Arial" w:cs="Arial" w:eastAsia="Arial" w:hAnsi="Arial"/>
          <w:b/>
          <w:bCs/>
          <w:sz w:val="20"/>
          <w:szCs w:val="20"/>
        </w:rPr>
        <w:t xml:space="preserve">Figura 1</w:t>
      </w:r>
    </w:p>
    <w:p>
      <w:pPr>
        <w:keepNext/>
        <w:spacing w:after="60"/>
      </w:pPr>
      <w:r>
        <w:rPr>
          <w:rFonts w:ascii="Arial" w:cs="Arial" w:eastAsia="Arial" w:hAnsi="Arial"/>
          <w:i/>
          <w:iCs/>
          <w:sz w:val="20"/>
          <w:szCs w:val="20"/>
        </w:rPr>
        <w:t xml:space="preserve">Mapa de determinantes sociales y factores de riesgo según Lalonde</w:t>
      </w:r>
    </w:p>
    <w:p>
      <w:pPr>
        <w:keepNext/>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52800"/>
                    </a:xfrm>
                    <a:prstGeom prst="rect">
                      <a:avLst/>
                    </a:prstGeom>
                  </pic:spPr>
                </pic:pic>
              </a:graphicData>
            </a:graphic>
          </wp:inline>
        </w:drawing>
      </w:r>
    </w:p>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Solar e Irwin (2010) y Lalonde (1974).</w:t>
      </w:r>
    </w:p>
    <w:p>
      <w:pPr>
        <w:pStyle w:val="Heading2"/>
        <w:spacing w:after="100" w:before="180"/>
      </w:pPr>
      <w:r>
        <w:rPr>
          <w:rFonts w:ascii="Arial" w:cs="Arial" w:eastAsia="Arial" w:hAnsi="Arial"/>
          <w:b/>
          <w:bCs/>
          <w:color w:val="2E5496"/>
          <w:sz w:val="23"/>
          <w:szCs w:val="23"/>
        </w:rPr>
        <w:t xml:space="preserve">4. Plan de gestión integral del riesgo en salud con base normativa</w:t>
      </w:r>
    </w:p>
    <w:p>
      <w:pPr>
        <w:spacing w:after="80" w:line="259"/>
        <w:ind w:firstLine="567"/>
        <w:jc w:val="both"/>
      </w:pPr>
      <w:r>
        <w:rPr>
          <w:rFonts w:ascii="Arial" w:cs="Arial" w:eastAsia="Arial" w:hAnsi="Arial"/>
          <w:sz w:val="22"/>
          <w:szCs w:val="22"/>
        </w:rPr>
        <w:t xml:space="preserve">El plan se formula desde el enfoque de gestión integral del riesgo en salud definido por la Ley 1438 de 2011 y la Política de Atención Integral en Salud, operativizada por el Modelo de Acción Integral Territorial —MAITE— (Resolución 2626 de 2019) y las Rutas Integrales de Atención en Salud —RIAS— (Resolución 3202 de 2016). Siguiendo a Morgensterin (2021) y a Pascarella et al. (2021), la gestión del riesgo se entiende como un ciclo de identificación, análisis, intervención y seguimiento, en el que cada actor (EPS, IPS, entidad territorial y comunidad) tiene responsabilidades definidas.</w:t>
      </w:r>
    </w:p>
    <w:p>
      <w:pPr>
        <w:keepNext/>
        <w:spacing w:after="60" w:before="120"/>
      </w:pPr>
      <w:r>
        <w:rPr>
          <w:rFonts w:ascii="Arial" w:cs="Arial" w:eastAsia="Arial" w:hAnsi="Arial"/>
          <w:b/>
          <w:bCs/>
          <w:sz w:val="20"/>
          <w:szCs w:val="20"/>
        </w:rPr>
        <w:t xml:space="preserve">Tabla 2</w:t>
      </w:r>
    </w:p>
    <w:p>
      <w:pPr>
        <w:keepNext/>
        <w:spacing w:after="80"/>
      </w:pPr>
      <w:r>
        <w:rPr>
          <w:rFonts w:ascii="Arial" w:cs="Arial" w:eastAsia="Arial" w:hAnsi="Arial"/>
          <w:i/>
          <w:iCs/>
          <w:sz w:val="20"/>
          <w:szCs w:val="20"/>
        </w:rPr>
        <w:t xml:space="preserve">Plan de gestión integral del riesgo en salud para 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1760"/>
        <w:gridCol w:w="2600"/>
      </w:tblGrid>
      <w:tr>
        <w:trPr>
          <w:tblHeader/>
        </w:trPr>
        <w:tc>
          <w:tcPr>
            <w:tcW w:type="dxa" w:w="13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Componente</w:t>
            </w:r>
          </w:p>
        </w:tc>
        <w:tc>
          <w:tcPr>
            <w:tcW w:type="dxa" w:w="37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Acciones</w:t>
            </w:r>
          </w:p>
        </w:tc>
        <w:tc>
          <w:tcPr>
            <w:tcW w:type="dxa" w:w="17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Responsables</w:t>
            </w:r>
          </w:p>
        </w:tc>
        <w:tc>
          <w:tcPr>
            <w:tcW w:type="dxa" w:w="26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Base normativa</w:t>
            </w:r>
          </w:p>
        </w:tc>
      </w:tr>
      <w:tr>
        <w:trPr>
          <w:tblHeader w:val="false"/>
        </w:trPr>
        <w:tc>
          <w:tcPr>
            <w:tcW w:type="dxa" w:w="1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Prevención (poblacional)</w:t>
            </w:r>
          </w:p>
        </w:tc>
        <w:tc>
          <w:tcPr>
            <w:tcW w:type="dxa" w:w="3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Tamizaje de cáncer de próstata (PSA y tacto rectal) en hombres de 50 a 75 años de las veredas de Simití, mediante jornadas extramurales y equipos básicos de salud.</w:t>
            </w:r>
          </w:p>
          <w:p>
            <w:pPr>
              <w:spacing w:after="20"/>
            </w:pPr>
            <w:r>
              <w:rPr>
                <w:rFonts w:ascii="Arial" w:cs="Arial" w:eastAsia="Arial" w:hAnsi="Arial"/>
                <w:b w:val="false"/>
                <w:bCs w:val="false"/>
                <w:color w:val="000000"/>
                <w:sz w:val="17"/>
                <w:szCs w:val="17"/>
              </w:rPr>
              <w:t xml:space="preserve">Educación en salud con enfoque de masculinidades y pertinencia cultural, con líderes comunitarios y juntas de acción comunal.</w:t>
            </w:r>
          </w:p>
          <w:p>
            <w:pPr>
              <w:spacing w:after="20"/>
            </w:pPr>
            <w:r>
              <w:rPr>
                <w:rFonts w:ascii="Arial" w:cs="Arial" w:eastAsia="Arial" w:hAnsi="Arial"/>
                <w:b w:val="false"/>
                <w:bCs w:val="false"/>
                <w:color w:val="000000"/>
                <w:sz w:val="17"/>
                <w:szCs w:val="17"/>
              </w:rPr>
              <w:t xml:space="preserve">Inclusión del cáncer de próstata y de las barreras de acceso rural en el Análisis de Situación de Salud (ASIS) y el Plan Territorial de Salud.</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Secretaría de Salud de Simití y de Bolívar; EPS; ESE local.</w:t>
            </w:r>
          </w:p>
        </w:tc>
        <w:tc>
          <w:tcPr>
            <w:tcW w:type="dxa" w:w="2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Resolución 3280 de 2018 (RIAS de promoción y mantenimiento).</w:t>
            </w:r>
          </w:p>
          <w:p>
            <w:pPr>
              <w:spacing w:after="20"/>
            </w:pPr>
            <w:r>
              <w:rPr>
                <w:rFonts w:ascii="Arial" w:cs="Arial" w:eastAsia="Arial" w:hAnsi="Arial"/>
                <w:b w:val="false"/>
                <w:bCs w:val="false"/>
                <w:color w:val="000000"/>
                <w:sz w:val="17"/>
                <w:szCs w:val="17"/>
              </w:rPr>
              <w:t xml:space="preserve">Resolución 1035 de 2022 (Plan Decenal de Salud Pública 2022-2031).</w:t>
            </w:r>
          </w:p>
          <w:p>
            <w:pPr>
              <w:spacing w:after="20"/>
            </w:pPr>
            <w:r>
              <w:rPr>
                <w:rFonts w:ascii="Arial" w:cs="Arial" w:eastAsia="Arial" w:hAnsi="Arial"/>
                <w:b w:val="false"/>
                <w:bCs w:val="false"/>
                <w:color w:val="000000"/>
                <w:sz w:val="17"/>
                <w:szCs w:val="17"/>
              </w:rPr>
              <w:t xml:space="preserve">Resolución 100 de 2024 (planeación integral para la salud).</w:t>
            </w:r>
          </w:p>
          <w:p>
            <w:pPr>
              <w:spacing w:after="20"/>
            </w:pPr>
            <w:r>
              <w:rPr>
                <w:rFonts w:ascii="Arial" w:cs="Arial" w:eastAsia="Arial" w:hAnsi="Arial"/>
                <w:b w:val="false"/>
                <w:bCs w:val="false"/>
                <w:color w:val="000000"/>
                <w:sz w:val="17"/>
                <w:szCs w:val="17"/>
              </w:rPr>
              <w:t xml:space="preserve">Ley 1384 de 2010.</w:t>
            </w:r>
          </w:p>
        </w:tc>
      </w:tr>
      <w:tr>
        <w:trPr>
          <w:tblHeader w:val="false"/>
        </w:trPr>
        <w:tc>
          <w:tcPr>
            <w:tcW w:type="dxa" w:w="1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Mitigación (barreras de acceso)</w:t>
            </w:r>
          </w:p>
        </w:tc>
        <w:tc>
          <w:tcPr>
            <w:tcW w:type="dxa" w:w="3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Exigir a la EPS la garantía de red oncológica en Bolívar o cercana (Cartagena, Barrancabermeja o Magangué) y la portabilidad del servicio.</w:t>
            </w:r>
          </w:p>
          <w:p>
            <w:pPr>
              <w:spacing w:after="20"/>
            </w:pPr>
            <w:r>
              <w:rPr>
                <w:rFonts w:ascii="Arial" w:cs="Arial" w:eastAsia="Arial" w:hAnsi="Arial"/>
                <w:b w:val="false"/>
                <w:bCs w:val="false"/>
                <w:color w:val="000000"/>
                <w:sz w:val="17"/>
                <w:szCs w:val="17"/>
              </w:rPr>
              <w:t xml:space="preserve">Gestionar transporte, alimentación y alojamiento para paciente y acompañante, dado que la familia no tiene capacidad económica.</w:t>
            </w:r>
          </w:p>
          <w:p>
            <w:pPr>
              <w:spacing w:after="20"/>
            </w:pPr>
            <w:r>
              <w:rPr>
                <w:rFonts w:ascii="Arial" w:cs="Arial" w:eastAsia="Arial" w:hAnsi="Arial"/>
                <w:b w:val="false"/>
                <w:bCs w:val="false"/>
                <w:color w:val="000000"/>
                <w:sz w:val="17"/>
                <w:szCs w:val="17"/>
              </w:rPr>
              <w:t xml:space="preserve">Autorizaciones y entrega de medicamentos sin trámites presenciales: canales virtuales, entrega domiciliaria y agendas abiertas.</w:t>
            </w:r>
          </w:p>
          <w:p>
            <w:pPr>
              <w:spacing w:after="20"/>
            </w:pPr>
            <w:r>
              <w:rPr>
                <w:rFonts w:ascii="Arial" w:cs="Arial" w:eastAsia="Arial" w:hAnsi="Arial"/>
                <w:b w:val="false"/>
                <w:bCs w:val="false"/>
                <w:color w:val="000000"/>
                <w:sz w:val="17"/>
                <w:szCs w:val="17"/>
              </w:rPr>
              <w:t xml:space="preserve">Si la EPS no garantiza la red, orientar sobre el traslado a otra EPS con cobertura en el territorio.</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EPS; Secretaría de Salud; Personería municipal; Supersalud.</w:t>
            </w:r>
          </w:p>
        </w:tc>
        <w:tc>
          <w:tcPr>
            <w:tcW w:type="dxa" w:w="2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Ley 1751 de 2015 (arts. 6 y 8: accesibilidad, continuidad, integralidad).</w:t>
            </w:r>
          </w:p>
          <w:p>
            <w:pPr>
              <w:spacing w:after="20"/>
            </w:pPr>
            <w:r>
              <w:rPr>
                <w:rFonts w:ascii="Arial" w:cs="Arial" w:eastAsia="Arial" w:hAnsi="Arial"/>
                <w:b w:val="false"/>
                <w:bCs w:val="false"/>
                <w:color w:val="000000"/>
                <w:sz w:val="17"/>
                <w:szCs w:val="17"/>
              </w:rPr>
              <w:t xml:space="preserve">Decreto 1683 de 2013 (portabilidad).</w:t>
            </w:r>
          </w:p>
          <w:p>
            <w:pPr>
              <w:spacing w:after="20"/>
            </w:pPr>
            <w:r>
              <w:rPr>
                <w:rFonts w:ascii="Arial" w:cs="Arial" w:eastAsia="Arial" w:hAnsi="Arial"/>
                <w:b w:val="false"/>
                <w:bCs w:val="false"/>
                <w:color w:val="000000"/>
                <w:sz w:val="17"/>
                <w:szCs w:val="17"/>
              </w:rPr>
              <w:t xml:space="preserve">Decreto 780 de 2016 y Decreto 1424 de 2019 (asignación y movilidad).</w:t>
            </w:r>
          </w:p>
          <w:p>
            <w:pPr>
              <w:spacing w:after="20"/>
            </w:pPr>
            <w:r>
              <w:rPr>
                <w:rFonts w:ascii="Arial" w:cs="Arial" w:eastAsia="Arial" w:hAnsi="Arial"/>
                <w:b w:val="false"/>
                <w:bCs w:val="false"/>
                <w:color w:val="000000"/>
                <w:sz w:val="17"/>
                <w:szCs w:val="17"/>
              </w:rPr>
              <w:t xml:space="preserve">Resolución 1552 de 2013 (agendas abiertas).</w:t>
            </w:r>
          </w:p>
          <w:p>
            <w:pPr>
              <w:spacing w:after="20"/>
            </w:pPr>
            <w:r>
              <w:rPr>
                <w:rFonts w:ascii="Arial" w:cs="Arial" w:eastAsia="Arial" w:hAnsi="Arial"/>
                <w:b w:val="false"/>
                <w:bCs w:val="false"/>
                <w:color w:val="000000"/>
                <w:sz w:val="17"/>
                <w:szCs w:val="17"/>
              </w:rPr>
              <w:t xml:space="preserve">Corte Constitucional, Sentencia SU-508 de 2020 (transporte, alimentación y alojamiento).</w:t>
            </w:r>
          </w:p>
        </w:tc>
      </w:tr>
      <w:tr>
        <w:trPr>
          <w:tblHeader w:val="false"/>
        </w:trPr>
        <w:tc>
          <w:tcPr>
            <w:tcW w:type="dxa" w:w="1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Atención (individual)</w:t>
            </w:r>
          </w:p>
        </w:tc>
        <w:tc>
          <w:tcPr>
            <w:tcW w:type="dxa" w:w="3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Gestor de caso u enfermera navegadora oncológica que coordine citas, exámenes y tratamiento en un mismo viaje.</w:t>
            </w:r>
          </w:p>
          <w:p>
            <w:pPr>
              <w:spacing w:after="20"/>
            </w:pPr>
            <w:r>
              <w:rPr>
                <w:rFonts w:ascii="Arial" w:cs="Arial" w:eastAsia="Arial" w:hAnsi="Arial"/>
                <w:b w:val="false"/>
                <w:bCs w:val="false"/>
                <w:color w:val="000000"/>
                <w:sz w:val="17"/>
                <w:szCs w:val="17"/>
              </w:rPr>
              <w:t xml:space="preserve">Tratamiento oncológico integral y continuo, manejo del dolor y prevención de eventos óseos.</w:t>
            </w:r>
          </w:p>
          <w:p>
            <w:pPr>
              <w:spacing w:after="20"/>
            </w:pPr>
            <w:r>
              <w:rPr>
                <w:rFonts w:ascii="Arial" w:cs="Arial" w:eastAsia="Arial" w:hAnsi="Arial"/>
                <w:b w:val="false"/>
                <w:bCs w:val="false"/>
                <w:color w:val="000000"/>
                <w:sz w:val="17"/>
                <w:szCs w:val="17"/>
              </w:rPr>
              <w:t xml:space="preserve">Cuidados paliativos, incluida la modalidad domiciliaria o por telemedicina, y apoyo psicosocial al paciente y cuidador.</w:t>
            </w:r>
          </w:p>
          <w:p>
            <w:pPr>
              <w:spacing w:after="20"/>
            </w:pPr>
            <w:r>
              <w:rPr>
                <w:rFonts w:ascii="Arial" w:cs="Arial" w:eastAsia="Arial" w:hAnsi="Arial"/>
                <w:b w:val="false"/>
                <w:bCs w:val="false"/>
                <w:color w:val="000000"/>
                <w:sz w:val="17"/>
                <w:szCs w:val="17"/>
              </w:rPr>
              <w:t xml:space="preserve">Telesalud para controles que no requieran presencialidad.</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EPS; IPS oncológica; ESE de Simití; equipo de cuidados paliativos.</w:t>
            </w:r>
          </w:p>
        </w:tc>
        <w:tc>
          <w:tcPr>
            <w:tcW w:type="dxa" w:w="2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Ley 1384 de 2010 (atención integral del cáncer).</w:t>
            </w:r>
          </w:p>
          <w:p>
            <w:pPr>
              <w:spacing w:after="20"/>
            </w:pPr>
            <w:r>
              <w:rPr>
                <w:rFonts w:ascii="Arial" w:cs="Arial" w:eastAsia="Arial" w:hAnsi="Arial"/>
                <w:b w:val="false"/>
                <w:bCs w:val="false"/>
                <w:color w:val="000000"/>
                <w:sz w:val="17"/>
                <w:szCs w:val="17"/>
              </w:rPr>
              <w:t xml:space="preserve">Ley 1733 de 2014 (cuidados paliativos).</w:t>
            </w:r>
          </w:p>
          <w:p>
            <w:pPr>
              <w:spacing w:after="20"/>
            </w:pPr>
            <w:r>
              <w:rPr>
                <w:rFonts w:ascii="Arial" w:cs="Arial" w:eastAsia="Arial" w:hAnsi="Arial"/>
                <w:b w:val="false"/>
                <w:bCs w:val="false"/>
                <w:color w:val="000000"/>
                <w:sz w:val="17"/>
                <w:szCs w:val="17"/>
              </w:rPr>
              <w:t xml:space="preserve">Resolución 3100 de 2019 (habilitación, incluida telemedicina).</w:t>
            </w:r>
          </w:p>
          <w:p>
            <w:pPr>
              <w:spacing w:after="20"/>
            </w:pPr>
            <w:r>
              <w:rPr>
                <w:rFonts w:ascii="Arial" w:cs="Arial" w:eastAsia="Arial" w:hAnsi="Arial"/>
                <w:b w:val="false"/>
                <w:bCs w:val="false"/>
                <w:color w:val="000000"/>
                <w:sz w:val="17"/>
                <w:szCs w:val="17"/>
              </w:rPr>
              <w:t xml:space="preserve">Ley 1419 de 2010 (telesalud).</w:t>
            </w:r>
          </w:p>
          <w:p>
            <w:pPr>
              <w:spacing w:after="20"/>
            </w:pPr>
            <w:r>
              <w:rPr>
                <w:rFonts w:ascii="Arial" w:cs="Arial" w:eastAsia="Arial" w:hAnsi="Arial"/>
                <w:b w:val="false"/>
                <w:bCs w:val="false"/>
                <w:color w:val="000000"/>
                <w:sz w:val="17"/>
                <w:szCs w:val="17"/>
              </w:rPr>
              <w:t xml:space="preserve">Resolución 3202 de 2016 (RIAS, ruta de cáncer).</w:t>
            </w:r>
          </w:p>
        </w:tc>
      </w:tr>
      <w:tr>
        <w:trPr>
          <w:tblHeader w:val="false"/>
        </w:trPr>
        <w:tc>
          <w:tcPr>
            <w:tcW w:type="dxa" w:w="1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Seguimiento (monitoreo)</w:t>
            </w:r>
          </w:p>
        </w:tc>
        <w:tc>
          <w:tcPr>
            <w:tcW w:type="dxa" w:w="3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Reporte del caso a la Cuenta de Alto Costo y seguimiento de oportunidad y continuidad.</w:t>
            </w:r>
          </w:p>
          <w:p>
            <w:pPr>
              <w:spacing w:after="20"/>
            </w:pPr>
            <w:r>
              <w:rPr>
                <w:rFonts w:ascii="Arial" w:cs="Arial" w:eastAsia="Arial" w:hAnsi="Arial"/>
                <w:b w:val="false"/>
                <w:bCs w:val="false"/>
                <w:color w:val="000000"/>
                <w:sz w:val="17"/>
                <w:szCs w:val="17"/>
              </w:rPr>
              <w:t xml:space="preserve">Llamadas y visitas de seguimiento por el equipo de salud local; comité de riesgo mensual EPS–IPS–Secretaría.</w:t>
            </w:r>
          </w:p>
          <w:p>
            <w:pPr>
              <w:spacing w:after="20"/>
            </w:pPr>
            <w:r>
              <w:rPr>
                <w:rFonts w:ascii="Arial" w:cs="Arial" w:eastAsia="Arial" w:hAnsi="Arial"/>
                <w:b w:val="false"/>
                <w:bCs w:val="false"/>
                <w:color w:val="000000"/>
                <w:sz w:val="17"/>
                <w:szCs w:val="17"/>
              </w:rPr>
              <w:t xml:space="preserve">Auditoría para el mejoramiento de la calidad (PAMEC) sobre barreras de acceso y eventos adversos por demoras.</w:t>
            </w:r>
          </w:p>
          <w:p>
            <w:pPr>
              <w:spacing w:after="20"/>
            </w:pPr>
            <w:r>
              <w:rPr>
                <w:rFonts w:ascii="Arial" w:cs="Arial" w:eastAsia="Arial" w:hAnsi="Arial"/>
                <w:b w:val="false"/>
                <w:bCs w:val="false"/>
                <w:color w:val="000000"/>
                <w:sz w:val="17"/>
                <w:szCs w:val="17"/>
              </w:rPr>
              <w:t xml:space="preserve">Veeduría ciudadana y asociación de usuarios.</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EPS; Secretaría de Salud; Supersalud; asociación de usuarios.</w:t>
            </w:r>
          </w:p>
        </w:tc>
        <w:tc>
          <w:tcPr>
            <w:tcW w:type="dxa" w:w="2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Resolución 247 de 2014 (reporte de cáncer a la CAC).</w:t>
            </w:r>
          </w:p>
          <w:p>
            <w:pPr>
              <w:spacing w:after="20"/>
            </w:pPr>
            <w:r>
              <w:rPr>
                <w:rFonts w:ascii="Arial" w:cs="Arial" w:eastAsia="Arial" w:hAnsi="Arial"/>
                <w:b w:val="false"/>
                <w:bCs w:val="false"/>
                <w:color w:val="000000"/>
                <w:sz w:val="17"/>
                <w:szCs w:val="17"/>
              </w:rPr>
              <w:t xml:space="preserve">Decreto 1011 de 2006 (SOGCS y PAMEC).</w:t>
            </w:r>
          </w:p>
          <w:p>
            <w:pPr>
              <w:spacing w:after="20"/>
            </w:pPr>
            <w:r>
              <w:rPr>
                <w:rFonts w:ascii="Arial" w:cs="Arial" w:eastAsia="Arial" w:hAnsi="Arial"/>
                <w:b w:val="false"/>
                <w:bCs w:val="false"/>
                <w:color w:val="000000"/>
                <w:sz w:val="17"/>
                <w:szCs w:val="17"/>
              </w:rPr>
              <w:t xml:space="preserve">Resolución 256 de 2016 (indicadores de calidad).</w:t>
            </w:r>
          </w:p>
          <w:p>
            <w:pPr>
              <w:spacing w:after="20"/>
            </w:pPr>
            <w:r>
              <w:rPr>
                <w:rFonts w:ascii="Arial" w:cs="Arial" w:eastAsia="Arial" w:hAnsi="Arial"/>
                <w:b w:val="false"/>
                <w:bCs w:val="false"/>
                <w:color w:val="000000"/>
                <w:sz w:val="17"/>
                <w:szCs w:val="17"/>
              </w:rPr>
              <w:t xml:space="preserve">Resolución 202 de 2021 (reporte de actividades).</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la normatividad colombiana citada.</w:t>
      </w:r>
    </w:p>
    <w:p>
      <w:pPr>
        <w:spacing w:after="80" w:line="259"/>
        <w:ind w:firstLine="567"/>
        <w:jc w:val="both"/>
      </w:pPr>
      <w:r>
        <w:rPr>
          <w:rFonts w:ascii="Arial" w:cs="Arial" w:eastAsia="Arial" w:hAnsi="Arial"/>
          <w:b/>
          <w:bCs/>
          <w:sz w:val="22"/>
          <w:szCs w:val="22"/>
        </w:rPr>
        <w:t xml:space="preserve">¿Cómo garantizar que las estrategias respondan a la realidad de la comunidad? </w:t>
      </w:r>
      <w:r>
        <w:rPr>
          <w:rFonts w:ascii="Arial" w:cs="Arial" w:eastAsia="Arial" w:hAnsi="Arial"/>
          <w:sz w:val="22"/>
          <w:szCs w:val="22"/>
        </w:rPr>
        <w:t xml:space="preserve">El cumplimiento normativo es condición necesaria, pero no suficiente. Para que el plan sea pertinente se propone: (a) construirlo con participación de la comunidad, las juntas de acción comunal y la asociación de usuarios, como lo exige la Resolución 2063 de 2017 (Política de Participación Social en Salud); (b) adaptar las acciones a la realidad rural, programando varios servicios en un solo viaje, llevando el tamizaje a las veredas y aprovechando la telesalud donde haya conectividad; (c) incorporar un enfoque diferencial y de género que aborde la resistencia masculina a consultar; y (d) articular sectores más allá de salud —alcaldía, gobernación, transporte, programas sociales— para intervenir las NBI, porque ningún plan sanitario compensa por sí solo la pobreza y el aislamiento.</w:t>
      </w:r>
    </w:p>
    <w:p>
      <w:pPr>
        <w:pStyle w:val="Heading2"/>
        <w:spacing w:after="100" w:before="180"/>
      </w:pPr>
      <w:r>
        <w:rPr>
          <w:rFonts w:ascii="Arial" w:cs="Arial" w:eastAsia="Arial" w:hAnsi="Arial"/>
          <w:b/>
          <w:bCs/>
          <w:color w:val="2E5496"/>
          <w:sz w:val="23"/>
          <w:szCs w:val="23"/>
        </w:rPr>
        <w:t xml:space="preserve">5. Indicadores para medir impacto y sostenibilidad</w:t>
      </w:r>
    </w:p>
    <w:p>
      <w:pPr>
        <w:keepNext/>
        <w:spacing w:after="60" w:before="120"/>
      </w:pPr>
      <w:r>
        <w:rPr>
          <w:rFonts w:ascii="Arial" w:cs="Arial" w:eastAsia="Arial" w:hAnsi="Arial"/>
          <w:b/>
          <w:bCs/>
          <w:sz w:val="20"/>
          <w:szCs w:val="20"/>
        </w:rPr>
        <w:t xml:space="preserve">Tabla 3</w:t>
      </w:r>
    </w:p>
    <w:p>
      <w:pPr>
        <w:keepNext/>
        <w:spacing w:after="80"/>
      </w:pPr>
      <w:r>
        <w:rPr>
          <w:rFonts w:ascii="Arial" w:cs="Arial" w:eastAsia="Arial" w:hAnsi="Arial"/>
          <w:i/>
          <w:iCs/>
          <w:sz w:val="20"/>
          <w:szCs w:val="20"/>
        </w:rPr>
        <w:t xml:space="preserve">Indicadores de seguimiento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Indicador</w:t>
            </w:r>
          </w:p>
        </w:tc>
        <w:tc>
          <w:tcPr>
            <w:tcW w:type="dxa" w:w="35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Fórmula</w:t>
            </w:r>
          </w:p>
        </w:tc>
        <w:tc>
          <w:tcPr>
            <w:tcW w:type="dxa" w:w="15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Meta</w:t>
            </w:r>
          </w:p>
        </w:tc>
        <w:tc>
          <w:tcPr>
            <w:tcW w:type="dxa" w:w="21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Tipo</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Cobertura de tamizaje de cáncer de próstata</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(Hombres de 50 a 75 años tamizados / hombres de 50 a 75 años afiliados en Simití)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 60 % anual</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Proceso / impacto</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Proporción de casos diagnosticados en estadio temprano</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(Casos nuevos en estadios I–II / total de casos nuevos)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Aumento progresivo anual</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Impacto</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Oportunidad en el inicio del tratamiento</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Días promedio entre el diagnóstico confirmado y el inicio del tratamiento</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 30 días</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Resultado</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Continuidad del tratamiento</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(Controles y ciclos realizados / programados)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 90 %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Resultado</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Garantía de apoyo para desplazamiento</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(Viajes con transporte, alimentación y alojamiento cubiertos / viajes requeridos)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100 %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Acceso / equidad</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Gasto de bolsillo del hogar</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Valor mensual pagado por la familia por viajes y estadía</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Reducción ≥ 80 %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Equidad</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Control del dolor y calidad de vida</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Puntuación en escala de dolor (EVA) y escala de calidad de vida en cada control</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EVA ≤ 3</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Impacto</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PQRS por barreras de acceso</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Número de quejas por negación, demora o falta de red en el periodo</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Reducción ≥ 50 %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Calidad</w:t>
            </w:r>
          </w:p>
        </w:tc>
      </w:tr>
      <w:tr>
        <w:trPr>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Sostenibilidad del plan</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Recursos del plan incluidos en el Plan Territorial de Salud y en la contratación de la EPS; comités de riesgo realizados / programados</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100 %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Sostenibilidad</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Las metas son propuestas y deben concertarse con los actores del territorio.</w:t>
      </w:r>
    </w:p>
    <w:p>
      <w:pPr>
        <w:pStyle w:val="Heading1"/>
        <w:spacing w:after="120" w:before="240"/>
      </w:pPr>
      <w:r>
        <w:rPr>
          <w:rFonts w:ascii="Arial" w:cs="Arial" w:eastAsia="Arial" w:hAnsi="Arial"/>
          <w:b/>
          <w:bCs/>
          <w:color w:val="1F3864"/>
          <w:sz w:val="26"/>
          <w:szCs w:val="26"/>
        </w:rPr>
        <w:t xml:space="preserve">Conclusiones</w:t>
      </w:r>
    </w:p>
    <w:p>
      <w:pPr>
        <w:spacing w:after="80" w:line="259"/>
        <w:ind w:firstLine="567"/>
        <w:jc w:val="both"/>
      </w:pPr>
      <w:r>
        <w:rPr>
          <w:rFonts w:ascii="Arial" w:cs="Arial" w:eastAsia="Arial" w:hAnsi="Arial"/>
          <w:sz w:val="22"/>
          <w:szCs w:val="22"/>
        </w:rPr>
        <w:t xml:space="preserve">El caso del señor Edilberto Solera evidencia que un problema de salud de origen biológico —el cáncer de próstata— se convierte en una tragedia evitable cuando se combina con determinantes estructurales como la pobreza rural, la fragmentación del sistema y la falta de garantía institucional. La metástasis ósea no es solo consecuencia de la enfermedad, sino también de un diagnóstico tardío asociado a barreras culturales, geográficas y de oferta de servicios.</w:t>
      </w:r>
    </w:p>
    <w:p>
      <w:pPr>
        <w:spacing w:after="80" w:line="259"/>
        <w:ind w:firstLine="567"/>
        <w:jc w:val="both"/>
      </w:pPr>
      <w:r>
        <w:rPr>
          <w:rFonts w:ascii="Arial" w:cs="Arial" w:eastAsia="Arial" w:hAnsi="Arial"/>
          <w:sz w:val="22"/>
          <w:szCs w:val="22"/>
        </w:rPr>
        <w:t xml:space="preserve">La clasificación de los determinantes en estructurales e intermedios permite ver que las soluciones no están únicamente en la consulta médica. Si bien el plan de gestión integral del riesgo debe garantizar la atención oportuna y continua, también debe intervenir las causas de fondo: la ausencia de red en el territorio, la carga económica que se traslada a las familias y la escasa cultura de prevención. Colombia cuenta con un marco normativo amplio —Ley Estatutaria 1751 de 2015, Ley 1384 de 2010, Resolución 3280 de 2018, MAITE, entre otras—, pero el reto está en aplicarlo con enfoque territorial, participación comunitaria y articulación intersectorial. La calidad en salud, en últimas, se mide por la capacidad del sistema para llegar a quien más lo necesita, donde está.</w:t>
      </w:r>
    </w:p>
    <w:p>
      <w:pPr>
        <w:pStyle w:val="Heading1"/>
        <w:spacing w:after="120" w:before="240"/>
      </w:pPr>
      <w:r>
        <w:rPr>
          <w:rFonts w:ascii="Arial" w:cs="Arial" w:eastAsia="Arial" w:hAnsi="Arial"/>
          <w:b/>
          <w:bCs/>
          <w:color w:val="1F3864"/>
          <w:sz w:val="26"/>
          <w:szCs w:val="26"/>
        </w:rPr>
        <w:t xml:space="preserve">Devolución creativa: reflexión metacognitiva</w:t>
      </w:r>
    </w:p>
    <w:p>
      <w:pPr>
        <w:spacing w:after="80" w:line="259"/>
        <w:ind w:firstLine="567"/>
        <w:jc w:val="both"/>
      </w:pPr>
      <w:r>
        <w:rPr>
          <w:rFonts w:ascii="Arial" w:cs="Arial" w:eastAsia="Arial" w:hAnsi="Arial"/>
          <w:sz w:val="22"/>
          <w:szCs w:val="22"/>
        </w:rPr>
        <w:t xml:space="preserve">Este ejercicio me permitió comprender que detrás de cada diagnóstico hay una historia social. Antes de analizar el caso, habría descrito la situación del señor Edilberto como un problema clínico con dificultades administrativas; hoy entiendo que su enfermedad está atravesada por decisiones políticas, condiciones económicas y una geografía que el sistema no ha sabido resolver. Identificar y clasificar los determinantes estructurales e intermedios me dio una herramienta para leer la realidad de mi territorio con mayor profundidad y para reconocer que la inequidad en salud no es natural, sino producto de circunstancias que pueden transformarse.</w:t>
      </w:r>
    </w:p>
    <w:p>
      <w:pPr>
        <w:spacing w:after="80" w:line="259"/>
        <w:ind w:firstLine="567"/>
        <w:jc w:val="both"/>
      </w:pPr>
      <w:r>
        <w:rPr>
          <w:rFonts w:ascii="Arial" w:cs="Arial" w:eastAsia="Arial" w:hAnsi="Arial"/>
          <w:sz w:val="22"/>
          <w:szCs w:val="22"/>
        </w:rPr>
        <w:t xml:space="preserve">Desde lo profesional, como futura especialista en gerencia y auditoría de la calidad en salud, este aprendizaje me compromete a no limitar la auditoría a la verificación de requisitos, sino a preguntarme si los servicios realmente son accesibles, oportunos y continuos para la población rural. Me deja la convicción de que la gestión del riesgo debe construirse con la comunidad y no solo para ella, y de que mi rol ético es hacer visibles las barreras, exigir el cumplimiento de los derechos y proponer soluciones que pongan a la persona —y no el trámite— en el centro de la atención. En lo personal, el caso me recuerda que la equidad en salud empieza por escuchar y por no normalizar que un paciente con cáncer tenga que elegir entre comer o viajar a su tratamiento.</w:t>
      </w:r>
    </w:p>
    <w:p>
      <w:r>
        <w:br w:type="page"/>
      </w:r>
    </w:p>
    <w:p>
      <w:pPr>
        <w:pStyle w:val="Heading1"/>
        <w:spacing w:after="120" w:before="240"/>
      </w:pPr>
      <w:r>
        <w:rPr>
          <w:rFonts w:ascii="Arial" w:cs="Arial" w:eastAsia="Arial" w:hAnsi="Arial"/>
          <w:b/>
          <w:bCs/>
          <w:color w:val="1F3864"/>
          <w:sz w:val="26"/>
          <w:szCs w:val="26"/>
        </w:rPr>
        <w:t xml:space="preserve">Referencias</w:t>
      </w:r>
    </w:p>
    <w:p>
      <w:pPr>
        <w:spacing w:after="100" w:line="276"/>
        <w:ind w:left="567" w:hanging="567"/>
        <w:jc w:val="left"/>
      </w:pPr>
      <w:r>
        <w:rPr>
          <w:rFonts w:ascii="Arial" w:cs="Arial" w:eastAsia="Arial" w:hAnsi="Arial"/>
          <w:i w:val="false"/>
          <w:iCs w:val="false"/>
          <w:sz w:val="22"/>
          <w:szCs w:val="22"/>
        </w:rPr>
        <w:t xml:space="preserve">Comisión sobre Determinantes Sociales de la Salud. (2008). </w:t>
      </w:r>
      <w:r>
        <w:rPr>
          <w:rFonts w:ascii="Arial" w:cs="Arial" w:eastAsia="Arial" w:hAnsi="Arial"/>
          <w:i/>
          <w:iCs/>
          <w:sz w:val="22"/>
          <w:szCs w:val="22"/>
        </w:rPr>
        <w:t xml:space="preserve">Subsanar las desigualdades en una generación: alcanzar la equidad sanitaria actuando sobre los determinantes sociales de la salud</w:t>
      </w:r>
      <w:r>
        <w:rPr>
          <w:rFonts w:ascii="Arial" w:cs="Arial" w:eastAsia="Arial" w:hAnsi="Arial"/>
          <w:i w:val="false"/>
          <w:iCs w:val="false"/>
          <w:sz w:val="22"/>
          <w:szCs w:val="22"/>
        </w:rPr>
        <w:t xml:space="preserve">. Organización Mundial de la Salud.</w:t>
      </w:r>
    </w:p>
    <w:p>
      <w:pPr>
        <w:spacing w:after="100" w:line="276"/>
        <w:ind w:left="567" w:hanging="567"/>
        <w:jc w:val="left"/>
      </w:pPr>
      <w:r>
        <w:rPr>
          <w:rFonts w:ascii="Arial" w:cs="Arial" w:eastAsia="Arial" w:hAnsi="Arial"/>
          <w:i w:val="false"/>
          <w:iCs w:val="false"/>
          <w:sz w:val="22"/>
          <w:szCs w:val="22"/>
        </w:rPr>
        <w:t xml:space="preserve">Congreso de la República de Colombia. (2010). Ley 1384 de 2010, por la cual se establecen las acciones para la atención integral del cáncer en Colombia.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47.685.</w:t>
      </w:r>
    </w:p>
    <w:p>
      <w:pPr>
        <w:spacing w:after="100" w:line="276"/>
        <w:ind w:left="567" w:hanging="567"/>
        <w:jc w:val="left"/>
      </w:pPr>
      <w:r>
        <w:rPr>
          <w:rFonts w:ascii="Arial" w:cs="Arial" w:eastAsia="Arial" w:hAnsi="Arial"/>
          <w:i w:val="false"/>
          <w:iCs w:val="false"/>
          <w:sz w:val="22"/>
          <w:szCs w:val="22"/>
        </w:rPr>
        <w:t xml:space="preserve">Congreso de la República de Colombia. (2010). Ley 1419 de 2010, por la cual se establecen los lineamientos para el desarrollo de la telesalud en Colombia.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47.922.</w:t>
      </w:r>
    </w:p>
    <w:p>
      <w:pPr>
        <w:spacing w:after="100" w:line="276"/>
        <w:ind w:left="567" w:hanging="567"/>
        <w:jc w:val="left"/>
      </w:pPr>
      <w:r>
        <w:rPr>
          <w:rFonts w:ascii="Arial" w:cs="Arial" w:eastAsia="Arial" w:hAnsi="Arial"/>
          <w:i w:val="false"/>
          <w:iCs w:val="false"/>
          <w:sz w:val="22"/>
          <w:szCs w:val="22"/>
        </w:rPr>
        <w:t xml:space="preserve">Congreso de la República de Colombia. (2011). Ley 1438 de 2011, por medio de la cual se reforma el Sistema General de Seguridad Social en Salud.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47.957.</w:t>
      </w:r>
    </w:p>
    <w:p>
      <w:pPr>
        <w:spacing w:after="100" w:line="276"/>
        <w:ind w:left="567" w:hanging="567"/>
        <w:jc w:val="left"/>
      </w:pPr>
      <w:r>
        <w:rPr>
          <w:rFonts w:ascii="Arial" w:cs="Arial" w:eastAsia="Arial" w:hAnsi="Arial"/>
          <w:i w:val="false"/>
          <w:iCs w:val="false"/>
          <w:sz w:val="22"/>
          <w:szCs w:val="22"/>
        </w:rPr>
        <w:t xml:space="preserve">Congreso de la República de Colombia. (2014). Ley 1733 de 2014, Ley Consuelo Devis Saavedra, mediante la cual se regulan los servicios de cuidados paliativos.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49.268.</w:t>
      </w:r>
    </w:p>
    <w:p>
      <w:pPr>
        <w:spacing w:after="100" w:line="276"/>
        <w:ind w:left="567" w:hanging="567"/>
        <w:jc w:val="left"/>
      </w:pPr>
      <w:r>
        <w:rPr>
          <w:rFonts w:ascii="Arial" w:cs="Arial" w:eastAsia="Arial" w:hAnsi="Arial"/>
          <w:i w:val="false"/>
          <w:iCs w:val="false"/>
          <w:sz w:val="22"/>
          <w:szCs w:val="22"/>
        </w:rPr>
        <w:t xml:space="preserve">Congreso de la República de Colombia. (2015). Ley Estatutaria 1751 de 2015, por medio de la cual se regula el derecho fundamental a la salud.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49.427.</w:t>
      </w:r>
    </w:p>
    <w:p>
      <w:pPr>
        <w:spacing w:after="100" w:line="276"/>
        <w:ind w:left="567" w:hanging="567"/>
        <w:jc w:val="left"/>
      </w:pPr>
      <w:r>
        <w:rPr>
          <w:rFonts w:ascii="Arial" w:cs="Arial" w:eastAsia="Arial" w:hAnsi="Arial"/>
          <w:i w:val="false"/>
          <w:iCs w:val="false"/>
          <w:sz w:val="22"/>
          <w:szCs w:val="22"/>
        </w:rPr>
        <w:t xml:space="preserve">Corte Constitucional de Colombia. (2020). Sentencia SU-508 de 2020 (M. P. Alberto Rojas Ríos y José Fernando Reyes Cuartas).</w:t>
      </w:r>
    </w:p>
    <w:p>
      <w:pPr>
        <w:spacing w:after="100" w:line="276"/>
        <w:ind w:left="567" w:hanging="567"/>
        <w:jc w:val="left"/>
      </w:pPr>
      <w:r>
        <w:rPr>
          <w:rFonts w:ascii="Arial" w:cs="Arial" w:eastAsia="Arial" w:hAnsi="Arial"/>
          <w:i w:val="false"/>
          <w:iCs w:val="false"/>
          <w:sz w:val="22"/>
          <w:szCs w:val="22"/>
        </w:rPr>
        <w:t xml:space="preserve">Departamento Administrativo Nacional de Estadística [DANE]. (2020). </w:t>
      </w:r>
      <w:r>
        <w:rPr>
          <w:rFonts w:ascii="Arial" w:cs="Arial" w:eastAsia="Arial" w:hAnsi="Arial"/>
          <w:i/>
          <w:iCs/>
          <w:sz w:val="22"/>
          <w:szCs w:val="22"/>
        </w:rPr>
        <w:t xml:space="preserve">Necesidades básicas insatisfechas (NBI): Censo Nacional de Población y Vivienda 2018</w:t>
      </w:r>
      <w:r>
        <w:rPr>
          <w:rFonts w:ascii="Arial" w:cs="Arial" w:eastAsia="Arial" w:hAnsi="Arial"/>
          <w:i w:val="false"/>
          <w:iCs w:val="false"/>
          <w:sz w:val="22"/>
          <w:szCs w:val="22"/>
        </w:rPr>
        <w:t xml:space="preserve">. https://www.dane.gov.co</w:t>
      </w:r>
    </w:p>
    <w:p>
      <w:pPr>
        <w:spacing w:after="100" w:line="276"/>
        <w:ind w:left="567" w:hanging="567"/>
        <w:jc w:val="left"/>
      </w:pPr>
      <w:r>
        <w:rPr>
          <w:rFonts w:ascii="Arial" w:cs="Arial" w:eastAsia="Arial" w:hAnsi="Arial"/>
          <w:i w:val="false"/>
          <w:iCs w:val="false"/>
          <w:sz w:val="22"/>
          <w:szCs w:val="22"/>
        </w:rPr>
        <w:t xml:space="preserve">Lalonde, M. (1974). </w:t>
      </w:r>
      <w:r>
        <w:rPr>
          <w:rFonts w:ascii="Arial" w:cs="Arial" w:eastAsia="Arial" w:hAnsi="Arial"/>
          <w:i/>
          <w:iCs/>
          <w:sz w:val="22"/>
          <w:szCs w:val="22"/>
        </w:rPr>
        <w:t xml:space="preserve">A new perspective on the health of Canadians</w:t>
      </w:r>
      <w:r>
        <w:rPr>
          <w:rFonts w:ascii="Arial" w:cs="Arial" w:eastAsia="Arial" w:hAnsi="Arial"/>
          <w:i w:val="false"/>
          <w:iCs w:val="false"/>
          <w:sz w:val="22"/>
          <w:szCs w:val="22"/>
        </w:rPr>
        <w:t xml:space="preserve">. Government of Canada.</w:t>
      </w:r>
    </w:p>
    <w:p>
      <w:pPr>
        <w:spacing w:after="100" w:line="276"/>
        <w:ind w:left="567" w:hanging="567"/>
        <w:jc w:val="left"/>
      </w:pPr>
      <w:r>
        <w:rPr>
          <w:rFonts w:ascii="Arial" w:cs="Arial" w:eastAsia="Arial" w:hAnsi="Arial"/>
          <w:i w:val="false"/>
          <w:iCs w:val="false"/>
          <w:sz w:val="22"/>
          <w:szCs w:val="22"/>
        </w:rPr>
        <w:t xml:space="preserve">Lema Añón, C. (2021). </w:t>
      </w:r>
      <w:r>
        <w:rPr>
          <w:rFonts w:ascii="Arial" w:cs="Arial" w:eastAsia="Arial" w:hAnsi="Arial"/>
          <w:i/>
          <w:iCs/>
          <w:sz w:val="22"/>
          <w:szCs w:val="22"/>
        </w:rPr>
        <w:t xml:space="preserve">Los determinantes sociales de la salud: más allá del derecho a la salud</w:t>
      </w:r>
      <w:r>
        <w:rPr>
          <w:rFonts w:ascii="Arial" w:cs="Arial" w:eastAsia="Arial" w:hAnsi="Arial"/>
          <w:i w:val="false"/>
          <w:iCs w:val="false"/>
          <w:sz w:val="22"/>
          <w:szCs w:val="22"/>
        </w:rPr>
        <w:t xml:space="preserve"> (pp. 27-71). Dykinson.</w:t>
      </w:r>
    </w:p>
    <w:p>
      <w:pPr>
        <w:spacing w:after="100" w:line="276"/>
        <w:ind w:left="567" w:hanging="567"/>
        <w:jc w:val="left"/>
      </w:pPr>
      <w:r>
        <w:rPr>
          <w:rFonts w:ascii="Arial" w:cs="Arial" w:eastAsia="Arial" w:hAnsi="Arial"/>
          <w:i w:val="false"/>
          <w:iCs w:val="false"/>
          <w:sz w:val="22"/>
          <w:szCs w:val="22"/>
        </w:rPr>
        <w:t xml:space="preserve">Ministerio de Salud y Protección Social. (2006). Decreto 1011 de 2006, por el cual se establece el Sistema Obligatorio de Garantía de Calidad de la Atención de Salud.</w:t>
      </w:r>
    </w:p>
    <w:p>
      <w:pPr>
        <w:spacing w:after="100" w:line="276"/>
        <w:ind w:left="567" w:hanging="567"/>
        <w:jc w:val="left"/>
      </w:pPr>
      <w:r>
        <w:rPr>
          <w:rFonts w:ascii="Arial" w:cs="Arial" w:eastAsia="Arial" w:hAnsi="Arial"/>
          <w:i w:val="false"/>
          <w:iCs w:val="false"/>
          <w:sz w:val="22"/>
          <w:szCs w:val="22"/>
        </w:rPr>
        <w:t xml:space="preserve">Ministerio de Salud y Protección Social. (2013). Decreto 1683 de 2013, por el cual se reglamenta el artículo 22 de la Ley 1438 de 2011 sobre portabilidad nacional en el SGSSS.</w:t>
      </w:r>
    </w:p>
    <w:p>
      <w:pPr>
        <w:spacing w:after="100" w:line="276"/>
        <w:ind w:left="567" w:hanging="567"/>
        <w:jc w:val="left"/>
      </w:pPr>
      <w:r>
        <w:rPr>
          <w:rFonts w:ascii="Arial" w:cs="Arial" w:eastAsia="Arial" w:hAnsi="Arial"/>
          <w:i w:val="false"/>
          <w:iCs w:val="false"/>
          <w:sz w:val="22"/>
          <w:szCs w:val="22"/>
        </w:rPr>
        <w:t xml:space="preserve">Ministerio de Salud y Protección Social. (2013). Resolución 1552 de 2013, por medio de la cual se reglamentan parcialmente los artículos 123 y 124 del Decreto Ley 019 de 2012 (agendas abiertas).</w:t>
      </w:r>
    </w:p>
    <w:p>
      <w:pPr>
        <w:spacing w:after="100" w:line="276"/>
        <w:ind w:left="567" w:hanging="567"/>
        <w:jc w:val="left"/>
      </w:pPr>
      <w:r>
        <w:rPr>
          <w:rFonts w:ascii="Arial" w:cs="Arial" w:eastAsia="Arial" w:hAnsi="Arial"/>
          <w:i w:val="false"/>
          <w:iCs w:val="false"/>
          <w:sz w:val="22"/>
          <w:szCs w:val="22"/>
        </w:rPr>
        <w:t xml:space="preserve">Ministerio de Salud y Protección Social. (2014). Resolución 247 de 2014, por la cual se establece el reporte para el registro de pacientes con cáncer.</w:t>
      </w:r>
    </w:p>
    <w:p>
      <w:pPr>
        <w:spacing w:after="100" w:line="276"/>
        <w:ind w:left="567" w:hanging="567"/>
        <w:jc w:val="left"/>
      </w:pPr>
      <w:r>
        <w:rPr>
          <w:rFonts w:ascii="Arial" w:cs="Arial" w:eastAsia="Arial" w:hAnsi="Arial"/>
          <w:i w:val="false"/>
          <w:iCs w:val="false"/>
          <w:sz w:val="22"/>
          <w:szCs w:val="22"/>
        </w:rPr>
        <w:t xml:space="preserve">Ministerio de Salud y Protección Social. (2016). Decreto 780 de 2016, Decreto Único Reglamentario del Sector Salud y Protección Social.</w:t>
      </w:r>
    </w:p>
    <w:p>
      <w:pPr>
        <w:spacing w:after="100" w:line="276"/>
        <w:ind w:left="567" w:hanging="567"/>
        <w:jc w:val="left"/>
      </w:pPr>
      <w:r>
        <w:rPr>
          <w:rFonts w:ascii="Arial" w:cs="Arial" w:eastAsia="Arial" w:hAnsi="Arial"/>
          <w:i w:val="false"/>
          <w:iCs w:val="false"/>
          <w:sz w:val="22"/>
          <w:szCs w:val="22"/>
        </w:rPr>
        <w:t xml:space="preserve">Ministerio de Salud y Protección Social. (2016). Resolución 256 de 2016, por la cual se dictan disposiciones en relación con el Sistema de Información para la Calidad.</w:t>
      </w:r>
    </w:p>
    <w:p>
      <w:pPr>
        <w:spacing w:after="100" w:line="276"/>
        <w:ind w:left="567" w:hanging="567"/>
        <w:jc w:val="left"/>
      </w:pPr>
      <w:r>
        <w:rPr>
          <w:rFonts w:ascii="Arial" w:cs="Arial" w:eastAsia="Arial" w:hAnsi="Arial"/>
          <w:i w:val="false"/>
          <w:iCs w:val="false"/>
          <w:sz w:val="22"/>
          <w:szCs w:val="22"/>
        </w:rPr>
        <w:t xml:space="preserve">Ministerio de Salud y Protección Social. (2016). Resolución 3202 de 2016, por la cual se adopta el Manual metodológico para la elaboración e implementación de las RIAS.</w:t>
      </w:r>
    </w:p>
    <w:p>
      <w:pPr>
        <w:spacing w:after="100" w:line="276"/>
        <w:ind w:left="567" w:hanging="567"/>
        <w:jc w:val="left"/>
      </w:pPr>
      <w:r>
        <w:rPr>
          <w:rFonts w:ascii="Arial" w:cs="Arial" w:eastAsia="Arial" w:hAnsi="Arial"/>
          <w:i w:val="false"/>
          <w:iCs w:val="false"/>
          <w:sz w:val="22"/>
          <w:szCs w:val="22"/>
        </w:rPr>
        <w:t xml:space="preserve">Ministerio de Salud y Protección Social. (2017). Resolución 2063 de 2017, por la cual se adopta la Política de Participación Social en Salud.</w:t>
      </w:r>
    </w:p>
    <w:p>
      <w:pPr>
        <w:spacing w:after="100" w:line="276"/>
        <w:ind w:left="567" w:hanging="567"/>
        <w:jc w:val="left"/>
      </w:pPr>
      <w:r>
        <w:rPr>
          <w:rFonts w:ascii="Arial" w:cs="Arial" w:eastAsia="Arial" w:hAnsi="Arial"/>
          <w:i w:val="false"/>
          <w:iCs w:val="false"/>
          <w:sz w:val="22"/>
          <w:szCs w:val="22"/>
        </w:rPr>
        <w:t xml:space="preserve">Ministerio de Salud y Protección Social. (2018). Resolución 3280 de 2018, por medio de la cual se adoptan los lineamientos técnicos y operativos de la Ruta Integral de Atención para la Promoción y Mantenimiento de la Salud.</w:t>
      </w:r>
    </w:p>
    <w:p>
      <w:pPr>
        <w:spacing w:after="100" w:line="276"/>
        <w:ind w:left="567" w:hanging="567"/>
        <w:jc w:val="left"/>
      </w:pPr>
      <w:r>
        <w:rPr>
          <w:rFonts w:ascii="Arial" w:cs="Arial" w:eastAsia="Arial" w:hAnsi="Arial"/>
          <w:i w:val="false"/>
          <w:iCs w:val="false"/>
          <w:sz w:val="22"/>
          <w:szCs w:val="22"/>
        </w:rPr>
        <w:t xml:space="preserve">Ministerio de Salud y Protección Social. (2019). Decreto 1424 de 2019, por el cual se modifican disposiciones sobre asignación de afiliados del Decreto 780 de 2016.</w:t>
      </w:r>
    </w:p>
    <w:p>
      <w:pPr>
        <w:spacing w:after="100" w:line="276"/>
        <w:ind w:left="567" w:hanging="567"/>
        <w:jc w:val="left"/>
      </w:pPr>
      <w:r>
        <w:rPr>
          <w:rFonts w:ascii="Arial" w:cs="Arial" w:eastAsia="Arial" w:hAnsi="Arial"/>
          <w:i w:val="false"/>
          <w:iCs w:val="false"/>
          <w:sz w:val="22"/>
          <w:szCs w:val="22"/>
        </w:rPr>
        <w:t xml:space="preserve">Ministerio de Salud y Protección Social. (2019). Resolución 2626 de 2019, por la cual se modifica la Política de Atención Integral en Salud y se adopta el Modelo de Acción Integral Territorial (MAITE).</w:t>
      </w:r>
    </w:p>
    <w:p>
      <w:pPr>
        <w:spacing w:after="100" w:line="276"/>
        <w:ind w:left="567" w:hanging="567"/>
        <w:jc w:val="left"/>
      </w:pPr>
      <w:r>
        <w:rPr>
          <w:rFonts w:ascii="Arial" w:cs="Arial" w:eastAsia="Arial" w:hAnsi="Arial"/>
          <w:i w:val="false"/>
          <w:iCs w:val="false"/>
          <w:sz w:val="22"/>
          <w:szCs w:val="22"/>
        </w:rPr>
        <w:t xml:space="preserve">Ministerio de Salud y Protección Social. (2019). Resolución 3100 de 2019, por la cual se definen los procedimientos y condiciones de inscripción de los prestadores y de habilitación de los servicios de salud.</w:t>
      </w:r>
    </w:p>
    <w:p>
      <w:pPr>
        <w:spacing w:after="100" w:line="276"/>
        <w:ind w:left="567" w:hanging="567"/>
        <w:jc w:val="left"/>
      </w:pPr>
      <w:r>
        <w:rPr>
          <w:rFonts w:ascii="Arial" w:cs="Arial" w:eastAsia="Arial" w:hAnsi="Arial"/>
          <w:i w:val="false"/>
          <w:iCs w:val="false"/>
          <w:sz w:val="22"/>
          <w:szCs w:val="22"/>
        </w:rPr>
        <w:t xml:space="preserve">Ministerio de Salud y Protección Social. (2021). Resolución 202 de 2021, por la cual se modifica el artículo 10 de la Resolución 4505 de 2012 (reporte de actividades de protección específica y detección temprana).</w:t>
      </w:r>
    </w:p>
    <w:p>
      <w:pPr>
        <w:spacing w:after="100" w:line="276"/>
        <w:ind w:left="567" w:hanging="567"/>
        <w:jc w:val="left"/>
      </w:pPr>
      <w:r>
        <w:rPr>
          <w:rFonts w:ascii="Arial" w:cs="Arial" w:eastAsia="Arial" w:hAnsi="Arial"/>
          <w:i w:val="false"/>
          <w:iCs w:val="false"/>
          <w:sz w:val="22"/>
          <w:szCs w:val="22"/>
        </w:rPr>
        <w:t xml:space="preserve">Ministerio de Salud y Protección Social. (2022). Resolución 1035 de 2022, por la cual se adopta el Plan Decenal de Salud Pública 2022-2031.</w:t>
      </w:r>
    </w:p>
    <w:p>
      <w:pPr>
        <w:spacing w:after="100" w:line="276"/>
        <w:ind w:left="567" w:hanging="567"/>
        <w:jc w:val="left"/>
      </w:pPr>
      <w:r>
        <w:rPr>
          <w:rFonts w:ascii="Arial" w:cs="Arial" w:eastAsia="Arial" w:hAnsi="Arial"/>
          <w:i w:val="false"/>
          <w:iCs w:val="false"/>
          <w:sz w:val="22"/>
          <w:szCs w:val="22"/>
        </w:rPr>
        <w:t xml:space="preserve">Ministerio de Salud y Protección Social. (2024). Resolución 100 de 2024, por la cual se dictan disposiciones sobre la Planeación Integral para la Salud.</w:t>
      </w:r>
    </w:p>
    <w:p>
      <w:pPr>
        <w:spacing w:after="100" w:line="276"/>
        <w:ind w:left="567" w:hanging="567"/>
        <w:jc w:val="left"/>
      </w:pPr>
      <w:r>
        <w:rPr>
          <w:rFonts w:ascii="Arial" w:cs="Arial" w:eastAsia="Arial" w:hAnsi="Arial"/>
          <w:i w:val="false"/>
          <w:iCs w:val="false"/>
          <w:sz w:val="22"/>
          <w:szCs w:val="22"/>
        </w:rPr>
        <w:t xml:space="preserve">Morgensterin, R. M. (2021). </w:t>
      </w:r>
      <w:r>
        <w:rPr>
          <w:rFonts w:ascii="Arial" w:cs="Arial" w:eastAsia="Arial" w:hAnsi="Arial"/>
          <w:i/>
          <w:iCs/>
          <w:sz w:val="22"/>
          <w:szCs w:val="22"/>
        </w:rPr>
        <w:t xml:space="preserve">Guía para la gestión de calidad y la seguridad laboral de los servicios de salud: versión global aplicable a todo sistema de salud</w:t>
      </w:r>
      <w:r>
        <w:rPr>
          <w:rFonts w:ascii="Arial" w:cs="Arial" w:eastAsia="Arial" w:hAnsi="Arial"/>
          <w:i w:val="false"/>
          <w:iCs w:val="false"/>
          <w:sz w:val="22"/>
          <w:szCs w:val="22"/>
        </w:rPr>
        <w:t xml:space="preserve"> (1.ª ed., pp. 33-45; 63-74). Bubok Publishing S.L.</w:t>
      </w:r>
    </w:p>
    <w:p>
      <w:pPr>
        <w:spacing w:after="100" w:line="276"/>
        <w:ind w:left="567" w:hanging="567"/>
        <w:jc w:val="left"/>
      </w:pPr>
      <w:r>
        <w:rPr>
          <w:rFonts w:ascii="Arial" w:cs="Arial" w:eastAsia="Arial" w:hAnsi="Arial"/>
          <w:i w:val="false"/>
          <w:iCs w:val="false"/>
          <w:sz w:val="22"/>
          <w:szCs w:val="22"/>
        </w:rPr>
        <w:t xml:space="preserve">Pascarella, G., Rossi, M., Montella, E., Capasso, A., De Feo, G., Botti, G., Nardone, A., Montuori, P., Triassi, M., D’Auria, S., &amp; Morabito, A. (2021). Risk analysis in healthcare organizations: Methodological framework and critical variables. </w:t>
      </w:r>
      <w:r>
        <w:rPr>
          <w:rFonts w:ascii="Arial" w:cs="Arial" w:eastAsia="Arial" w:hAnsi="Arial"/>
          <w:i/>
          <w:iCs/>
          <w:sz w:val="22"/>
          <w:szCs w:val="22"/>
        </w:rPr>
        <w:t xml:space="preserve">Risk Management and Healthcare Policy, 14</w:t>
      </w:r>
      <w:r>
        <w:rPr>
          <w:rFonts w:ascii="Arial" w:cs="Arial" w:eastAsia="Arial" w:hAnsi="Arial"/>
          <w:i w:val="false"/>
          <w:iCs w:val="false"/>
          <w:sz w:val="22"/>
          <w:szCs w:val="22"/>
        </w:rPr>
        <w:t xml:space="preserve">, 2897-2911. https://doi.org/10.2147/RMHP.S309098</w:t>
      </w:r>
    </w:p>
    <w:p>
      <w:pPr>
        <w:spacing w:after="100" w:line="276"/>
        <w:ind w:left="567" w:hanging="567"/>
        <w:jc w:val="left"/>
      </w:pPr>
      <w:r>
        <w:rPr>
          <w:rFonts w:ascii="Arial" w:cs="Arial" w:eastAsia="Arial" w:hAnsi="Arial"/>
          <w:i w:val="false"/>
          <w:iCs w:val="false"/>
          <w:sz w:val="22"/>
          <w:szCs w:val="22"/>
        </w:rPr>
        <w:t xml:space="preserve">Solar, O., &amp; Irwin, A. (2010). </w:t>
      </w:r>
      <w:r>
        <w:rPr>
          <w:rFonts w:ascii="Arial" w:cs="Arial" w:eastAsia="Arial" w:hAnsi="Arial"/>
          <w:i/>
          <w:iCs/>
          <w:sz w:val="22"/>
          <w:szCs w:val="22"/>
        </w:rPr>
        <w:t xml:space="preserve">A conceptual framework for action on the social determinants of health</w:t>
      </w:r>
      <w:r>
        <w:rPr>
          <w:rFonts w:ascii="Arial" w:cs="Arial" w:eastAsia="Arial" w:hAnsi="Arial"/>
          <w:i w:val="false"/>
          <w:iCs w:val="false"/>
          <w:sz w:val="22"/>
          <w:szCs w:val="22"/>
        </w:rPr>
        <w:t xml:space="preserve"> (Social Determinants of Health Discussion Paper 2). World Health Organization.</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6f5cad1001e499a581bf01a129001f2f7e158d7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2026-09-22T22:32:55.724Z</dcterms:created>
  <dcterms:modified xsi:type="dcterms:W3CDTF">2026-09-22T22:32:55.725Z</dcterms:modified>
</cp:coreProperties>
</file>

<file path=docProps/custom.xml><?xml version="1.0" encoding="utf-8"?>
<Properties xmlns="http://schemas.openxmlformats.org/officeDocument/2006/custom-properties" xmlns:vt="http://schemas.openxmlformats.org/officeDocument/2006/docPropsVTypes"/>
</file>