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CECD3" w14:textId="2ED631F0" w:rsidR="0011060D" w:rsidRPr="00C53B11" w:rsidRDefault="00C53B11">
      <w:pPr>
        <w:rPr>
          <w:b/>
          <w:bCs/>
          <w:sz w:val="28"/>
          <w:szCs w:val="28"/>
        </w:rPr>
      </w:pPr>
      <w:r>
        <w:rPr>
          <w:rFonts w:ascii="Times New Roman" w:hAnsi="Times New Roman"/>
          <w:b/>
          <w:i w:val="0"/>
          <w:sz w:val="28"/>
        </w:rPr>
        <w:t>Response to Review</w:t>
      </w:r>
    </w:p>
    <w:p>
      <w:r>
        <w:t>Dear Associate Editor and Reviewers,</w:t>
        <w:br/>
        <w:t>We thank you for the careful reading and the constructive comments, which have substantially improved the manuscript. All comments have been addressed point by point: we first summarize the revisions, then list the major changes, and finally respond to each comment with the corresponding change location in the revised manuscript.</w:t>
      </w:r>
    </w:p>
    <w:p w14:paraId="32EF9B4B" w14:textId="7AC75671" w:rsidR="00C53B11" w:rsidRDefault="00C53B11">
      <w:r>
        <w:rPr>
          <w:rFonts w:ascii="Times New Roman" w:hAnsi="Times New Roman"/>
          <w:b/>
          <w:i w:val="0"/>
          <w:sz w:val="26"/>
        </w:rPr>
        <w:t>Summary of Revision</w:t>
      </w:r>
    </w:p>
    <w:p w14:paraId="1A92A1C5" w14:textId="75A147C8" w:rsidR="00C53B11" w:rsidRDefault="00C53B11" w:rsidP="00C53B11">
      <w:pPr>
        <w:pStyle w:val="a9"/>
        <w:numPr>
          <w:ilvl w:val="0"/>
          <w:numId w:val="1"/>
        </w:numPr>
        <w:rPr>
          <w:rFonts w:hint="eastAsia"/>
        </w:rPr>
      </w:pPr>
      <w:r>
        <w:rPr>
          <w:rFonts w:ascii="Times New Roman" w:hAnsi="Times New Roman"/>
          <w:b w:val="0"/>
          <w:i w:val="0"/>
          <w:sz w:val="22"/>
        </w:rPr>
        <w:t>In this revision we substantially extend the empirical scope of the study with three new datasets: Fashion-MNIST and CIFAR-10 (image benchmarks) and Yeast (a markedly harder tabular dataset). The two image benchmarks were added to test whether the proposed framework applies beyond small tabular data. The results not only reproduce the phenomenon observed on small tabular datasets but also reveal a new finding: test accuracy differs significantly between the fully complementary regime (α = 0) and the fully overlapping regime (α = 1). Distill-S improves test accuracy by 4.4 points on CIFAR-10 (0.788 vs. 0.744) and 1.1 points on Fashion-MNIST (0.923 vs. 0.912) in the fully complementary regime, confirming that complementary teacher data is a genuine source of benefit. To further examine whether the phenomenon is modality-dependent, we additionally include Yeast, a considerably harder tabular dataset, which exhibits the same pattern (+1.0 point test accuracy). Together with new test-set, calibration, teacher-quality, sensitivity and capacity analyses, these results support the conclusion that dataset difficulty — rather than modality — determines when same-architecture distillation helps.</w:t>
      </w:r>
    </w:p>
    <w:p>
      <w:pPr>
        <w:spacing w:before="280" w:after="80"/>
      </w:pPr>
      <w:r>
        <w:rPr>
          <w:rFonts w:ascii="Times New Roman" w:hAnsi="Times New Roman"/>
          <w:b/>
          <w:i w:val="0"/>
          <w:sz w:val="26"/>
        </w:rPr>
        <w:t>List of Major Changes</w:t>
      </w:r>
    </w:p>
    <w:p>
      <w:pPr>
        <w:spacing w:before="0" w:after="120"/>
      </w:pPr>
      <w:r>
        <w:rPr>
          <w:rFonts w:ascii="Times New Roman" w:hAnsi="Times New Roman"/>
          <w:b/>
          <w:i w:val="0"/>
          <w:sz w:val="22"/>
        </w:rPr>
        <w:t xml:space="preserve">1. </w:t>
      </w:r>
      <w:r>
        <w:rPr>
          <w:rFonts w:ascii="Times New Roman" w:hAnsi="Times New Roman"/>
          <w:b w:val="0"/>
          <w:i w:val="0"/>
          <w:sz w:val="22"/>
        </w:rPr>
        <w:t>New image-benchmark experiments (Fashion-MNIST and CIFAR-10): full α-sweep (6 values) × 20 random seeds under the identical protocol (a three-block VGG-style CNN with 32–64–128 channels and batch normalization, identical architecture for teacher and student, early stopping on validation loss). New section “Image Benchmarks” (§4.6). At α = 0 the generalization gap decreases from 0.077 to 0.040 on Fashion-MNIST (Δ = −0.038, 95% CI [−0.040, −0.037]) and from 0.222 to 0.121 on CIFAR-10 (Δ = −0.101, CI [−0.106, −0.097]); test accuracy increases by 1.1 points (0.923 vs. 0.912) and 4.4 points (0.788 vs. 0.744) — with half of its training data, the distilled student matches Baseline-Full (all Holm-adjusted p &lt; 10⁻⁴, rank-biserial r = ±1.0); at α = 1.0 no advantage survives.</w:t>
      </w:r>
    </w:p>
    <w:p>
      <w:pPr>
        <w:spacing w:before="0" w:after="120"/>
      </w:pPr>
      <w:r>
        <w:rPr>
          <w:rFonts w:ascii="Times New Roman" w:hAnsi="Times New Roman"/>
          <w:b/>
          <w:i w:val="0"/>
          <w:sz w:val="22"/>
        </w:rPr>
        <w:t xml:space="preserve">2. </w:t>
      </w:r>
      <w:r>
        <w:rPr>
          <w:rFonts w:ascii="Times New Roman" w:hAnsi="Times New Roman"/>
          <w:b w:val="0"/>
          <w:i w:val="0"/>
          <w:sz w:val="22"/>
        </w:rPr>
        <w:t>New hard tabular probe (Yeast, 1,484 samples × 8 features, 10 classes): reproduces the image-dataset pattern (test accuracy +1.0 points, p = 0.028; gap Δ = −0.027, Holm-adjusted p = 0.002, r = −0.90). New paragraph “Difficulty, not modality” in §4.8.</w:t>
      </w:r>
    </w:p>
    <w:p>
      <w:pPr>
        <w:spacing w:before="0" w:after="120"/>
      </w:pPr>
      <w:r>
        <w:rPr>
          <w:rFonts w:ascii="Times New Roman" w:hAnsi="Times New Roman"/>
          <w:b/>
          <w:i w:val="0"/>
          <w:sz w:val="22"/>
        </w:rPr>
        <w:t xml:space="preserve">3. </w:t>
      </w:r>
      <w:r>
        <w:rPr>
          <w:rFonts w:ascii="Times New Roman" w:hAnsi="Times New Roman"/>
          <w:b w:val="0"/>
          <w:i w:val="0"/>
          <w:sz w:val="22"/>
        </w:rPr>
        <w:t>Primary evaluation moved to the held-out test set: test accuracy, negative log-likelihood (NLL) and 15-bin expected calibration error (ECE) are now reported for every student group (new section “Test-Set Performance and Calibration”, §4.3); the generalization gap is retained only as a secondary mechanistic diagnostic.</w:t>
      </w:r>
    </w:p>
    <w:p>
      <w:pPr>
        <w:spacing w:before="0" w:after="120"/>
      </w:pPr>
      <w:r>
        <w:rPr>
          <w:rFonts w:ascii="Times New Roman" w:hAnsi="Times New Roman"/>
          <w:b/>
          <w:i w:val="0"/>
          <w:sz w:val="22"/>
        </w:rPr>
        <w:t xml:space="preserve">4. </w:t>
      </w:r>
      <w:r>
        <w:rPr>
          <w:rFonts w:ascii="Times New Roman" w:hAnsi="Times New Roman"/>
          <w:b w:val="0"/>
          <w:i w:val="0"/>
          <w:sz w:val="22"/>
        </w:rPr>
        <w:t>New section “Teacher Quality and Teacher–Student Agreement” (§4.4): mean teacher test accuracy, teacher ECE and soft-label entropy per dataset (calibration degrades with difficulty: ECE 0.021–0.047 on separable tabular data vs. 0.227 Glass / 0.167 CIFAR-10 / 0.133 Yeast), and teacher–student prediction agreement on the student’s own samples (≥96% on separable datasets vs. 77% on Glass). The teacher–student disagreement rate orders the α = 0 distillation benefit across seven dataset-level points (Spearman ρ = 0.786, p = 0.036).</w:t>
      </w:r>
    </w:p>
    <w:p>
      <w:pPr>
        <w:spacing w:before="0" w:after="120"/>
      </w:pPr>
      <w:r>
        <w:rPr>
          <w:rFonts w:ascii="Times New Roman" w:hAnsi="Times New Roman"/>
          <w:b/>
          <w:i w:val="0"/>
          <w:sz w:val="22"/>
        </w:rPr>
        <w:t xml:space="preserve">5. </w:t>
      </w:r>
      <w:r>
        <w:rPr>
          <w:rFonts w:ascii="Times New Roman" w:hAnsi="Times New Roman"/>
          <w:b w:val="0"/>
          <w:i w:val="0"/>
          <w:sz w:val="22"/>
        </w:rPr>
        <w:t>Statistical analysis upgraded throughout: paired Wilcoxon signed-rank tests over 20 seeds, bootstrap 95% confidence intervals (10,000 resamples) for mean paired differences, rank-biserial effect sizes, and Holm step-down family-wise correction (§3.4 and all results tables); figures show ±1 standard deviation over seeds.</w:t>
      </w:r>
    </w:p>
    <w:p>
      <w:pPr>
        <w:spacing w:before="0" w:after="120"/>
      </w:pPr>
      <w:r>
        <w:rPr>
          <w:rFonts w:ascii="Times New Roman" w:hAnsi="Times New Roman"/>
          <w:b/>
          <w:i w:val="0"/>
          <w:sz w:val="22"/>
        </w:rPr>
        <w:t xml:space="preserve">6. </w:t>
      </w:r>
      <w:r>
        <w:rPr>
          <w:rFonts w:ascii="Times New Roman" w:hAnsi="Times New Roman"/>
          <w:b w:val="0"/>
          <w:i w:val="0"/>
          <w:sz w:val="22"/>
        </w:rPr>
        <w:t>New section “Hyperparameter Sensitivity and Teacher Capacity” (§4.5): label-smoothing ε ∈ {0.05, 0.1, 0.2, 0.3}; KD T ∈ {1, 2, 4} × λ ∈ {0.3, 0.5, 0.7}; teacher-capacity ablation (hidden sizes (32,16), (64,32), (128,64)). Documents the underfitting confound at high T/λ (Glass, T = 2, λ = 0.5: gap 0.108 with test accuracy 0.564 vs. 0.645 at T = 1).</w:t>
      </w:r>
    </w:p>
    <w:p>
      <w:pPr>
        <w:spacing w:before="0" w:after="120"/>
      </w:pPr>
      <w:r>
        <w:rPr>
          <w:rFonts w:ascii="Times New Roman" w:hAnsi="Times New Roman"/>
          <w:b/>
          <w:i w:val="0"/>
          <w:sz w:val="22"/>
        </w:rPr>
        <w:t xml:space="preserve">7. </w:t>
      </w:r>
      <w:r>
        <w:rPr>
          <w:rFonts w:ascii="Times New Roman" w:hAnsi="Times New Roman"/>
          <w:b w:val="0"/>
          <w:i w:val="0"/>
          <w:sz w:val="22"/>
        </w:rPr>
        <w:t>Data-construction details clarified (§3.2): the feasibility constraint β ≥ α(1−β) is now stated explicitly, asymmetric regimes (β ≠ 0.5 with α &gt; 0) are excluded by design, the seeded sampling protocol is described, and a class-probability alignment issue is documented and fixed (teacher probabilities re-ordered via the teacher’s classes_ attribute). All results were regenerated with the corrected pipeline.</w:t>
      </w:r>
    </w:p>
    <w:p>
      <w:pPr>
        <w:spacing w:before="0" w:after="120"/>
      </w:pPr>
      <w:r>
        <w:rPr>
          <w:rFonts w:ascii="Times New Roman" w:hAnsi="Times New Roman"/>
          <w:b/>
          <w:i w:val="0"/>
          <w:sz w:val="22"/>
        </w:rPr>
        <w:t xml:space="preserve">8. </w:t>
      </w:r>
      <w:r>
        <w:rPr>
          <w:rFonts w:ascii="Times New Roman" w:hAnsi="Times New Roman"/>
          <w:b w:val="0"/>
          <w:i w:val="0"/>
          <w:sz w:val="22"/>
        </w:rPr>
        <w:t>Related work updated: HASKD and MixSKD are now cited and discussed in an explicit protocol-positioning paragraph; reference list corrected (venue/booktitle of Furlanello et al. and Zhu et al.; UCI repository entry completed).</w:t>
      </w:r>
    </w:p>
    <w:p>
      <w:pPr>
        <w:spacing w:before="0" w:after="120"/>
      </w:pPr>
      <w:r>
        <w:rPr>
          <w:rFonts w:ascii="Times New Roman" w:hAnsi="Times New Roman"/>
          <w:b/>
          <w:i w:val="0"/>
          <w:sz w:val="22"/>
        </w:rPr>
        <w:t xml:space="preserve">9. </w:t>
      </w:r>
      <w:r>
        <w:rPr>
          <w:rFonts w:ascii="Times New Roman" w:hAnsi="Times New Roman"/>
          <w:b w:val="0"/>
          <w:i w:val="0"/>
          <w:sz w:val="22"/>
        </w:rPr>
        <w:t>Presentation fixes: citation style inconsistencies (e.g., “settingsHinton”, duplicated author–year citations, the malformed “Stanton et al.” entry), spacing around citations, the corresponding author’s e-mail domain, and the typographical errors pointed out by the reviewers.</w:t>
      </w:r>
    </w:p>
    <w:p>
      <w:pPr>
        <w:spacing w:before="280" w:after="80"/>
      </w:pPr>
      <w:r>
        <w:rPr>
          <w:rFonts w:ascii="Times New Roman" w:hAnsi="Times New Roman"/>
          <w:b/>
          <w:i w:val="0"/>
          <w:sz w:val="26"/>
        </w:rPr>
        <w:t>Response to Reviewer #1</w:t>
      </w:r>
    </w:p>
    <w:p>
      <w:pPr>
        <w:spacing w:before="0" w:after="120"/>
      </w:pPr>
      <w:r>
        <w:rPr>
          <w:rFonts w:ascii="Times New Roman" w:hAnsi="Times New Roman"/>
          <w:b w:val="0"/>
          <w:i w:val="0"/>
          <w:sz w:val="22"/>
        </w:rPr>
        <w:t>We thank Reviewer #1 for the encouraging assessment of our question as “relevant and underexplored” and for the detailed, constructive comments. The general assessment and each comment are quoted below, followed by our response and the corresponding change location.</w:t>
      </w:r>
    </w:p>
    <w:p>
      <w:pPr>
        <w:spacing w:before="160" w:after="40"/>
        <w:ind w:left="360"/>
      </w:pPr>
      <w:r>
        <w:rPr>
          <w:rFonts w:ascii="Times New Roman" w:hAnsi="Times New Roman"/>
          <w:b/>
          <w:i w:val="0"/>
          <w:sz w:val="22"/>
        </w:rPr>
        <w:t xml:space="preserve">General assessment. </w:t>
      </w:r>
      <w:r>
        <w:rPr>
          <w:rFonts w:ascii="Times New Roman" w:hAnsi="Times New Roman"/>
          <w:b w:val="0"/>
          <w:i/>
          <w:sz w:val="22"/>
        </w:rPr>
        <w:t>“Overall, this manuscript studies how the overlap between teacher and student training sets affects knowledge distillation, and proposes an α-overlap framework to vary the fraction of shared samples. The topic is relevant and underexplored, especially because most KD studies implicitly assume that teacher and student are trained on the same or highly overlapping data. The paper is clearly organized, and the experimental design is easy to follow. The results suggest that complementary partitioning may reduce the student’s generalization gap, with some dataset-dependent benefits over label smoothing. However, for Pattern Recognition Letters, the current version still has several important limitations. The empirical scope is relatively narrow, the claimed contribution is closer to an experimental observation than a new method or theoretical advance, and the analysis does not yet sufficiently demonstrate when, why, and to what extent complementary KD improves useful predictive performance. Therefore, I believe the manuscript requires substantial revision before it can be considered for publication.”</w:t>
      </w:r>
    </w:p>
    <w:p>
      <w:pPr>
        <w:spacing w:before="0" w:after="120"/>
        <w:ind w:left="360"/>
      </w:pPr>
      <w:r>
        <w:rPr>
          <w:rFonts w:ascii="Times New Roman" w:hAnsi="Times New Roman"/>
          <w:b/>
          <w:i w:val="0"/>
          <w:sz w:val="22"/>
        </w:rPr>
        <w:t xml:space="preserve">Response. </w:t>
      </w:r>
      <w:r>
        <w:rPr>
          <w:rFonts w:ascii="Times New Roman" w:hAnsi="Times New Roman"/>
          <w:b w:val="0"/>
          <w:i w:val="0"/>
          <w:sz w:val="22"/>
        </w:rPr>
        <w:t>We thank the reviewer for this accurate characterization of the original manuscript. The revision is designed precisely around the limitations identified: narrow empirical scope (Comments 2–3), usefulness of predictive performance (Comments 3–4), positioning (Comment 1), and mechanism (Comment 8); in addition, the statistics, implementation, and presentation are strengthened (Comments 5–7, 9).</w:t>
      </w:r>
    </w:p>
    <w:p>
      <w:pPr>
        <w:spacing w:before="160" w:after="40"/>
        <w:ind w:left="360"/>
      </w:pPr>
      <w:r>
        <w:rPr>
          <w:rFonts w:ascii="Times New Roman" w:hAnsi="Times New Roman"/>
          <w:b/>
          <w:i w:val="0"/>
          <w:sz w:val="22"/>
        </w:rPr>
        <w:t xml:space="preserve">Comment 1 (novelty positioning). </w:t>
      </w:r>
      <w:r>
        <w:rPr>
          <w:rFonts w:ascii="Times New Roman" w:hAnsi="Times New Roman"/>
          <w:b w:val="0"/>
          <w:i/>
          <w:sz w:val="22"/>
        </w:rPr>
        <w:t>“The novelty and contribution should be better positioned. The proposed α-overlap framework is useful as an experimental protocol, but it is essentially a controlled data-partitioning scheme rather than a new knowledge distillation method. The manuscript should more clearly distinguish between methodological novelty and empirical observation, and explain how the proposed framework advances the KD literature beyond existing studies on data heterogeneity, self-distillation, federated distillation, and regularization by soft labels.”</w:t>
      </w:r>
    </w:p>
    <w:p>
      <w:pPr>
        <w:spacing w:before="0" w:after="40"/>
        <w:ind w:left="360"/>
      </w:pPr>
      <w:r>
        <w:rPr>
          <w:rFonts w:ascii="Times New Roman" w:hAnsi="Times New Roman"/>
          <w:b/>
          <w:i w:val="0"/>
          <w:sz w:val="22"/>
        </w:rPr>
        <w:t xml:space="preserve">Response. </w:t>
      </w:r>
      <w:r>
        <w:rPr>
          <w:rFonts w:ascii="Times New Roman" w:hAnsi="Times New Roman"/>
          <w:b w:val="0"/>
          <w:i w:val="0"/>
          <w:sz w:val="22"/>
        </w:rPr>
        <w:t>We agree that the original framing did not sufficiently distinguish our contribution. The revision clarifies that our contribution is not a new distillation loss but a controlled experimental framework: the α-overlap protocol isolates the single factor of teacher–student data complementarity while holding architecture, capacity, optimization and data volume fixed. We have rewritten the contributions and added a protocol-positioning paragraph in Related Work that explicitly differentiates our setting from the four lines of work the reviewer lists: studies of data heterogeneity vary partitions but do not control the overlap ratio α itself; self-distillation and federated distillation fix the teacher–student data relationship by construction; and soft-label regularization (label smoothing) manipulates the targets without any teacher data. Within this controlled framework we characterize when same-architecture distillation helps — complementary teacher data, with the benefit increasing in dataset difficulty — and provide an agreement-based mechanism analysis. We now also cite HASKD and MixSKD and explain that neither studies the data-overlap axis.</w:t>
      </w:r>
    </w:p>
    <w:p>
      <w:pPr>
        <w:spacing w:before="0" w:after="120"/>
        <w:ind w:left="360"/>
      </w:pPr>
      <w:r>
        <w:rPr>
          <w:rFonts w:ascii="Times New Roman" w:hAnsi="Times New Roman"/>
          <w:b/>
          <w:i w:val="0"/>
          <w:sz w:val="22"/>
        </w:rPr>
        <w:t xml:space="preserve">Change location. </w:t>
      </w:r>
      <w:r>
        <w:rPr>
          <w:rFonts w:ascii="Times New Roman" w:hAnsi="Times New Roman"/>
          <w:b w:val="0"/>
          <w:i w:val="0"/>
          <w:sz w:val="22"/>
        </w:rPr>
        <w:t>§1 (Contributions), §2 (Related Work).</w:t>
      </w:r>
    </w:p>
    <w:p>
      <w:pPr>
        <w:spacing w:before="160" w:after="40"/>
        <w:ind w:left="360"/>
      </w:pPr>
      <w:r>
        <w:rPr>
          <w:rFonts w:ascii="Times New Roman" w:hAnsi="Times New Roman"/>
          <w:b/>
          <w:i w:val="0"/>
          <w:sz w:val="22"/>
        </w:rPr>
        <w:t xml:space="preserve">Comment 2 (dataset scope and generality). </w:t>
      </w:r>
      <w:r>
        <w:rPr>
          <w:rFonts w:ascii="Times New Roman" w:hAnsi="Times New Roman"/>
          <w:b w:val="0"/>
          <w:i/>
          <w:sz w:val="22"/>
        </w:rPr>
        <w:t>“The experimental evidence is too limited for the current claims. The study uses only four relatively small benchmark datasets, including Wine, BreastCancer, Glass, and Digits. Several of these datasets are very small, and the observed effects may be highly sensitive to random splits, model capacity, and class imbalance. For a pattern recognition journal, stronger evidence on more representative datasets is expected, such as CIFAR-10/100, Fashion-MNIST, SVHN, or other image recognition benchmarks. Without such experiments, it is difficult to judge whether the conclusions generalize beyond small-scale tabular or low-dimensional settings.”</w:t>
      </w:r>
    </w:p>
    <w:p>
      <w:pPr>
        <w:spacing w:before="0" w:after="40"/>
        <w:ind w:left="360"/>
      </w:pPr>
      <w:r>
        <w:rPr>
          <w:rFonts w:ascii="Times New Roman" w:hAnsi="Times New Roman"/>
          <w:b/>
          <w:i w:val="0"/>
          <w:sz w:val="22"/>
        </w:rPr>
        <w:t xml:space="preserve">Response. </w:t>
      </w:r>
      <w:r>
        <w:rPr>
          <w:rFonts w:ascii="Times New Roman" w:hAnsi="Times New Roman"/>
          <w:b w:val="0"/>
          <w:i w:val="0"/>
          <w:sz w:val="22"/>
        </w:rPr>
        <w:t>We fully agree and have added two image benchmarks from the reviewer’s list (Fashion-MNIST and CIFAR-10), each with a full α-sweep (6 values) × 20 seeds under the identical protocol (a three-block VGG-style CNN, identical architecture for teacher and student, early stopping on validation loss). The phenomenon reproduces on vision data with a larger effect size: at α = 0 the generalization gap decreases from 0.077 to 0.040 (FMNIST) and from 0.222 to 0.121 (CIFAR-10), and test accuracy increases by 1.1 and 4.4 points respectively — with half of its training data, the distilled student matches Baseline-Full (all Holm-adjusted p &lt; 10⁻⁴, r = ±1.0); at α = 1.0 no advantage remains. The sensitivity concerns are addressed directly: random splits by 20 paired seeds per configuration; model capacity by a teacher-capacity ablation over three sizes (Comment 4); class imbalance by documenting that class composition is balanced only in expectation rather than by exact stratification (§3.2). We additionally included Yeast as a hard tabular probe (§4.8, “Difficulty, not modality”). SVHN and CIFAR-100 are excellent further candidates; we now note them explicitly as natural extensions, along with the intended scope (same-architecture, data-constrained distillation) and the limitation that larger-scale architectures are left to future work.</w:t>
      </w:r>
    </w:p>
    <w:p>
      <w:pPr>
        <w:spacing w:before="0" w:after="120"/>
        <w:ind w:left="360"/>
      </w:pPr>
      <w:r>
        <w:rPr>
          <w:rFonts w:ascii="Times New Roman" w:hAnsi="Times New Roman"/>
          <w:b/>
          <w:i w:val="0"/>
          <w:sz w:val="22"/>
        </w:rPr>
        <w:t xml:space="preserve">Change location. </w:t>
      </w:r>
      <w:r>
        <w:rPr>
          <w:rFonts w:ascii="Times New Roman" w:hAnsi="Times New Roman"/>
          <w:b w:val="0"/>
          <w:i w:val="0"/>
          <w:sz w:val="22"/>
        </w:rPr>
        <w:t>§3.1 (Dataset), §4.6 (Image Benchmarks, new), §4.8.</w:t>
      </w:r>
    </w:p>
    <w:p>
      <w:pPr>
        <w:spacing w:before="160" w:after="40"/>
        <w:ind w:left="360"/>
      </w:pPr>
      <w:r>
        <w:rPr>
          <w:rFonts w:ascii="Times New Roman" w:hAnsi="Times New Roman"/>
          <w:b/>
          <w:i w:val="0"/>
          <w:sz w:val="22"/>
        </w:rPr>
        <w:t xml:space="preserve">Comment 3 (evaluation of actual predictive performance). </w:t>
      </w:r>
      <w:r>
        <w:rPr>
          <w:rFonts w:ascii="Times New Roman" w:hAnsi="Times New Roman"/>
          <w:b w:val="0"/>
          <w:i/>
          <w:sz w:val="22"/>
        </w:rPr>
        <w:t>“The paper focuses heavily on the generalization gap, but the actual predictive performance is insufficiently discussed. Reducing the train-test gap does not necessarily imply a practically better model. In several places, the manuscript notes that accuracy gains are close to zero, yet the central argument emphasizes regularization benefits. The authors should report and discuss test accuracy, validation accuracy, calibration metrics, and possibly negative log-likelihood alongside the generalization gap. This would help clarify whether complementary KD improves useful performance or merely reduces overfitting by lowering training accuracy.”</w:t>
      </w:r>
    </w:p>
    <w:p>
      <w:pPr>
        <w:spacing w:before="0" w:after="40"/>
        <w:ind w:left="360"/>
      </w:pPr>
      <w:r>
        <w:rPr>
          <w:rFonts w:ascii="Times New Roman" w:hAnsi="Times New Roman"/>
          <w:b/>
          <w:i w:val="0"/>
          <w:sz w:val="22"/>
        </w:rPr>
        <w:t xml:space="preserve">Response. </w:t>
      </w:r>
      <w:r>
        <w:rPr>
          <w:rFonts w:ascii="Times New Roman" w:hAnsi="Times New Roman"/>
          <w:b w:val="0"/>
          <w:i w:val="0"/>
          <w:sz w:val="22"/>
        </w:rPr>
        <w:t>All headline claims are now supported by held-out test metrics — test accuracy, NLL, and 15-bin ECE — reported for every student group in the new section “Test-Set Performance and Calibration”. On CIFAR-10 at α = 0, Distill-S improves test accuracy by 4.4 points (0.788 vs. 0.744) and reduces NLL from 0.772 to 0.665; on Fashion-MNIST, accuracy rises by 1.1 points (0.923 vs. 0.912) and NLL improves from 0.257 to 0.230; on the tabular datasets, the distilled student improves NLL on all four. The gains are therefore no longer “close to zero”: on the harder datasets the benefit is now demonstrated on proper predictive metrics, and the generalization gap is retained only as a secondary mechanistic indicator. We also report calibration honestly: KD yields better-calibrated students than label smoothing on the tabular datasets and FMNIST, whereas on CIFAR-10 label smoothing achieves slightly lower ECE (0.049 vs. 0.068). On the tabular datasets the accuracy differences against Baseline-Half remain small and not significant after Holm correction --- the accuracy gains are a feature of the harder (image and Yeast) benchmarks.</w:t>
      </w:r>
    </w:p>
    <w:p>
      <w:pPr>
        <w:spacing w:before="0" w:after="120"/>
        <w:ind w:left="360"/>
      </w:pPr>
      <w:r>
        <w:rPr>
          <w:rFonts w:ascii="Times New Roman" w:hAnsi="Times New Roman"/>
          <w:b/>
          <w:i w:val="0"/>
          <w:sz w:val="22"/>
        </w:rPr>
        <w:t xml:space="preserve">Change location. </w:t>
      </w:r>
      <w:r>
        <w:rPr>
          <w:rFonts w:ascii="Times New Roman" w:hAnsi="Times New Roman"/>
          <w:b w:val="0"/>
          <w:i w:val="0"/>
          <w:sz w:val="22"/>
        </w:rPr>
        <w:t>§3.4 (Evaluation Metrics), §4.3 (Test-Set Performance and Calibration, new).</w:t>
      </w:r>
    </w:p>
    <w:p>
      <w:pPr>
        <w:spacing w:before="160" w:after="40"/>
        <w:ind w:left="360"/>
      </w:pPr>
      <w:r>
        <w:rPr>
          <w:rFonts w:ascii="Times New Roman" w:hAnsi="Times New Roman"/>
          <w:b/>
          <w:i w:val="0"/>
          <w:sz w:val="22"/>
        </w:rPr>
        <w:t xml:space="preserve">Comment 4 (teacher quality and capacity). </w:t>
      </w:r>
      <w:r>
        <w:rPr>
          <w:rFonts w:ascii="Times New Roman" w:hAnsi="Times New Roman"/>
          <w:b w:val="0"/>
          <w:i/>
          <w:sz w:val="22"/>
        </w:rPr>
        <w:t>“Teacher quality and teacher-student capacity effects are not adequately analyzed. The effectiveness of distillation depends strongly on teacher accuracy, calibration, confidence, and capacity relative to the student. The current manuscript does not sufficiently examine whether the observed benefits arise from complementary data, from teacher regularization, from reduced memorization, or from specific teacher errors. Additional experiments with different teacher/student architectures, capacities, and teacher accuracies would make the conclusions more convincing.”</w:t>
      </w:r>
    </w:p>
    <w:p>
      <w:pPr>
        <w:spacing w:before="0" w:after="40"/>
        <w:ind w:left="360"/>
      </w:pPr>
      <w:r>
        <w:rPr>
          <w:rFonts w:ascii="Times New Roman" w:hAnsi="Times New Roman"/>
          <w:b/>
          <w:i w:val="0"/>
          <w:sz w:val="22"/>
        </w:rPr>
        <w:t xml:space="preserve">Response. </w:t>
      </w:r>
      <w:r>
        <w:rPr>
          <w:rFonts w:ascii="Times New Roman" w:hAnsi="Times New Roman"/>
          <w:b w:val="0"/>
          <w:i w:val="0"/>
          <w:sz w:val="22"/>
        </w:rPr>
        <w:t>We added a dedicated analysis reporting mean teacher test accuracy, teacher ECE (calibration) and soft-label entropy for every dataset and partition — all three degrade with task difficulty (ECE 0.021–0.047 on the separable tabular datasets vs. 0.227 on Glass, 0.167 on CIFAR-10 and 0.133 on Yeast) — together with a teacher-capacity ablation over three teacher sizes. Teacher quality varies substantially across datasets (0.965–0.970 on Wine/Breast Cancer/Digits vs. 0.662 on Glass), and the new agreement analysis shows this variation is informative rather than confounding: on the separable datasets the student reproduces the teacher’s label on ≥96% of its own training samples, so soft labels act mostly as confidence smoothing, whereas on Glass agreement is only 77%. Regarding the source of the benefit, two results speak directly: (i) at α = 1.0 (teacher trained on identical data) none of the advantages survive, and on CIFAR-10 distilled students fall slightly below Baseline-Half — so the benefit comes from complementary data, not from having a teacher per se; (ii) the teacher–student disagreement rate on the student’s own samples orders the α = 0 benefit across seven dataset points (ρ = 0.786, p = 0.036). The capacity ablation shows that teacher accuracy is nearly unchanged across sizes (Glass 0.654–0.662; Breast Cancer ≈0.970) and the student outcome does not qualitatively alter.</w:t>
      </w:r>
    </w:p>
    <w:p>
      <w:pPr>
        <w:spacing w:before="0" w:after="120"/>
        <w:ind w:left="360"/>
      </w:pPr>
      <w:r>
        <w:rPr>
          <w:rFonts w:ascii="Times New Roman" w:hAnsi="Times New Roman"/>
          <w:b/>
          <w:i w:val="0"/>
          <w:sz w:val="22"/>
        </w:rPr>
        <w:t xml:space="preserve">Change location. </w:t>
      </w:r>
      <w:r>
        <w:rPr>
          <w:rFonts w:ascii="Times New Roman" w:hAnsi="Times New Roman"/>
          <w:b w:val="0"/>
          <w:i w:val="0"/>
          <w:sz w:val="22"/>
        </w:rPr>
        <w:t>§4.4 (Teacher Quality and Teacher–Student Agreement, new), §4.5 (teacher-capacity ablation).</w:t>
      </w:r>
    </w:p>
    <w:p>
      <w:pPr>
        <w:spacing w:before="160" w:after="40"/>
        <w:ind w:left="360"/>
      </w:pPr>
      <w:r>
        <w:rPr>
          <w:rFonts w:ascii="Times New Roman" w:hAnsi="Times New Roman"/>
          <w:b/>
          <w:i w:val="0"/>
          <w:sz w:val="22"/>
        </w:rPr>
        <w:t xml:space="preserve">Comment 5 (fairness of the label-smoothing comparison). </w:t>
      </w:r>
      <w:r>
        <w:rPr>
          <w:rFonts w:ascii="Times New Roman" w:hAnsi="Times New Roman"/>
          <w:b w:val="0"/>
          <w:i/>
          <w:sz w:val="22"/>
        </w:rPr>
        <w:t>“The comparison with label smoothing is useful but incomplete. Since the manuscript argues that complementary KD can provide regularization beyond generic soft-target smoothing, the label smoothing baseline should be tuned more carefully. It is unclear whether the smoothing coefficient was optimized, whether temperature scaling in KD was tuned comparably, and whether both methods were given equal validation-based hyperparameter selection. A fairer comparison should include sensitivity analyses over label smoothing strength, distillation temperature, and the hard/soft loss mixing coefficient λ.”</w:t>
      </w:r>
    </w:p>
    <w:p>
      <w:pPr>
        <w:spacing w:before="0" w:after="40"/>
        <w:ind w:left="360"/>
      </w:pPr>
      <w:r>
        <w:rPr>
          <w:rFonts w:ascii="Times New Roman" w:hAnsi="Times New Roman"/>
          <w:b/>
          <w:i w:val="0"/>
          <w:sz w:val="22"/>
        </w:rPr>
        <w:t xml:space="preserve">Response. </w:t>
      </w:r>
      <w:r>
        <w:rPr>
          <w:rFonts w:ascii="Times New Roman" w:hAnsi="Times New Roman"/>
          <w:b w:val="0"/>
          <w:i w:val="0"/>
          <w:sz w:val="22"/>
        </w:rPr>
        <w:t>We now sweep exactly the three quantities the reviewer lists: the label-smoothing strength ε ∈ {0.05, 0.1, 0.2, 0.3}, the distillation temperature T ∈ {1, 2, 4}, and the mixing coefficient λ ∈ {0.3, 0.5, 0.7}. All groups share an identical validation-based model-selection protocol (early stopping on validation loss; the best-validation checkpoint is used for test evaluation). The LS baseline is stable across ε — on Digits, LS remains the stronger regularizer at every ε (gap 0.026–0.029), so the Digits result is not an artifact of ε = 0.1. The T×λ grid also documents an important confound that we now analyze explicitly: large T and λ produce an apparent reduction of the generalization gap while test accuracy and NLL degrade sharply (Glass, T = 2, λ = 0.5: gap 0.108 with accuracy 0.564 vs. 0.645 at T = 1), i.e., student underfitting masquerading as improved generalization. Our default configuration (T = 1, λ = 0.5) is at the predictive-performance optimum of the swept grid. We also report and discuss the cases where label smoothing outperforms Distill-S (Digits, where the teacher’s soft labels are noisy).</w:t>
      </w:r>
    </w:p>
    <w:p>
      <w:pPr>
        <w:spacing w:before="0" w:after="120"/>
        <w:ind w:left="360"/>
      </w:pPr>
      <w:r>
        <w:rPr>
          <w:rFonts w:ascii="Times New Roman" w:hAnsi="Times New Roman"/>
          <w:b/>
          <w:i w:val="0"/>
          <w:sz w:val="22"/>
        </w:rPr>
        <w:t xml:space="preserve">Change location. </w:t>
      </w:r>
      <w:r>
        <w:rPr>
          <w:rFonts w:ascii="Times New Roman" w:hAnsi="Times New Roman"/>
          <w:b w:val="0"/>
          <w:i w:val="0"/>
          <w:sz w:val="22"/>
        </w:rPr>
        <w:t>§4.5 (Hyperparameter Sensitivity and Teacher Capacity, new).</w:t>
      </w:r>
    </w:p>
    <w:p>
      <w:pPr>
        <w:spacing w:before="160" w:after="40"/>
        <w:ind w:left="360"/>
      </w:pPr>
      <w:r>
        <w:rPr>
          <w:rFonts w:ascii="Times New Roman" w:hAnsi="Times New Roman"/>
          <w:b/>
          <w:i w:val="0"/>
          <w:sz w:val="22"/>
        </w:rPr>
        <w:t xml:space="preserve">Comment 6 (statistical analysis). </w:t>
      </w:r>
      <w:r>
        <w:rPr>
          <w:rFonts w:ascii="Times New Roman" w:hAnsi="Times New Roman"/>
          <w:b w:val="0"/>
          <w:i/>
          <w:sz w:val="22"/>
        </w:rPr>
        <w:t>“The statistical analysis needs more detail. The manuscript reports Wilcoxon signed-rank tests and p-values, but should provide confidence intervals or effect sizes in addition to significance markers. Given the small datasets and multiple comparisons across α, β, and datasets, the authors should also discuss whether any correction for multiple testing was applied. Reporting mean ± standard deviation over seeds for all key metrics would improve transparency.”</w:t>
      </w:r>
    </w:p>
    <w:p>
      <w:pPr>
        <w:spacing w:before="0" w:after="40"/>
        <w:ind w:left="360"/>
      </w:pPr>
      <w:r>
        <w:rPr>
          <w:rFonts w:ascii="Times New Roman" w:hAnsi="Times New Roman"/>
          <w:b/>
          <w:i w:val="0"/>
          <w:sz w:val="22"/>
        </w:rPr>
        <w:t xml:space="preserve">Response. </w:t>
      </w:r>
      <w:r>
        <w:rPr>
          <w:rFonts w:ascii="Times New Roman" w:hAnsi="Times New Roman"/>
          <w:b w:val="0"/>
          <w:i w:val="0"/>
          <w:sz w:val="22"/>
        </w:rPr>
        <w:t>All experiments now use 20 random seeds. We report paired Wilcoxon signed-rank tests (seeds as pairs), bootstrap 95% confidence intervals for the mean paired difference (10,000 resamples), the rank-biserial correlation as an effect size, and Holm step-down correction for multiple testing. These appear in every results table; all significance claims in the revised manuscript are Holm-adjusted, and figures show ±1 standard deviation over the 20 seeds.</w:t>
      </w:r>
    </w:p>
    <w:p>
      <w:pPr>
        <w:spacing w:before="0" w:after="120"/>
        <w:ind w:left="360"/>
      </w:pPr>
      <w:r>
        <w:rPr>
          <w:rFonts w:ascii="Times New Roman" w:hAnsi="Times New Roman"/>
          <w:b/>
          <w:i w:val="0"/>
          <w:sz w:val="22"/>
        </w:rPr>
        <w:t xml:space="preserve">Change location. </w:t>
      </w:r>
      <w:r>
        <w:rPr>
          <w:rFonts w:ascii="Times New Roman" w:hAnsi="Times New Roman"/>
          <w:b w:val="0"/>
          <w:i w:val="0"/>
          <w:sz w:val="22"/>
        </w:rPr>
        <w:t>§3.4 (Evaluation Metrics), all results tables in §4.</w:t>
      </w:r>
    </w:p>
    <w:p>
      <w:pPr>
        <w:spacing w:before="160" w:after="40"/>
        <w:ind w:left="360"/>
      </w:pPr>
      <w:r>
        <w:rPr>
          <w:rFonts w:ascii="Times New Roman" w:hAnsi="Times New Roman"/>
          <w:b/>
          <w:i w:val="0"/>
          <w:sz w:val="22"/>
        </w:rPr>
        <w:t xml:space="preserve">Comment 7 (α-construction details and reproducibility). </w:t>
      </w:r>
      <w:r>
        <w:rPr>
          <w:rFonts w:ascii="Times New Roman" w:hAnsi="Times New Roman"/>
          <w:b w:val="0"/>
          <w:i/>
          <w:sz w:val="22"/>
        </w:rPr>
        <w:t>“The definition and implementation of α-overlap require clarification. The notation defines α=(∣D_S∩D_T∣)/(∣D_S∣), but when β≠0.5, the teacher and student set sizes differ. The feasible range and construction procedure for overlap may not be symmetric and may impose constraints depending on β. The manuscript should explicitly describe how overlapping and non-overlapping samples are selected under different β values, and whether stratification by class is maintained.”</w:t>
      </w:r>
    </w:p>
    <w:p>
      <w:pPr>
        <w:spacing w:before="0" w:after="40"/>
        <w:ind w:left="360"/>
      </w:pPr>
      <w:r>
        <w:rPr>
          <w:rFonts w:ascii="Times New Roman" w:hAnsi="Times New Roman"/>
          <w:b/>
          <w:i w:val="0"/>
          <w:sz w:val="22"/>
        </w:rPr>
        <w:t xml:space="preserve">Response. </w:t>
      </w:r>
      <w:r>
        <w:rPr>
          <w:rFonts w:ascii="Times New Roman" w:hAnsi="Times New Roman"/>
          <w:b w:val="0"/>
          <w:i w:val="0"/>
          <w:sz w:val="22"/>
        </w:rPr>
        <w:t>§3.2 now addresses each point. (i) Feasibility: since α is defined relative to |D_S|, the design requires |D_T| ≥ α|D_S|, i.e., β ≥ α(1−β); the β-dependence of the feasible range is exactly the asymmetry the reviewer anticipates, and we now state that asymmetric regimes (β ≠ 0.5 with α &gt; 0) are excluded by design — the α-sweep fixes β = 0.5 and the β-sweep fixes α = 0, so each sweep varies one factor in a symmetric regime. (ii) Selection: D_S is the tail of a seeded random permutation of the pool, and the non-overlapping part of D_T is drawn from the complementary pool half with an independent, seed-and-α-dependent permutation, making the construction exactly reproducible. (iii) Stratification: class composition is balanced only in expectation rather than by exact stratification, and no class is excluded from either partition; we now state this openly. In addition, we document a class-probability alignment fix in the distillation loss (teacher probabilities are now mapped onto the global class index set via the teacher’s fitted classes_ attribute, so soft-label columns remain aligned even when a rare class is absent from a partition). All reported results were regenerated with the corrected pipeline; the qualitative conclusions are unchanged.</w:t>
      </w:r>
    </w:p>
    <w:p>
      <w:pPr>
        <w:spacing w:before="0" w:after="120"/>
        <w:ind w:left="360"/>
      </w:pPr>
      <w:r>
        <w:rPr>
          <w:rFonts w:ascii="Times New Roman" w:hAnsi="Times New Roman"/>
          <w:b/>
          <w:i w:val="0"/>
          <w:sz w:val="22"/>
        </w:rPr>
        <w:t xml:space="preserve">Change location. </w:t>
      </w:r>
      <w:r>
        <w:rPr>
          <w:rFonts w:ascii="Times New Roman" w:hAnsi="Times New Roman"/>
          <w:b w:val="0"/>
          <w:i w:val="0"/>
          <w:sz w:val="22"/>
        </w:rPr>
        <w:t>§3.2 (Experimental Design).</w:t>
      </w:r>
    </w:p>
    <w:p>
      <w:pPr>
        <w:spacing w:before="160" w:after="40"/>
        <w:ind w:left="360"/>
      </w:pPr>
      <w:r>
        <w:rPr>
          <w:rFonts w:ascii="Times New Roman" w:hAnsi="Times New Roman"/>
          <w:b/>
          <w:i w:val="0"/>
          <w:sz w:val="22"/>
        </w:rPr>
        <w:t xml:space="preserve">Comment 8 (mechanism). </w:t>
      </w:r>
      <w:r>
        <w:rPr>
          <w:rFonts w:ascii="Times New Roman" w:hAnsi="Times New Roman"/>
          <w:b w:val="0"/>
          <w:i/>
          <w:sz w:val="22"/>
        </w:rPr>
        <w:t>“The mechanism behind the observed effect remains underdeveloped. The manuscript suggests that complementary data may allow the teacher to provide inter-class structure not directly observed by the student, but this remains mostly speculative. The separability analysis using LDA and 1-NN is only exploratory and does not fully explain the results, especially the Digits case where label smoothing outperforms KD. Additional analyses, such as teacher confidence distributions, class-wise errors, calibration, entropy of soft labels, or agreement between teacher and student on overlapping versus non-overlapping regions, would strengthen the mechanistic interpretation.”</w:t>
      </w:r>
    </w:p>
    <w:p>
      <w:pPr>
        <w:spacing w:before="0" w:after="40"/>
        <w:ind w:left="360"/>
      </w:pPr>
      <w:r>
        <w:rPr>
          <w:rFonts w:ascii="Times New Roman" w:hAnsi="Times New Roman"/>
          <w:b/>
          <w:i w:val="0"/>
          <w:sz w:val="22"/>
        </w:rPr>
        <w:t xml:space="preserve">Response. </w:t>
      </w:r>
      <w:r>
        <w:rPr>
          <w:rFonts w:ascii="Times New Roman" w:hAnsi="Times New Roman"/>
          <w:b w:val="0"/>
          <w:i w:val="0"/>
          <w:sz w:val="22"/>
        </w:rPr>
        <w:t>We followed the reviewer’s central suggestion — agreement between teacher and student on the student’s own (overlapping) samples — and it substantially strengthens the interpretation: teacher–student agreement is ≥96% on the separable datasets (soft labels act mostly as confidence smoothing) but only 77% on Glass, i.e., roughly a quarter of the teacher’s soft labels there encode inter-class structure the student has not recovered from its own data; this gradient tracks the benefit pattern. We additionally report the reviewer’s suggested teacher-calibration and soft-label-entropy statistics: both degrade with task difficulty — teacher ECE rises from 0.021–0.047 on separable tabular data to 0.227 on Glass and 0.167 on CIFAR-10, and soft-label entropy from 0.05–0.12 to 0.46 on Glass and 0.77 on Yeast — indicating that teachers on harder tasks encode more distributional information in their soft labels. The new “Difficulty, not modality” analysis (§4.8) quantifies the disagreement–benefit relation cross-dataset: the teacher–student disagreement rate orders the α = 0 benefit across all seven dataset-level points (Yeast 19.6% falls between CIFAR-10 13.3% and Glass 23.0%; Spearman ρ = 0.786, p = 0.036). The Digits case the reviewer highlights is now analyzed explicitly: Digits is highly separable, LS remains the stronger regularizer at every ε (§4.5), and the outcome there depends on teacher soft-label quality — a factor the overlap mechanism alone does not capture. Following the reviewer’s assessment of the LDA/1-NN analysis, it is retained as motivation but demoted to exploratory status, and we state openly that the current experiments do not provide a complete theoretical explanation. In the future-work section we outline further moderators of the KD--LS tradeoff (class-count and calibration effects) and propose formalizing dataset difficulty as the disagreement rate of a trained model, i.e., a model-relative rather than intrinsic quantity.</w:t>
      </w:r>
    </w:p>
    <w:p>
      <w:pPr>
        <w:spacing w:before="0" w:after="120"/>
        <w:ind w:left="360"/>
      </w:pPr>
      <w:r>
        <w:rPr>
          <w:rFonts w:ascii="Times New Roman" w:hAnsi="Times New Roman"/>
          <w:b/>
          <w:i w:val="0"/>
          <w:sz w:val="22"/>
        </w:rPr>
        <w:t xml:space="preserve">Change location. </w:t>
      </w:r>
      <w:r>
        <w:rPr>
          <w:rFonts w:ascii="Times New Roman" w:hAnsi="Times New Roman"/>
          <w:b w:val="0"/>
          <w:i w:val="0"/>
          <w:sz w:val="22"/>
        </w:rPr>
        <w:t>§4.4 (agreement and teacher statistics), §4.8 (Difficulty, not modality), §5 (Discussion, future work).</w:t>
      </w:r>
    </w:p>
    <w:p>
      <w:pPr>
        <w:spacing w:before="160" w:after="40"/>
        <w:ind w:left="360"/>
      </w:pPr>
      <w:r>
        <w:rPr>
          <w:rFonts w:ascii="Times New Roman" w:hAnsi="Times New Roman"/>
          <w:b/>
          <w:i w:val="0"/>
          <w:sz w:val="22"/>
        </w:rPr>
        <w:t xml:space="preserve">Comment 9 (presentation). </w:t>
      </w:r>
      <w:r>
        <w:rPr>
          <w:rFonts w:ascii="Times New Roman" w:hAnsi="Times New Roman"/>
          <w:b w:val="0"/>
          <w:i/>
          <w:sz w:val="22"/>
        </w:rPr>
        <w:t>“The presentation would benefit from careful polishing. Several citation and reference formatting issues can be observed. For instance, there are missing spaces between the main text and citations, such as “settingsHinton”. Some in-text citations appear to repeat author names, such as “Hinton et al. Hinton et al. (2015)” and “Zhu et al. Zhu et al. (2021)”; another citation appears as “Stanton et al. Stanton, Izmailov, Kirichenko, Alemi and Wilson (2021)”, which does not follow a standard author-year citation format. In addition, some reference entries appear incomplete or incorrectly punctuated, e.g., “Kelly, M., Longjohn, R., Nottingham, K., .”. The manuscript should be carefully proofread for citation formatting, reference completeness, mathematical notation consistency, table/figure readability, and grammar.”</w:t>
      </w:r>
    </w:p>
    <w:p>
      <w:pPr>
        <w:spacing w:before="0" w:after="40"/>
        <w:ind w:left="360"/>
      </w:pPr>
      <w:r>
        <w:rPr>
          <w:rFonts w:ascii="Times New Roman" w:hAnsi="Times New Roman"/>
          <w:b/>
          <w:i w:val="0"/>
          <w:sz w:val="22"/>
        </w:rPr>
        <w:t xml:space="preserve">Response. </w:t>
      </w:r>
      <w:r>
        <w:rPr>
          <w:rFonts w:ascii="Times New Roman" w:hAnsi="Times New Roman"/>
          <w:b w:val="0"/>
          <w:i w:val="0"/>
          <w:sz w:val="22"/>
        </w:rPr>
        <w:t>All listed issues have been fixed: the missing space in “settingsHinton”; the duplicated author–year citations (“Hinton et al. Hinton et al. (2015)”, “Zhu et al. Zhu et al. (2021)”) and the malformed “Stanton et al.” citation now use consistent author-year commands; the incomplete UCI repository entry “Kelly, M., Longjohn, R., Nottingham, K., .” is completed with year and howpublished fields. The manuscript has additionally been proofread for mathematical notation consistency, table/figure readability, and grammar, and the corresponding author’s e-mail domain has been corrected. We thank the reviewer for the careful reading.</w:t>
      </w:r>
    </w:p>
    <w:p>
      <w:pPr>
        <w:spacing w:before="0" w:after="120"/>
        <w:ind w:left="360"/>
      </w:pPr>
      <w:r>
        <w:rPr>
          <w:rFonts w:ascii="Times New Roman" w:hAnsi="Times New Roman"/>
          <w:b/>
          <w:i w:val="0"/>
          <w:sz w:val="22"/>
        </w:rPr>
        <w:t xml:space="preserve">Change location. </w:t>
      </w:r>
      <w:r>
        <w:rPr>
          <w:rFonts w:ascii="Times New Roman" w:hAnsi="Times New Roman"/>
          <w:b w:val="0"/>
          <w:i w:val="0"/>
          <w:sz w:val="22"/>
        </w:rPr>
        <w:t>Throughout; references list in §8.</w:t>
      </w:r>
    </w:p>
    <w:p>
      <w:pPr>
        <w:spacing w:before="80" w:after="120"/>
        <w:ind w:left="360"/>
      </w:pPr>
      <w:r>
        <w:rPr>
          <w:rFonts w:ascii="Times New Roman" w:hAnsi="Times New Roman"/>
          <w:b/>
          <w:i w:val="0"/>
          <w:sz w:val="22"/>
        </w:rPr>
        <w:t xml:space="preserve">Response to the summary. </w:t>
      </w:r>
      <w:r>
        <w:rPr>
          <w:rFonts w:ascii="Times New Roman" w:hAnsi="Times New Roman"/>
          <w:b w:val="0"/>
          <w:i w:val="0"/>
          <w:sz w:val="22"/>
        </w:rPr>
        <w:t>The reviewer’s closing summary emphasizes four priorities — stronger pattern-recognition benchmarks, actual predictive performance in addition to generalization gaps, strengthened statistical analysis, and clarification of the mechanism and implementation of the overlap framework. These correspond respectively to Comments 2–3, 3–4, 6, and 7–8 above.</w:t>
      </w:r>
    </w:p>
    <w:p>
      <w:pPr>
        <w:spacing w:before="160" w:after="120"/>
      </w:pPr>
      <w:r>
        <w:rPr>
          <w:rFonts w:ascii="Times New Roman" w:hAnsi="Times New Roman"/>
          <w:b w:val="0"/>
          <w:i w:val="0"/>
          <w:sz w:val="22"/>
        </w:rPr>
        <w:t>Reviewer #2 did not return a report for this round; there are accordingly no comments to address.</w:t>
      </w:r>
    </w:p>
    <w:p>
      <w:pPr>
        <w:spacing w:before="280" w:after="80"/>
      </w:pPr>
      <w:r>
        <w:rPr>
          <w:rFonts w:ascii="Times New Roman" w:hAnsi="Times New Roman"/>
          <w:b/>
          <w:i w:val="0"/>
          <w:sz w:val="26"/>
        </w:rPr>
        <w:t>Response to Reviewer #3</w:t>
      </w:r>
    </w:p>
    <w:p>
      <w:pPr>
        <w:spacing w:before="0" w:after="120"/>
      </w:pPr>
      <w:r>
        <w:rPr>
          <w:rFonts w:ascii="Times New Roman" w:hAnsi="Times New Roman"/>
          <w:b w:val="0"/>
          <w:i w:val="0"/>
          <w:sz w:val="22"/>
        </w:rPr>
        <w:t>We are grateful to Reviewer #3 for the positive assessment (well-organized manuscript, clear motivation, an interesting and underexplored question, useful controls, and reliability through multiple seeds and paired tests) and for the four concrete weaknesses, which are quoted below followed by our response and the corresponding change location.</w:t>
      </w:r>
    </w:p>
    <w:p>
      <w:pPr>
        <w:spacing w:before="160" w:after="40"/>
        <w:ind w:left="360"/>
      </w:pPr>
      <w:r>
        <w:rPr>
          <w:rFonts w:ascii="Times New Roman" w:hAnsi="Times New Roman"/>
          <w:b/>
          <w:i w:val="0"/>
          <w:sz w:val="22"/>
        </w:rPr>
        <w:t xml:space="preserve">Comment 1 (primary evaluation on a test set). </w:t>
      </w:r>
      <w:r>
        <w:rPr>
          <w:rFonts w:ascii="Times New Roman" w:hAnsi="Times New Roman"/>
          <w:b w:val="0"/>
          <w:i/>
          <w:sz w:val="22"/>
        </w:rPr>
        <w:t>“The held-out test set is apparently not used for the main evaluation, although an 80/20 train-test split is introduced. Since the validation set is also used for early stopping, conclusions about generalization should primarily be supported by test accuracy/test loss rather than the validation gap.”</w:t>
      </w:r>
    </w:p>
    <w:p>
      <w:pPr>
        <w:spacing w:before="0" w:after="40"/>
        <w:ind w:left="360"/>
      </w:pPr>
      <w:r>
        <w:rPr>
          <w:rFonts w:ascii="Times New Roman" w:hAnsi="Times New Roman"/>
          <w:b/>
          <w:i w:val="0"/>
          <w:sz w:val="22"/>
        </w:rPr>
        <w:t xml:space="preserve">Response. </w:t>
      </w:r>
      <w:r>
        <w:rPr>
          <w:rFonts w:ascii="Times New Roman" w:hAnsi="Times New Roman"/>
          <w:b w:val="0"/>
          <w:i w:val="0"/>
          <w:sz w:val="22"/>
        </w:rPr>
        <w:t>We agree. In the revision, all headline claims are supported by held-out test accuracy, test loss (NLL) and ECE; e.g., on CIFAR-10 at α = 0, Distill-S gains 4.4 points of test accuracy (0.788 vs. 0.744) and reduces NLL from 0.772 to 0.665. The generalization gap is retained only as a complementary mechanistic indicator.</w:t>
      </w:r>
    </w:p>
    <w:p>
      <w:pPr>
        <w:spacing w:before="0" w:after="120"/>
        <w:ind w:left="360"/>
      </w:pPr>
      <w:r>
        <w:rPr>
          <w:rFonts w:ascii="Times New Roman" w:hAnsi="Times New Roman"/>
          <w:b/>
          <w:i w:val="0"/>
          <w:sz w:val="22"/>
        </w:rPr>
        <w:t xml:space="preserve">Change location. </w:t>
      </w:r>
      <w:r>
        <w:rPr>
          <w:rFonts w:ascii="Times New Roman" w:hAnsi="Times New Roman"/>
          <w:b w:val="0"/>
          <w:i w:val="0"/>
          <w:sz w:val="22"/>
        </w:rPr>
        <w:t>§3.4, §4.3 (Test-Set Performance and Calibration, new).</w:t>
      </w:r>
    </w:p>
    <w:p>
      <w:pPr>
        <w:spacing w:before="160" w:after="40"/>
        <w:ind w:left="360"/>
      </w:pPr>
      <w:r>
        <w:rPr>
          <w:rFonts w:ascii="Times New Roman" w:hAnsi="Times New Roman"/>
          <w:b/>
          <w:i w:val="0"/>
          <w:sz w:val="22"/>
        </w:rPr>
        <w:t xml:space="preserve">Comment 2 (influence of teacher quality). </w:t>
      </w:r>
      <w:r>
        <w:rPr>
          <w:rFonts w:ascii="Times New Roman" w:hAnsi="Times New Roman"/>
          <w:b w:val="0"/>
          <w:i/>
          <w:sz w:val="22"/>
        </w:rPr>
        <w:t>“Teacher quality is insufficiently analyzed. The paper does not systematically report teacher accuracy, calibration, predictive entropy, or teacher-student performance gaps. Without these results, it is difficult to separate the effect of data complementarity from differences in teacher quality induced by different data partitions.”</w:t>
      </w:r>
    </w:p>
    <w:p>
      <w:pPr>
        <w:spacing w:before="0" w:after="40"/>
        <w:ind w:left="360"/>
      </w:pPr>
      <w:r>
        <w:rPr>
          <w:rFonts w:ascii="Times New Roman" w:hAnsi="Times New Roman"/>
          <w:b/>
          <w:i w:val="0"/>
          <w:sz w:val="22"/>
        </w:rPr>
        <w:t xml:space="preserve">Response. </w:t>
      </w:r>
      <w:r>
        <w:rPr>
          <w:rFonts w:ascii="Times New Roman" w:hAnsi="Times New Roman"/>
          <w:b w:val="0"/>
          <w:i w:val="0"/>
          <w:sz w:val="22"/>
        </w:rPr>
        <w:t>We added a dedicated teacher-quality analysis that now systematically reports, for every dataset, the four quantities the reviewer lists: teacher accuracy, calibration (teacher ECE), predictive entropy (mean soft-label entropy), and the teacher–student performance relationship (on Yeast the student, 0.593, again exceeds its teacher, 0.569). Teacher accuracy, ECE and entropy all track task difficulty (ECE 0.021–0.047 on the separable tabular datasets vs. 0.227 on Glass). Crucially, the new agreement analysis separates the two effects the reviewer is concerned about: the teacher–student disagreement rate on the student’s own samples orders the α = 0 distillation benefit across seven dataset points (ρ = 0.786, p = 0.036), so the benefit can be attributed to the complementary information content of the partition rather than to teacher quality alone. Consistently, at α = 1.0 (identical teacher data) no advantage survives. A teacher-capacity ablation over three sizes shows the conclusions are robust to teacher capacity.</w:t>
      </w:r>
    </w:p>
    <w:p>
      <w:pPr>
        <w:spacing w:before="0" w:after="120"/>
        <w:ind w:left="360"/>
      </w:pPr>
      <w:r>
        <w:rPr>
          <w:rFonts w:ascii="Times New Roman" w:hAnsi="Times New Roman"/>
          <w:b/>
          <w:i w:val="0"/>
          <w:sz w:val="22"/>
        </w:rPr>
        <w:t xml:space="preserve">Change location. </w:t>
      </w:r>
      <w:r>
        <w:rPr>
          <w:rFonts w:ascii="Times New Roman" w:hAnsi="Times New Roman"/>
          <w:b w:val="0"/>
          <w:i w:val="0"/>
          <w:sz w:val="22"/>
        </w:rPr>
        <w:t>§4.4 (Teacher Quality and Teacher–Student Agreement, new), §4.5.</w:t>
      </w:r>
    </w:p>
    <w:p>
      <w:pPr>
        <w:spacing w:before="160" w:after="40"/>
        <w:ind w:left="360"/>
      </w:pPr>
      <w:r>
        <w:rPr>
          <w:rFonts w:ascii="Times New Roman" w:hAnsi="Times New Roman"/>
          <w:b/>
          <w:i w:val="0"/>
          <w:sz w:val="22"/>
        </w:rPr>
        <w:t xml:space="preserve">Comment 3 (gap reduction vs. true generalization). </w:t>
      </w:r>
      <w:r>
        <w:rPr>
          <w:rFonts w:ascii="Times New Roman" w:hAnsi="Times New Roman"/>
          <w:b w:val="0"/>
          <w:i/>
          <w:sz w:val="22"/>
        </w:rPr>
        <w:t>“The central evidence for improved generalization is not sufficiently convincing. The main metric is the training-validation accuracy gap. A smaller gap can simply result from lower training accuracy or slower optimization, rather than better generalization. Indeed, the paper explicitly reports no consistent improvement in best validation accuracy. Therefore, the current evidence supports a regularization/underfitting effect more directly than an actual improvement in predictive generalization.”</w:t>
      </w:r>
    </w:p>
    <w:p>
      <w:pPr>
        <w:spacing w:before="0" w:after="40"/>
        <w:ind w:left="360"/>
      </w:pPr>
      <w:r>
        <w:rPr>
          <w:rFonts w:ascii="Times New Roman" w:hAnsi="Times New Roman"/>
          <w:b/>
          <w:i w:val="0"/>
          <w:sz w:val="22"/>
        </w:rPr>
        <w:t xml:space="preserve">Response. </w:t>
      </w:r>
      <w:r>
        <w:rPr>
          <w:rFonts w:ascii="Times New Roman" w:hAnsi="Times New Roman"/>
          <w:b w:val="0"/>
          <w:i w:val="0"/>
          <w:sz w:val="22"/>
        </w:rPr>
        <w:t>We agree this is possible in general and now address it directly. First, the headline evidence is now test-set accuracy and NLL, which improve on the new benchmarks (CIFAR-10: +4.4 points accuracy, NLL 0.772 → 0.665; FMNIST: +1.1 points, NLL 0.257 → 0.230) — indeed, with half of its training data the distilled student matches Baseline-Full — so the benefit no longer rests on the gap metric. Second, the new T×λ grid demonstrates exactly the failure mode the reviewer worries about: at high temperature and weight the gap shrinks while test accuracy collapses (Glass, T = 2, λ = 0.5: gap 0.108, accuracy 0.564 vs. 0.645 at T = 1), and our default configuration (T = 1, λ = 0.5) is at the predictive-performance optimum of the swept grid. The underfitting confound is now documented, and the gap is demoted to a mechanistic diagnostic.</w:t>
      </w:r>
    </w:p>
    <w:p>
      <w:pPr>
        <w:spacing w:before="0" w:after="120"/>
        <w:ind w:left="360"/>
      </w:pPr>
      <w:r>
        <w:rPr>
          <w:rFonts w:ascii="Times New Roman" w:hAnsi="Times New Roman"/>
          <w:b/>
          <w:i w:val="0"/>
          <w:sz w:val="22"/>
        </w:rPr>
        <w:t xml:space="preserve">Change location. </w:t>
      </w:r>
      <w:r>
        <w:rPr>
          <w:rFonts w:ascii="Times New Roman" w:hAnsi="Times New Roman"/>
          <w:b w:val="0"/>
          <w:i w:val="0"/>
          <w:sz w:val="22"/>
        </w:rPr>
        <w:t>§3.4, §4.3 (test metrics), §4.5 (T×λ grid).</w:t>
      </w:r>
    </w:p>
    <w:p>
      <w:pPr>
        <w:spacing w:before="160" w:after="40"/>
        <w:ind w:left="360"/>
      </w:pPr>
      <w:r>
        <w:rPr>
          <w:rFonts w:ascii="Times New Roman" w:hAnsi="Times New Roman"/>
          <w:b/>
          <w:i w:val="0"/>
          <w:sz w:val="22"/>
        </w:rPr>
        <w:t xml:space="preserve">Comment 4 (related-work coverage). </w:t>
      </w:r>
      <w:r>
        <w:rPr>
          <w:rFonts w:ascii="Times New Roman" w:hAnsi="Times New Roman"/>
          <w:b w:val="0"/>
          <w:i/>
          <w:sz w:val="22"/>
        </w:rPr>
        <w:t>“In the section of “2. Related Work”, the related-work coverage is rather limited. This paper should further include the discussion of “Hierarchical Self-supervised Augmented Knowledge Distillation” and “MixSKD: Self-Knowledge Distillation from Mixup for Image Recognition” to make the analysis more comprehensive.”</w:t>
      </w:r>
    </w:p>
    <w:p>
      <w:pPr>
        <w:spacing w:before="0" w:after="40"/>
        <w:ind w:left="360"/>
      </w:pPr>
      <w:r>
        <w:rPr>
          <w:rFonts w:ascii="Times New Roman" w:hAnsi="Times New Roman"/>
          <w:b/>
          <w:i w:val="0"/>
          <w:sz w:val="22"/>
        </w:rPr>
        <w:t xml:space="preserve">Response. </w:t>
      </w:r>
      <w:r>
        <w:rPr>
          <w:rFonts w:ascii="Times New Roman" w:hAnsi="Times New Roman"/>
          <w:b w:val="0"/>
          <w:i w:val="0"/>
          <w:sz w:val="22"/>
        </w:rPr>
        <w:t>Following the reviewer’s suggestion, we now cite and discuss both papers (HASKD and MixSKD) in Related Work, with a positioning paragraph explaining how our protocol differs: HASKD studies hierarchical and augmented-relational knowledge transfer, and MixSKD derives self-distillation targets from mixed samples, whereas we control the teacher–student data-overlap axis itself.</w:t>
      </w:r>
    </w:p>
    <w:p>
      <w:pPr>
        <w:spacing w:before="0" w:after="120"/>
        <w:ind w:left="360"/>
      </w:pPr>
      <w:r>
        <w:rPr>
          <w:rFonts w:ascii="Times New Roman" w:hAnsi="Times New Roman"/>
          <w:b/>
          <w:i w:val="0"/>
          <w:sz w:val="22"/>
        </w:rPr>
        <w:t xml:space="preserve">Change location. </w:t>
      </w:r>
      <w:r>
        <w:rPr>
          <w:rFonts w:ascii="Times New Roman" w:hAnsi="Times New Roman"/>
          <w:b w:val="0"/>
          <w:i w:val="0"/>
          <w:sz w:val="22"/>
        </w:rPr>
        <w:t>§2 (Related Work).</w:t>
      </w:r>
    </w:p>
    <w:p>
      <w:pPr>
        <w:spacing w:before="240" w:after="120"/>
      </w:pPr>
      <w:r>
        <w:rPr>
          <w:rFonts w:ascii="Times New Roman" w:hAnsi="Times New Roman"/>
          <w:b w:val="0"/>
          <w:i w:val="0"/>
          <w:sz w:val="22"/>
        </w:rPr>
        <w:t>We believe the manuscript is substantially stronger as a result of this revision, and we thank the Associate Editor and the reviewers again for their time and constructive input.</w:t>
      </w:r>
    </w:p>
    <w:p>
      <w:pPr>
        <w:spacing w:before="120" w:after="120"/>
      </w:pPr>
      <w:r>
        <w:rPr>
          <w:rFonts w:ascii="Times New Roman" w:hAnsi="Times New Roman"/>
          <w:b w:val="0"/>
          <w:i w:val="0"/>
          <w:sz w:val="22"/>
        </w:rPr>
        <w:t>Sincerely,</w:t>
        <w:br/>
        <w:t>The Authors</w:t>
      </w:r>
    </w:p>
    <w:sectPr w:rsidR="00C53B1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44025"/>
    <w:multiLevelType w:val="hybridMultilevel"/>
    <w:tmpl w:val="F95CE8E0"/>
    <w:lvl w:ilvl="0" w:tplc="ADD44F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05550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60D"/>
    <w:rsid w:val="0011060D"/>
    <w:rsid w:val="00A3507C"/>
    <w:rsid w:val="00C53B11"/>
    <w:rsid w:val="00FC75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79C538"/>
  <w15:chartTrackingRefBased/>
  <w15:docId w15:val="{3898DC76-EFD2-468F-93C7-403172D07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Times New Roman" w:hAnsi="Times New Roman"/>
      <w:sz w:val="22"/>
    </w:rPr>
  </w:style>
  <w:style w:type="paragraph" w:styleId="1">
    <w:name w:val="heading 1"/>
    <w:basedOn w:val="a"/>
    <w:next w:val="a"/>
    <w:link w:val="10"/>
    <w:uiPriority w:val="9"/>
    <w:qFormat/>
    <w:rsid w:val="0011060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1060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1060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1060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1060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1060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1060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1060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1060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1060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1060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1060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1060D"/>
    <w:rPr>
      <w:rFonts w:cstheme="majorBidi"/>
      <w:color w:val="2F5496" w:themeColor="accent1" w:themeShade="BF"/>
      <w:sz w:val="28"/>
      <w:szCs w:val="28"/>
    </w:rPr>
  </w:style>
  <w:style w:type="character" w:customStyle="1" w:styleId="50">
    <w:name w:val="标题 5 字符"/>
    <w:basedOn w:val="a0"/>
    <w:link w:val="5"/>
    <w:uiPriority w:val="9"/>
    <w:semiHidden/>
    <w:rsid w:val="0011060D"/>
    <w:rPr>
      <w:rFonts w:cstheme="majorBidi"/>
      <w:color w:val="2F5496" w:themeColor="accent1" w:themeShade="BF"/>
      <w:sz w:val="24"/>
    </w:rPr>
  </w:style>
  <w:style w:type="character" w:customStyle="1" w:styleId="60">
    <w:name w:val="标题 6 字符"/>
    <w:basedOn w:val="a0"/>
    <w:link w:val="6"/>
    <w:uiPriority w:val="9"/>
    <w:semiHidden/>
    <w:rsid w:val="0011060D"/>
    <w:rPr>
      <w:rFonts w:cstheme="majorBidi"/>
      <w:b/>
      <w:bCs/>
      <w:color w:val="2F5496" w:themeColor="accent1" w:themeShade="BF"/>
    </w:rPr>
  </w:style>
  <w:style w:type="character" w:customStyle="1" w:styleId="70">
    <w:name w:val="标题 7 字符"/>
    <w:basedOn w:val="a0"/>
    <w:link w:val="7"/>
    <w:uiPriority w:val="9"/>
    <w:semiHidden/>
    <w:rsid w:val="0011060D"/>
    <w:rPr>
      <w:rFonts w:cstheme="majorBidi"/>
      <w:b/>
      <w:bCs/>
      <w:color w:val="595959" w:themeColor="text1" w:themeTint="A6"/>
    </w:rPr>
  </w:style>
  <w:style w:type="character" w:customStyle="1" w:styleId="80">
    <w:name w:val="标题 8 字符"/>
    <w:basedOn w:val="a0"/>
    <w:link w:val="8"/>
    <w:uiPriority w:val="9"/>
    <w:semiHidden/>
    <w:rsid w:val="0011060D"/>
    <w:rPr>
      <w:rFonts w:cstheme="majorBidi"/>
      <w:color w:val="595959" w:themeColor="text1" w:themeTint="A6"/>
    </w:rPr>
  </w:style>
  <w:style w:type="character" w:customStyle="1" w:styleId="90">
    <w:name w:val="标题 9 字符"/>
    <w:basedOn w:val="a0"/>
    <w:link w:val="9"/>
    <w:uiPriority w:val="9"/>
    <w:semiHidden/>
    <w:rsid w:val="0011060D"/>
    <w:rPr>
      <w:rFonts w:eastAsiaTheme="majorEastAsia" w:cstheme="majorBidi"/>
      <w:color w:val="595959" w:themeColor="text1" w:themeTint="A6"/>
    </w:rPr>
  </w:style>
  <w:style w:type="paragraph" w:styleId="a3">
    <w:name w:val="Title"/>
    <w:basedOn w:val="a"/>
    <w:next w:val="a"/>
    <w:link w:val="a4"/>
    <w:uiPriority w:val="10"/>
    <w:qFormat/>
    <w:rsid w:val="0011060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106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060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106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060D"/>
    <w:pPr>
      <w:spacing w:before="160"/>
      <w:jc w:val="center"/>
    </w:pPr>
    <w:rPr>
      <w:i/>
      <w:iCs/>
      <w:color w:val="404040" w:themeColor="text1" w:themeTint="BF"/>
    </w:rPr>
  </w:style>
  <w:style w:type="character" w:customStyle="1" w:styleId="a8">
    <w:name w:val="引用 字符"/>
    <w:basedOn w:val="a0"/>
    <w:link w:val="a7"/>
    <w:uiPriority w:val="29"/>
    <w:rsid w:val="0011060D"/>
    <w:rPr>
      <w:i/>
      <w:iCs/>
      <w:color w:val="404040" w:themeColor="text1" w:themeTint="BF"/>
    </w:rPr>
  </w:style>
  <w:style w:type="paragraph" w:styleId="a9">
    <w:name w:val="List Paragraph"/>
    <w:basedOn w:val="a"/>
    <w:uiPriority w:val="34"/>
    <w:qFormat/>
    <w:rsid w:val="0011060D"/>
    <w:pPr>
      <w:ind w:left="720"/>
      <w:contextualSpacing/>
    </w:pPr>
  </w:style>
  <w:style w:type="character" w:styleId="aa">
    <w:name w:val="Intense Emphasis"/>
    <w:basedOn w:val="a0"/>
    <w:uiPriority w:val="21"/>
    <w:qFormat/>
    <w:rsid w:val="0011060D"/>
    <w:rPr>
      <w:i/>
      <w:iCs/>
      <w:color w:val="2F5496" w:themeColor="accent1" w:themeShade="BF"/>
    </w:rPr>
  </w:style>
  <w:style w:type="paragraph" w:styleId="ab">
    <w:name w:val="Intense Quote"/>
    <w:basedOn w:val="a"/>
    <w:next w:val="a"/>
    <w:link w:val="ac"/>
    <w:uiPriority w:val="30"/>
    <w:qFormat/>
    <w:rsid w:val="001106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1060D"/>
    <w:rPr>
      <w:i/>
      <w:iCs/>
      <w:color w:val="2F5496" w:themeColor="accent1" w:themeShade="BF"/>
    </w:rPr>
  </w:style>
  <w:style w:type="character" w:styleId="ad">
    <w:name w:val="Intense Reference"/>
    <w:basedOn w:val="a0"/>
    <w:uiPriority w:val="32"/>
    <w:qFormat/>
    <w:rsid w:val="001106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B758133-FB13-413D-96BE-FC861F5E5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82</Words>
  <Characters>473</Characters>
  <Application>Microsoft Office Word</Application>
  <DocSecurity>0</DocSecurity>
  <Lines>3</Lines>
  <Paragraphs>1</Paragraphs>
  <ScaleCrop>false</ScaleCrop>
  <Company/>
  <LinksUpToDate>false</LinksUpToDate>
  <CharactersWithSpaces>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然吟蓦</dc:creator>
  <cp:keywords/>
  <dc:description/>
  <cp:lastModifiedBy>然吟蓦</cp:lastModifiedBy>
  <cp:revision>2</cp:revision>
  <dcterms:created xsi:type="dcterms:W3CDTF">2026-09-22T15:20:00Z</dcterms:created>
  <dcterms:modified xsi:type="dcterms:W3CDTF">2026-09-22T15:40:00Z</dcterms:modified>
</cp:coreProperties>
</file>