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El esquema es: 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--&gt; Inicio de sesión del proveedor (P)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Validación automática.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--&gt; Completar uno o más  formulario/s (P) -- Semáforo para que el P vea como está lo que cargó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son campos individuales para que se califique.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--&gt; Adjuntar archivos (P)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Pestaña Comercial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Planilla COMERCIAL (check)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--&gt; Validación (C) -- Semáforo para que el P vea como está lo que cargó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Validado por una persona.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Ver datos de carga.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Aprobado puede pasar a l otra etapa.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Avisar via mail.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  <w:highlight w:val="yellow"/>
        </w:rPr>
      </w:pPr>
      <w:r>
        <w:rPr>
          <w:rFonts w:ascii="tahoma;sans-serif" w:hAnsi="tahoma;sans-serif"/>
          <w:highlight w:val="yellow"/>
        </w:rPr>
        <w:t>--&gt; Siguiente etapa (P) (Obra ganada, antes de iniciar la obra)</w:t>
      </w:r>
    </w:p>
    <w:p>
      <w:pPr>
        <w:pStyle w:val="Normal"/>
        <w:rPr>
          <w:rFonts w:ascii="tahoma;sans-serif" w:hAnsi="tahoma;sans-serif"/>
          <w:highlight w:val="yellow"/>
        </w:rPr>
      </w:pPr>
      <w:r>
        <w:rPr>
          <w:rFonts w:ascii="tahoma;sans-serif" w:hAnsi="tahoma;sans-serif"/>
          <w:highlight w:val="yellow"/>
        </w:rPr>
        <w:t>Cotizacion. Finnegan!</w:t>
      </w:r>
    </w:p>
    <w:p>
      <w:pPr>
        <w:pStyle w:val="Normal"/>
        <w:rPr>
          <w:rFonts w:ascii="tahoma;sans-serif" w:hAnsi="tahoma;sans-serif"/>
          <w:highlight w:val="yellow"/>
        </w:rPr>
      </w:pPr>
      <w:r>
        <w:rPr>
          <w:rFonts w:ascii="tahoma;sans-serif" w:hAnsi="tahoma;sans-serif"/>
          <w:highlight w:val="yellow"/>
        </w:rPr>
      </w:r>
    </w:p>
    <w:p>
      <w:pPr>
        <w:pStyle w:val="Normal"/>
        <w:rPr>
          <w:rFonts w:ascii="tahoma;sans-serif" w:hAnsi="tahoma;sans-serif"/>
          <w:highlight w:val="yellow"/>
        </w:rPr>
      </w:pPr>
      <w:r>
        <w:rPr>
          <w:rFonts w:ascii="tahoma;sans-serif" w:hAnsi="tahoma;sans-serif"/>
          <w:highlight w:val="yellow"/>
        </w:rPr>
        <w:t>--&gt; Adjuntar archivos (P) </w:t>
      </w:r>
    </w:p>
    <w:p>
      <w:pPr>
        <w:pStyle w:val="Normal"/>
        <w:rPr>
          <w:rFonts w:ascii="tahoma;sans-serif" w:hAnsi="tahoma;sans-serif"/>
          <w:highlight w:val="yellow"/>
        </w:rPr>
      </w:pPr>
      <w:r>
        <w:rPr>
          <w:rFonts w:ascii="tahoma;sans-serif" w:hAnsi="tahoma;sans-serif"/>
          <w:highlight w:val="yellow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--&gt; Validación (C) -- Semáforo para que el P vea como está lo que cargó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Doc Ingreso a obras.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>Imagenes y envío.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  <w:t xml:space="preserve">lanilla </w:t>
      </w:r>
      <w:r>
        <w:rPr>
          <w:rFonts w:eastAsia="Noto Sans CJK SC Regular" w:cs="FreeSans" w:ascii="tahoma;sans-serif" w:hAnsi="tahoma;sans-serif"/>
          <w:color w:val="auto"/>
          <w:kern w:val="0"/>
          <w:sz w:val="24"/>
          <w:szCs w:val="24"/>
          <w:lang w:val="en-GB" w:eastAsia="zh-CN" w:bidi="hi-IN"/>
        </w:rPr>
        <w:t>DOC INGRESO OBRA (Check)</w:t>
      </w:r>
    </w:p>
    <w:p>
      <w:pPr>
        <w:pStyle w:val="Normal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--&gt; Siguiente etapa (P) (Documentación para el pago).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Doc para pagos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--&gt; Adjuntar archivos (P)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Doc para pagos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Planilla DOC PARA PAGOS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 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--&gt; Validación (C) -- Semáforo para que el P vea como está lo que cargó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Doc para pagos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Informar al cliente.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--&gt; Fin de la relación comercial --&gt; Evaluación (C) --&gt; Envío o Vista del P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Una evaluación de los proveedores.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A tener en cuenta: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--&gt; Poder listar proveedores (por obra, por gte de contrato, por rubro, por tipo de proveedor)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--&gt; Poder ver calificación de los mismos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Usuarios: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 El proveedor: es el que da de alta los datos.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 El aprobador de la documentacion /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 El administrador (Guillermo)</w:t>
      </w:r>
    </w:p>
    <w:p>
      <w:pPr>
        <w:pStyle w:val="Normal"/>
        <w:bidi w:val="0"/>
        <w:rPr>
          <w:rFonts w:ascii="tahoma;sans-serif" w:hAnsi="tahoma;sans-serif"/>
        </w:rPr>
      </w:pPr>
      <w:r>
        <w:rPr>
          <w:rFonts w:ascii="tahoma;sans-serif" w:hAnsi="tahoma;sans-serif"/>
        </w:rPr>
        <w:t>- Usuario Consulta.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altName w:val="sans-serif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LibreOffice/6.4.4.2$Linux_X86_64 LibreOffice_project/40$Build-2</Application>
  <Pages>2</Pages>
  <Words>255</Words>
  <Characters>1131</Characters>
  <CharactersWithSpaces>1337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2020-09-02T21:00:52Z</dcterms:modified>
  <cp:revision>4</cp:revision>
  <dc:subject/>
  <dc:title/>
</cp:coreProperties>
</file>