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MANUAL DE MARCA</w:t>
      </w:r>
    </w:p>
    <w:p>
      <w:pPr>
        <w:spacing w:after="240"/>
        <w:jc w:val="center"/>
      </w:pPr>
      <w:r>
        <w:rPr>
          <w:rFonts w:ascii="Arial" w:cs="Arial" w:eastAsia="Arial" w:hAnsi="Arial"/>
          <w:color w:val="5B6B85"/>
          <w:sz w:val="24"/>
          <w:szCs w:val="24"/>
        </w:rPr>
        <w:t xml:space="preserve">ServiListo – Identidad visual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 Concepto del logotipo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isotipo de ServiListo es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casa con un check en lugar de puerta</w:t>
      </w:r>
      <w:r>
        <w:rPr>
          <w:rFonts w:ascii="Arial" w:cs="Arial" w:eastAsia="Arial" w:hAnsi="Arial"/>
          <w:sz w:val="22"/>
          <w:szCs w:val="22"/>
        </w:rPr>
        <w:t xml:space="preserve">: representa que el arreglo del hogar ya está “listo”. El trazo largo del check atraviesa el techo y sale de la casa, como símbolo de que el problema no se queda adentro, sino que se resuelve. El nombre se escribe en minúsculas para transmitir cercanía, y “listo” se destaca en color para reforzar la promesa de la marca.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paleta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tonos fríos</w:t>
      </w:r>
      <w:r>
        <w:rPr>
          <w:rFonts w:ascii="Arial" w:cs="Arial" w:eastAsia="Arial" w:hAnsi="Arial"/>
          <w:sz w:val="22"/>
          <w:szCs w:val="22"/>
        </w:rPr>
        <w:t xml:space="preserve"> (cobalto, aqua y azul medianoche) porque comunican confianza, limpieza y tecnología, valores clave para una plataforma que hace entrar a un técnico a la vivienda.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 Versiones del logotipo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Figura. Versiones sobre fondo oscuro, sobre cobalto y en una sola tinta.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Principal: </w:t>
      </w:r>
      <w:r>
        <w:rPr>
          <w:rFonts w:ascii="Arial" w:cs="Arial" w:eastAsia="Arial" w:hAnsi="Arial"/>
          <w:sz w:val="22"/>
          <w:szCs w:val="22"/>
        </w:rPr>
        <w:t xml:space="preserve">isotipo cobalto con check aqua y nombre en medianoche y cobalto, sobre fondos claros.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Sobre fondo oscuro: </w:t>
      </w:r>
      <w:r>
        <w:rPr>
          <w:rFonts w:ascii="Arial" w:cs="Arial" w:eastAsia="Arial" w:hAnsi="Arial"/>
          <w:sz w:val="22"/>
          <w:szCs w:val="22"/>
        </w:rPr>
        <w:t xml:space="preserve">casa blanca, check aqua y “listo” en aqua.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Sobre cobalto: </w:t>
      </w:r>
      <w:r>
        <w:rPr>
          <w:rFonts w:ascii="Arial" w:cs="Arial" w:eastAsia="Arial" w:hAnsi="Arial"/>
          <w:sz w:val="22"/>
          <w:szCs w:val="22"/>
        </w:rPr>
        <w:t xml:space="preserve">casa blanca, check aqua y “listo” en medianoche.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 sola tinta: </w:t>
      </w:r>
      <w:r>
        <w:rPr>
          <w:rFonts w:ascii="Arial" w:cs="Arial" w:eastAsia="Arial" w:hAnsi="Arial"/>
          <w:sz w:val="22"/>
          <w:szCs w:val="22"/>
        </w:rPr>
        <w:t xml:space="preserve">todo en medianoche, para sellos, facturas o impresiones en un color.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Figura. Ícono de la aplicación móvil.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 Paleta de colores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16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5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Color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5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Muestra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5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5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RGB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5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CMYK (aprox.)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5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Medianoche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A162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#0A1628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10, 22, 40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75, 45, 0, 84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Fondos oscuros y texto principal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Cobalto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F5B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#2F5BFF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47, 91, 255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82, 64, 0, 0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Color de marca: botones, enlaces, isotipo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Aqua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9D3C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#19D3C5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25, 211, 197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88, 0, 7, 17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Acento: el check y detalles sobre fondo oscuro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Marino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3284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#13284A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19, 40, 74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74, 46, 0, 71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Secciones oscuras secundarias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Hielo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#EEF3FA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238, 243, 250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5, 3, 0, 2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Fondo general claro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Neblina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5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#DCE5F4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220, 229, 244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10, 6, 0, 4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Bordes y divisores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Pizarra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5B6B8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#5B6B85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91, 107, 133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32, 20, 0, 48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secundario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Alerta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81E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#C81E3A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200, 30, 58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0, 85, 71, 22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mensajes de error</w:t>
            </w:r>
          </w:p>
        </w:tc>
      </w:tr>
    </w:tbl>
    <w:p>
      <w:p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Proporción sugerida de uso: 60 % Hielo o Blanco, 25 % Medianoche o Marino, 12 % Cobalto y 3 % Aqua.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Los valores CMYK son una conversión aproximada</w:t>
      </w:r>
      <w:r>
        <w:rPr>
          <w:rFonts w:ascii="Arial" w:cs="Arial" w:eastAsia="Arial" w:hAnsi="Arial"/>
          <w:sz w:val="22"/>
          <w:szCs w:val="22"/>
        </w:rPr>
        <w:t xml:space="preserve"> desde RGB; antes de imprimir, conviene confirmarlos con la imprenta.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 Tipografía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Unbounded Bold (700): </w:t>
      </w:r>
      <w:r>
        <w:rPr>
          <w:rFonts w:ascii="Arial" w:cs="Arial" w:eastAsia="Arial" w:hAnsi="Arial"/>
          <w:sz w:val="22"/>
          <w:szCs w:val="22"/>
        </w:rPr>
        <w:t xml:space="preserve">para el logotipo y los títulos. Es una tipografía geométrica y ancha que da un aire moderno y tecnológico.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Figtree (400 a 800): </w:t>
      </w:r>
      <w:r>
        <w:rPr>
          <w:rFonts w:ascii="Arial" w:cs="Arial" w:eastAsia="Arial" w:hAnsi="Arial"/>
          <w:sz w:val="22"/>
          <w:szCs w:val="22"/>
        </w:rPr>
        <w:t xml:space="preserve">para textos, botones y formularios. Es muy legible en pantallas pequeñas, lo que ayuda a los adultos mayores.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Ambas son gratuitas y se descargan desde Google Fonts.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 Área de protección y tamaño mínimo</w:t>
      </w:r>
    </w:p>
    <w:p>
      <w:pPr>
        <w:spacing w:after="120" w:before="120"/>
        <w:jc w:val="center"/>
      </w:pPr>
      <w:r>
        <w:drawing>
          <wp:inline distT="0" distB="0" distL="0" distR="0">
            <wp:extent cx="314325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Alrededor del logotipo debe quedar un espacio libre igual 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mitad de la altura del isotipo</w:t>
      </w:r>
      <w:r>
        <w:rPr>
          <w:rFonts w:ascii="Arial" w:cs="Arial" w:eastAsia="Arial" w:hAnsi="Arial"/>
          <w:sz w:val="22"/>
          <w:szCs w:val="22"/>
        </w:rPr>
        <w:t xml:space="preserve">. El tamaño mínimo del isotipo es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24 px en pantalla</w:t>
      </w:r>
      <w:r>
        <w:rPr>
          <w:rFonts w:ascii="Arial" w:cs="Arial" w:eastAsia="Arial" w:hAnsi="Arial"/>
          <w:sz w:val="22"/>
          <w:szCs w:val="22"/>
        </w:rPr>
        <w:t xml:space="preserve"> (aproximadamente 8 mm impreso).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6. Usos incorrectos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 se debe estirar, rotar ni cambiar los colores del logotipo, ni colocarlo sobre fondos cargados que dificulten su lectura.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7. Personalidad de la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Cercana: </w:t>
      </w:r>
      <w:r>
        <w:rPr>
          <w:rFonts w:ascii="Arial" w:cs="Arial" w:eastAsia="Arial" w:hAnsi="Arial"/>
          <w:sz w:val="22"/>
          <w:szCs w:val="22"/>
        </w:rPr>
        <w:t xml:space="preserve">hablamos como un buen vecino, en español peruano y sin tecnicismos.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Clara: </w:t>
      </w:r>
      <w:r>
        <w:rPr>
          <w:rFonts w:ascii="Arial" w:cs="Arial" w:eastAsia="Arial" w:hAnsi="Arial"/>
          <w:sz w:val="22"/>
          <w:szCs w:val="22"/>
        </w:rPr>
        <w:t xml:space="preserve">precios, plazos y garantías siempre visibles antes de contratar.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Confiable: </w:t>
      </w:r>
      <w:r>
        <w:rPr>
          <w:rFonts w:ascii="Arial" w:cs="Arial" w:eastAsia="Arial" w:hAnsi="Arial"/>
          <w:sz w:val="22"/>
          <w:szCs w:val="22"/>
        </w:rPr>
        <w:t xml:space="preserve">técnicos verificados, pago protegido y respuesta rápida.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84df3a20b7a63016f381991d0ad292b009bfa6.png"/><Relationship Id="rId8" Type="http://schemas.openxmlformats.org/officeDocument/2006/relationships/image" Target="media/ddc5e2c5957882927eb43a026e30dd86f10bbe87.png"/><Relationship Id="rId9" Type="http://schemas.openxmlformats.org/officeDocument/2006/relationships/image" Target="media/4cc4f5ecee6aa1ad240118278114816ca11d787a.png"/><Relationship Id="rId10" Type="http://schemas.openxmlformats.org/officeDocument/2006/relationships/image" Target="media/3ce5c522ec203a7404c27b4a1a149e932d517af2.png"/><Relationship Id="rId11" Type="http://schemas.openxmlformats.org/officeDocument/2006/relationships/image" Target="media/5ab73e839c7fec418b9ce4087de77fe6345e8f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2026-10-06T03:53:49.049Z</dcterms:created>
  <dcterms:modified xsi:type="dcterms:W3CDTF">2026-10-06T03:53:49.050Z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