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2C8D7" w14:textId="77777777" w:rsidR="00B91B61" w:rsidRPr="00B91B61" w:rsidRDefault="00B91B61" w:rsidP="00B91B61">
      <w:pPr>
        <w:spacing w:line="259" w:lineRule="auto"/>
        <w:rPr>
          <w:rFonts w:ascii="Aptos" w:eastAsia="Aptos" w:hAnsi="Aptos" w:cs="Times New Roman"/>
          <w:b/>
          <w:bCs/>
          <w:sz w:val="22"/>
          <w:szCs w:val="22"/>
          <w:lang w:val="es-ES"/>
        </w:rPr>
      </w:pPr>
      <w:bookmarkStart w:id="0" w:name="_Hlk220098372"/>
    </w:p>
    <w:p w14:paraId="05AFD0CD" w14:textId="77777777" w:rsidR="00B91B61" w:rsidRPr="00B91B61" w:rsidRDefault="00B91B61" w:rsidP="00B91B61">
      <w:pPr>
        <w:spacing w:after="0" w:line="240" w:lineRule="auto"/>
        <w:ind w:right="111"/>
        <w:jc w:val="center"/>
        <w:rPr>
          <w:rFonts w:ascii="Calibri" w:eastAsia="Times New Roman" w:hAnsi="Calibri" w:cs="Calibri"/>
          <w:color w:val="000000"/>
          <w:kern w:val="0"/>
          <w:szCs w:val="18"/>
          <w:lang w:eastAsia="es-PE"/>
          <w14:ligatures w14:val="none"/>
        </w:rPr>
      </w:pPr>
      <w:r>
        <w:rPr>
          <w:rFonts w:ascii="Calibri" w:eastAsia="Times New Roman" w:hAnsi="Calibri" w:cs="Calibri"/>
          <w:color w:val="000000"/>
          <w:kern w:val="0"/>
          <w:szCs w:val="18"/>
          <w:lang w:eastAsia="es-PE"/>
          <w14:ligatures w14:val="none"/>
        </w:rPr>
        <w:t>INSTITUTO DE EDUCACIÓN SUPERIOR CIBERTEC DIRECCIÓN ACADÉMICA</w:t>
      </w:r>
    </w:p>
    <w:p w14:paraId="44EA0324" w14:textId="77777777" w:rsidR="00B91B61" w:rsidRPr="00B91B61" w:rsidRDefault="00B91B61" w:rsidP="00B91B61">
      <w:pPr>
        <w:spacing w:after="0" w:line="240" w:lineRule="auto"/>
        <w:ind w:right="111"/>
        <w:jc w:val="center"/>
        <w:rPr>
          <w:rFonts w:ascii="Calibri" w:eastAsia="Times New Roman" w:hAnsi="Calibri" w:cs="Calibri"/>
          <w:color w:val="000000"/>
          <w:kern w:val="0"/>
          <w:szCs w:val="18"/>
          <w:lang w:eastAsia="es-PE"/>
          <w14:ligatures w14:val="none"/>
        </w:rPr>
      </w:pPr>
    </w:p>
    <w:p w14:paraId="60875E88" w14:textId="77777777" w:rsidR="00B91B61" w:rsidRPr="00B91B61" w:rsidRDefault="00B91B61" w:rsidP="00B91B61">
      <w:pPr>
        <w:spacing w:after="0" w:line="240" w:lineRule="auto"/>
        <w:ind w:right="111"/>
        <w:jc w:val="center"/>
        <w:rPr>
          <w:rFonts w:ascii="Calibri" w:eastAsia="Times New Roman" w:hAnsi="Calibri" w:cs="Calibri"/>
          <w:color w:val="000000"/>
          <w:kern w:val="0"/>
          <w:szCs w:val="18"/>
          <w:lang w:eastAsia="es-PE"/>
          <w14:ligatures w14:val="none"/>
        </w:rPr>
      </w:pPr>
    </w:p>
    <w:p w14:paraId="44427B2C" w14:textId="77777777" w:rsidR="00B91B61" w:rsidRPr="00B91B61" w:rsidRDefault="00B91B61" w:rsidP="00B91B61">
      <w:pPr>
        <w:spacing w:after="0" w:line="240" w:lineRule="auto"/>
        <w:ind w:right="111"/>
        <w:jc w:val="center"/>
        <w:rPr>
          <w:rFonts w:ascii="Calibri" w:eastAsia="Times New Roman" w:hAnsi="Calibri" w:cs="Calibri"/>
          <w:color w:val="000000"/>
          <w:kern w:val="0"/>
          <w:szCs w:val="18"/>
          <w:lang w:eastAsia="es-PE"/>
          <w14:ligatures w14:val="none"/>
        </w:rPr>
      </w:pPr>
      <w:r>
        <w:rPr>
          <w:rFonts w:ascii="Calibri" w:eastAsia="Times New Roman" w:hAnsi="Calibri" w:cs="Calibri"/>
          <w:color w:val="000000"/>
          <w:kern w:val="0"/>
          <w:szCs w:val="18"/>
          <w:lang w:eastAsia="es-PE"/>
          <w14:ligatures w14:val="none"/>
        </w:rPr>
        <w:t>ESCUELA DE GESTION Y NEGOCIOS</w:t>
      </w:r>
    </w:p>
    <w:p w14:paraId="457C12D0" w14:textId="77777777" w:rsidR="00B91B61" w:rsidRPr="00B91B61" w:rsidRDefault="00B91B61" w:rsidP="00B91B61">
      <w:pPr>
        <w:spacing w:after="0" w:line="240" w:lineRule="auto"/>
        <w:ind w:right="111"/>
        <w:jc w:val="center"/>
        <w:rPr>
          <w:rFonts w:ascii="Calibri" w:eastAsia="Times New Roman" w:hAnsi="Calibri" w:cs="Calibri"/>
          <w:color w:val="000000"/>
          <w:kern w:val="0"/>
          <w:szCs w:val="18"/>
          <w:lang w:eastAsia="es-PE"/>
          <w14:ligatures w14:val="none"/>
        </w:rPr>
      </w:pPr>
    </w:p>
    <w:p w14:paraId="43EA8882" w14:textId="77777777" w:rsidR="00B91B61" w:rsidRPr="00B91B61" w:rsidRDefault="00B91B61" w:rsidP="00B91B61">
      <w:pPr>
        <w:spacing w:after="0" w:line="240" w:lineRule="auto"/>
        <w:ind w:right="111"/>
        <w:jc w:val="center"/>
        <w:rPr>
          <w:rFonts w:ascii="Calibri" w:eastAsia="Times New Roman" w:hAnsi="Calibri" w:cs="Calibri"/>
          <w:color w:val="000000"/>
          <w:kern w:val="0"/>
          <w:szCs w:val="18"/>
          <w:lang w:eastAsia="es-PE"/>
          <w14:ligatures w14:val="none"/>
        </w:rPr>
      </w:pPr>
    </w:p>
    <w:p w14:paraId="1783BFFE" w14:textId="77777777" w:rsidR="00B91B61" w:rsidRPr="00B91B61" w:rsidRDefault="00B91B61" w:rsidP="00B91B61">
      <w:pPr>
        <w:spacing w:line="259" w:lineRule="auto"/>
        <w:jc w:val="center"/>
        <w:rPr>
          <w:rFonts w:ascii="Aptos" w:eastAsia="Aptos" w:hAnsi="Aptos" w:cs="Times New Roman"/>
          <w:b/>
          <w:bCs/>
          <w:sz w:val="22"/>
          <w:szCs w:val="22"/>
          <w:lang w:val="es-ES"/>
        </w:rPr>
      </w:pPr>
      <w:r>
        <w:rPr>
          <w:rFonts w:ascii="Aptos" w:eastAsia="Aptos" w:hAnsi="Aptos" w:cs="Times New Roman"/>
          <w:noProof/>
          <w:sz w:val="22"/>
          <w:szCs w:val="22"/>
        </w:rPr>
        <w:drawing>
          <wp:inline distT="0" distB="0" distL="0" distR="0" wp14:anchorId="4EF32B45" wp14:editId="61CFCF61">
            <wp:extent cx="3028950" cy="1958109"/>
            <wp:effectExtent l="0" t="0" r="0" b="4445"/>
            <wp:docPr id="269616326" name="Imagen 2" descr="Cibertec - Cibertec added a new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bertec - Cibertec added a new photo."/>
                    <pic:cNvPicPr>
                      <a:picLocks noChangeAspect="1" noChangeArrowheads="1"/>
                    </pic:cNvPicPr>
                  </pic:nvPicPr>
                  <pic:blipFill rotWithShape="1">
                    <a:blip r:embed="rId8">
                      <a:extLst>
                        <a:ext uri="{28A0092B-C50C-407E-A947-70E740481C1C}">
                          <a14:useLocalDpi xmlns:a14="http://schemas.microsoft.com/office/drawing/2010/main" val="0"/>
                        </a:ext>
                      </a:extLst>
                    </a:blip>
                    <a:srcRect t="18519" b="16835"/>
                    <a:stretch>
                      <a:fillRect/>
                    </a:stretch>
                  </pic:blipFill>
                  <pic:spPr bwMode="auto">
                    <a:xfrm>
                      <a:off x="0" y="0"/>
                      <a:ext cx="3029635" cy="1958552"/>
                    </a:xfrm>
                    <a:prstGeom prst="rect">
                      <a:avLst/>
                    </a:prstGeom>
                    <a:noFill/>
                    <a:ln>
                      <a:noFill/>
                    </a:ln>
                    <a:extLst>
                      <a:ext uri="{53640926-AAD7-44D8-BBD7-CCE9431645EC}">
                        <a14:shadowObscured xmlns:a14="http://schemas.microsoft.com/office/drawing/2010/main"/>
                      </a:ext>
                    </a:extLst>
                  </pic:spPr>
                </pic:pic>
              </a:graphicData>
            </a:graphic>
          </wp:inline>
        </w:drawing>
      </w:r>
    </w:p>
    <w:p w14:paraId="346921CE" w14:textId="77777777" w:rsidR="00B91B61" w:rsidRPr="00B91B61" w:rsidRDefault="00B91B61" w:rsidP="00B91B61">
      <w:pPr>
        <w:spacing w:line="259" w:lineRule="auto"/>
        <w:rPr>
          <w:rFonts w:ascii="Aptos" w:eastAsia="Aptos" w:hAnsi="Aptos" w:cs="Times New Roman"/>
          <w:b/>
          <w:bCs/>
          <w:sz w:val="22"/>
          <w:szCs w:val="22"/>
          <w:lang w:val="es-ES"/>
        </w:rPr>
      </w:pPr>
    </w:p>
    <w:p w14:paraId="4042ADF5" w14:textId="77777777" w:rsidR="00B91B61" w:rsidRPr="00B91B61" w:rsidRDefault="00B91B61" w:rsidP="00B91B61">
      <w:pPr>
        <w:spacing w:line="259" w:lineRule="auto"/>
        <w:jc w:val="center"/>
        <w:rPr>
          <w:rFonts w:ascii="Aptos" w:eastAsia="Aptos" w:hAnsi="Aptos" w:cs="Times New Roman"/>
          <w:b/>
          <w:bCs/>
          <w:sz w:val="22"/>
          <w:szCs w:val="22"/>
          <w:lang w:val="es-ES"/>
        </w:rPr>
      </w:pPr>
      <w:r>
        <w:rPr>
          <w:rFonts w:ascii="Aptos" w:eastAsia="Aptos" w:hAnsi="Aptos" w:cs="Times New Roman"/>
          <w:b/>
          <w:bCs/>
          <w:sz w:val="22"/>
          <w:szCs w:val="22"/>
          <w:lang w:val="es-ES"/>
        </w:rPr>
        <w:t xml:space="preserve">PROYECTO </w:t>
      </w:r>
    </w:p>
    <w:p w14:paraId="59186CD7" w14:textId="1599A0CC" w:rsidR="00B91B61" w:rsidRPr="00B91B61" w:rsidRDefault="00B91B61" w:rsidP="00B91B61">
      <w:pPr>
        <w:spacing w:line="259" w:lineRule="auto"/>
        <w:jc w:val="center"/>
        <w:rPr>
          <w:rFonts w:ascii="Calibri" w:eastAsia="Aptos" w:hAnsi="Calibri" w:cs="Calibri"/>
          <w:color w:val="000000"/>
          <w:sz w:val="22"/>
          <w:szCs w:val="21"/>
        </w:rPr>
      </w:pPr>
      <w:r>
        <w:rPr>
          <w:rFonts w:ascii="Aptos" w:eastAsia="Aptos" w:hAnsi="Aptos" w:cs="Times New Roman"/>
          <w:b/>
          <w:bCs/>
          <w:sz w:val="22"/>
          <w:szCs w:val="22"/>
          <w:lang w:val="es-ES"/>
        </w:rPr>
        <w:t>SERVILISTO: APLICATIVO MÓVIL DE SERVICIOS GENERALES PARA CONDOMINIOS Y RESIDENCIALES DE LIMA METROPOLITANA</w:t>
      </w:r>
      <w:r>
        <w:rPr>
          <w:rFonts w:ascii="Calibri" w:eastAsia="Aptos" w:hAnsi="Calibri" w:cs="Calibri"/>
          <w:color w:val="000000"/>
          <w:sz w:val="22"/>
          <w:szCs w:val="21"/>
        </w:rPr>
      </w:r>
    </w:p>
    <w:p w14:paraId="19144FF8" w14:textId="77777777" w:rsidR="00B91B61" w:rsidRPr="00B91B61" w:rsidRDefault="00B91B61" w:rsidP="00B91B61">
      <w:pPr>
        <w:spacing w:line="259" w:lineRule="auto"/>
        <w:jc w:val="center"/>
        <w:rPr>
          <w:rFonts w:ascii="Aptos" w:eastAsia="Aptos" w:hAnsi="Aptos" w:cs="Times New Roman"/>
          <w:b/>
          <w:bCs/>
          <w:sz w:val="22"/>
          <w:szCs w:val="22"/>
          <w:lang w:val="es-ES"/>
        </w:rPr>
      </w:pPr>
      <w:r>
        <w:rPr>
          <w:rFonts w:ascii="Aptos" w:eastAsia="Aptos" w:hAnsi="Aptos" w:cs="Times New Roman"/>
          <w:b/>
          <w:bCs/>
          <w:sz w:val="22"/>
          <w:szCs w:val="22"/>
          <w:lang w:val="es-ES"/>
        </w:rPr>
        <w:t>CURSO</w:t>
      </w:r>
    </w:p>
    <w:p w14:paraId="3B4CAB18" w14:textId="41BA76F8" w:rsidR="00B91B61" w:rsidRPr="00B91B61" w:rsidRDefault="00B91B61" w:rsidP="00B91B61">
      <w:pPr>
        <w:spacing w:line="259" w:lineRule="auto"/>
        <w:jc w:val="center"/>
        <w:rPr>
          <w:rFonts w:ascii="Aptos" w:eastAsia="Aptos" w:hAnsi="Aptos" w:cs="Times New Roman"/>
          <w:b/>
          <w:bCs/>
          <w:sz w:val="22"/>
          <w:szCs w:val="22"/>
          <w:lang w:val="es-ES"/>
        </w:rPr>
      </w:pPr>
      <w:r>
        <w:rPr>
          <w:rFonts w:ascii="Calibri" w:eastAsia="Aptos" w:hAnsi="Calibri" w:cs="Calibri"/>
          <w:color w:val="000000"/>
          <w:sz w:val="22"/>
          <w:szCs w:val="21"/>
        </w:rPr>
        <w:t>INNOVACIÓN ESTRATÉGICA DE NEGOCIOS (5462)</w:t>
      </w:r>
    </w:p>
    <w:p w14:paraId="074C94EF" w14:textId="77777777" w:rsidR="00B91B61" w:rsidRPr="00B91B61" w:rsidRDefault="00B91B61" w:rsidP="00B91B61">
      <w:pPr>
        <w:spacing w:line="259" w:lineRule="auto"/>
        <w:jc w:val="center"/>
        <w:rPr>
          <w:rFonts w:ascii="Aptos" w:eastAsia="Aptos" w:hAnsi="Aptos" w:cs="Times New Roman"/>
          <w:b/>
          <w:bCs/>
          <w:sz w:val="22"/>
          <w:szCs w:val="22"/>
          <w:lang w:val="es-ES"/>
        </w:rPr>
      </w:pPr>
      <w:r>
        <w:rPr>
          <w:rFonts w:ascii="Aptos" w:eastAsia="Aptos" w:hAnsi="Aptos" w:cs="Times New Roman"/>
          <w:b/>
          <w:bCs/>
          <w:sz w:val="22"/>
          <w:szCs w:val="22"/>
          <w:lang w:val="es-ES"/>
        </w:rPr>
        <w:t>PROFESOR</w:t>
      </w:r>
    </w:p>
    <w:p w14:paraId="1FFA46CE" w14:textId="77777777" w:rsidR="00B91B61" w:rsidRPr="00B91B61" w:rsidRDefault="00B91B61" w:rsidP="00B91B61">
      <w:pPr>
        <w:spacing w:line="259" w:lineRule="auto"/>
        <w:jc w:val="center"/>
        <w:rPr>
          <w:rFonts w:ascii="Calibri" w:eastAsia="Aptos" w:hAnsi="Calibri" w:cs="Calibri"/>
          <w:color w:val="000000"/>
          <w:sz w:val="22"/>
          <w:szCs w:val="21"/>
        </w:rPr>
      </w:pPr>
      <w:r>
        <w:rPr>
          <w:rFonts w:ascii="Calibri" w:eastAsia="Aptos" w:hAnsi="Calibri" w:cs="Calibri"/>
          <w:color w:val="000000"/>
          <w:sz w:val="22"/>
          <w:szCs w:val="21"/>
        </w:rPr>
        <w:t>XXXX</w:t>
      </w:r>
    </w:p>
    <w:p w14:paraId="5F7B063B" w14:textId="36E80448" w:rsidR="00B91B61" w:rsidRPr="00B91B61" w:rsidRDefault="00134B15" w:rsidP="00B91B61">
      <w:pPr>
        <w:spacing w:line="259" w:lineRule="auto"/>
        <w:jc w:val="center"/>
        <w:rPr>
          <w:rFonts w:ascii="Calibri" w:eastAsia="Aptos" w:hAnsi="Calibri" w:cs="Calibri"/>
          <w:color w:val="000000"/>
          <w:sz w:val="22"/>
          <w:szCs w:val="21"/>
        </w:rPr>
      </w:pPr>
      <w:r>
        <w:rPr>
          <w:rFonts w:ascii="Calibri" w:eastAsia="Aptos" w:hAnsi="Calibri" w:cs="Calibri"/>
          <w:color w:val="000000"/>
          <w:sz w:val="22"/>
          <w:szCs w:val="21"/>
        </w:rPr>
        <w:t>V CICLO – AULA XXXX – SEMESTRE 2026</w:t>
      </w:r>
    </w:p>
    <w:p w14:paraId="0DAAE485" w14:textId="77777777" w:rsidR="00B91B61" w:rsidRPr="00B91B61" w:rsidRDefault="00B91B61" w:rsidP="00B91B61">
      <w:pPr>
        <w:spacing w:line="259" w:lineRule="auto"/>
        <w:jc w:val="center"/>
        <w:rPr>
          <w:rFonts w:ascii="Aptos" w:eastAsia="Aptos" w:hAnsi="Aptos" w:cs="Times New Roman"/>
          <w:b/>
          <w:bCs/>
          <w:sz w:val="22"/>
          <w:szCs w:val="22"/>
          <w:lang w:val="es-ES"/>
        </w:rPr>
      </w:pPr>
    </w:p>
    <w:p w14:paraId="700D890C" w14:textId="0E174DE4" w:rsidR="00B91B61" w:rsidRPr="00B91B61" w:rsidRDefault="00B91B61" w:rsidP="00B91B61">
      <w:pPr>
        <w:spacing w:line="259" w:lineRule="auto"/>
        <w:rPr>
          <w:rFonts w:ascii="Aptos" w:eastAsia="Aptos" w:hAnsi="Aptos" w:cs="Times New Roman"/>
          <w:b/>
          <w:bCs/>
          <w:sz w:val="22"/>
          <w:szCs w:val="22"/>
          <w:lang w:val="es-ES"/>
        </w:rPr>
      </w:pPr>
      <w:r>
        <w:rPr>
          <w:rFonts w:ascii="Aptos" w:eastAsia="Aptos" w:hAnsi="Aptos" w:cs="Times New Roman"/>
          <w:b/>
          <w:bCs/>
          <w:sz w:val="22"/>
          <w:szCs w:val="22"/>
          <w:lang w:val="es-ES"/>
        </w:rPr>
        <w:t xml:space="preserve">COORDINADOR: LEYLA HERNÁNDEZ</w:t>
      </w:r>
    </w:p>
    <w:p w14:paraId="524F7D2E" w14:textId="77777777" w:rsidR="00B91B61" w:rsidRPr="00B91B61" w:rsidRDefault="00B91B61" w:rsidP="00B91B61">
      <w:pPr>
        <w:spacing w:line="259" w:lineRule="auto"/>
        <w:rPr>
          <w:rFonts w:ascii="Aptos" w:eastAsia="Aptos" w:hAnsi="Aptos" w:cs="Times New Roman"/>
          <w:b/>
          <w:bCs/>
          <w:sz w:val="22"/>
          <w:szCs w:val="22"/>
          <w:lang w:val="es-ES"/>
        </w:rPr>
      </w:pPr>
      <w:r>
        <w:rPr>
          <w:rFonts w:ascii="Aptos" w:eastAsia="Aptos" w:hAnsi="Aptos" w:cs="Times New Roman"/>
          <w:b/>
          <w:bCs/>
          <w:sz w:val="22"/>
          <w:szCs w:val="22"/>
          <w:lang w:val="es-ES"/>
        </w:rPr>
        <w:t xml:space="preserve">INTEGRANTES: </w:t>
      </w:r>
    </w:p>
    <w:p w14:paraId="4E82363C" w14:textId="08067B19" w:rsidR="00B91B61" w:rsidRPr="00B91B61" w:rsidRDefault="00134B15" w:rsidP="00B91B61">
      <w:pPr>
        <w:numPr>
          <w:ilvl w:val="0"/>
          <w:numId w:val="3"/>
        </w:numPr>
        <w:spacing w:line="259" w:lineRule="auto"/>
        <w:contextualSpacing/>
        <w:rPr>
          <w:rFonts w:ascii="Calibri" w:eastAsia="Aptos" w:hAnsi="Calibri" w:cs="Calibri"/>
          <w:color w:val="000000"/>
          <w:sz w:val="21"/>
          <w:szCs w:val="21"/>
        </w:rPr>
      </w:pPr>
      <w:r>
        <w:rPr>
          <w:rFonts w:ascii="Calibri" w:eastAsia="Aptos" w:hAnsi="Calibri" w:cs="Calibri"/>
          <w:color w:val="000000"/>
          <w:sz w:val="21"/>
          <w:szCs w:val="21"/>
        </w:rPr>
        <w:t>XXXXXXXXXXXXXXXX</w:t>
      </w:r>
    </w:p>
    <w:p w14:paraId="7467848B" w14:textId="6389B407" w:rsidR="00B91B61" w:rsidRPr="00B91B61" w:rsidRDefault="00134B15" w:rsidP="00B91B61">
      <w:pPr>
        <w:numPr>
          <w:ilvl w:val="0"/>
          <w:numId w:val="3"/>
        </w:numPr>
        <w:spacing w:line="259" w:lineRule="auto"/>
        <w:contextualSpacing/>
        <w:rPr>
          <w:rFonts w:ascii="Calibri" w:eastAsia="Aptos" w:hAnsi="Calibri" w:cs="Calibri"/>
          <w:color w:val="000000"/>
          <w:sz w:val="21"/>
          <w:szCs w:val="21"/>
        </w:rPr>
      </w:pPr>
      <w:r>
        <w:rPr>
          <w:rFonts w:ascii="Calibri" w:eastAsia="Aptos" w:hAnsi="Calibri" w:cs="Calibri"/>
          <w:color w:val="000000"/>
          <w:sz w:val="21"/>
          <w:szCs w:val="21"/>
        </w:rPr>
        <w:t>XXXXXXXXXXXXXXXX</w:t>
      </w:r>
    </w:p>
    <w:p w14:paraId="4254C627" w14:textId="706955EB" w:rsidR="00B91B61" w:rsidRDefault="00134B15" w:rsidP="00B91B61">
      <w:pPr>
        <w:numPr>
          <w:ilvl w:val="0"/>
          <w:numId w:val="3"/>
        </w:numPr>
        <w:spacing w:line="259" w:lineRule="auto"/>
        <w:contextualSpacing/>
        <w:rPr>
          <w:rFonts w:ascii="Calibri" w:eastAsia="Aptos" w:hAnsi="Calibri" w:cs="Calibri"/>
          <w:color w:val="000000"/>
          <w:sz w:val="21"/>
          <w:szCs w:val="21"/>
        </w:rPr>
      </w:pPr>
      <w:r>
        <w:rPr>
          <w:rFonts w:ascii="Calibri" w:eastAsia="Aptos" w:hAnsi="Calibri" w:cs="Calibri"/>
          <w:color w:val="000000"/>
          <w:sz w:val="21"/>
          <w:szCs w:val="21"/>
        </w:rPr>
        <w:t>XXXXXXXXXXXXXXXX</w:t>
      </w:r>
    </w:p>
    <w:p w14:paraId="14489C88" w14:textId="6DB432FD" w:rsidR="00134B15" w:rsidRPr="00B91B61" w:rsidRDefault="00134B15" w:rsidP="00B91B61">
      <w:pPr>
        <w:numPr>
          <w:ilvl w:val="0"/>
          <w:numId w:val="3"/>
        </w:numPr>
        <w:spacing w:line="259" w:lineRule="auto"/>
        <w:contextualSpacing/>
        <w:rPr>
          <w:rFonts w:ascii="Calibri" w:eastAsia="Aptos" w:hAnsi="Calibri" w:cs="Calibri"/>
          <w:color w:val="000000"/>
          <w:sz w:val="21"/>
          <w:szCs w:val="21"/>
        </w:rPr>
      </w:pPr>
      <w:r>
        <w:rPr>
          <w:rFonts w:ascii="Calibri" w:eastAsia="Aptos" w:hAnsi="Calibri" w:cs="Calibri"/>
          <w:color w:val="000000"/>
          <w:sz w:val="21"/>
          <w:szCs w:val="21"/>
        </w:rPr>
        <w:t>XXXXXXXXXXXXXXXX</w:t>
      </w:r>
    </w:p>
    <w:p w14:paraId="4942912C" w14:textId="77777777" w:rsidR="00B91B61" w:rsidRPr="00B91B61" w:rsidRDefault="00B91B61" w:rsidP="00B91B61">
      <w:pPr>
        <w:spacing w:line="259" w:lineRule="auto"/>
        <w:rPr>
          <w:rFonts w:ascii="Calibri" w:eastAsia="Aptos" w:hAnsi="Calibri" w:cs="Calibri"/>
          <w:color w:val="000000"/>
          <w:sz w:val="21"/>
          <w:szCs w:val="21"/>
        </w:rPr>
      </w:pPr>
    </w:p>
    <w:p w14:paraId="19C81802" w14:textId="77777777" w:rsidR="00B91B61" w:rsidRPr="00B91B61" w:rsidRDefault="00B91B61" w:rsidP="00B91B61">
      <w:pPr>
        <w:spacing w:line="259" w:lineRule="auto"/>
        <w:rPr>
          <w:rFonts w:ascii="Calibri" w:eastAsia="Aptos" w:hAnsi="Calibri" w:cs="Calibri"/>
          <w:color w:val="000000"/>
          <w:sz w:val="21"/>
          <w:szCs w:val="21"/>
        </w:rPr>
      </w:pPr>
    </w:p>
    <w:p w14:paraId="2C4DC218" w14:textId="77777777" w:rsidR="00B91B61" w:rsidRPr="00B91B61" w:rsidRDefault="00B91B61" w:rsidP="00B91B61">
      <w:pPr>
        <w:spacing w:line="259" w:lineRule="auto"/>
        <w:jc w:val="center"/>
        <w:rPr>
          <w:rFonts w:ascii="Calibri" w:eastAsia="Aptos" w:hAnsi="Calibri" w:cs="Calibri"/>
          <w:color w:val="000000"/>
          <w:szCs w:val="21"/>
        </w:rPr>
      </w:pPr>
      <w:r>
        <w:rPr>
          <w:rFonts w:ascii="Calibri" w:eastAsia="Aptos" w:hAnsi="Calibri" w:cs="Calibri"/>
          <w:color w:val="000000"/>
          <w:szCs w:val="21"/>
        </w:rPr>
        <w:t>LIMA – PERÚ</w:t>
      </w:r>
    </w:p>
    <w:p w14:paraId="3E1BE37E" w14:textId="436269B0" w:rsidR="00B91B61" w:rsidRPr="00B91B61" w:rsidRDefault="00B91B61" w:rsidP="00B91B61">
      <w:pPr>
        <w:spacing w:line="259" w:lineRule="auto"/>
        <w:jc w:val="center"/>
        <w:rPr>
          <w:rFonts w:ascii="Calibri" w:eastAsia="Aptos" w:hAnsi="Calibri" w:cs="Calibri"/>
          <w:color w:val="000000"/>
          <w:szCs w:val="21"/>
        </w:rPr>
      </w:pPr>
      <w:r>
        <w:rPr>
          <w:rFonts w:ascii="Calibri" w:eastAsia="Aptos" w:hAnsi="Calibri" w:cs="Calibri"/>
          <w:color w:val="000000"/>
          <w:szCs w:val="21"/>
        </w:rPr>
        <w:t>2026</w:t>
      </w:r>
    </w:p>
    <w:p>
      <w:pPr>
        <w:pageBreakBefore/>
        <w:spacing w:after="240" w:before="0" w:line="240" w:lineRule="auto"/>
        <w:jc w:val="center"/>
      </w:pPr>
      <w:r>
        <w:rPr>
          <w:rFonts w:ascii="Arial" w:hAnsi="Arial" w:cs="Arial"/>
          <w:b/>
          <w:i w:val="0"/>
          <w:sz w:val="26"/>
        </w:rPr>
        <w:t>ÍNDICE</w:t>
      </w:r>
    </w:p>
    <w:p>
      <w:pPr>
        <w:tabs>
          <w:tab w:pos="9071" w:val="right" w:leader="dot"/>
        </w:tabs>
        <w:spacing w:after="80" w:before="80" w:line="240" w:lineRule="auto"/>
        <w:ind w:left="0"/>
        <w:jc w:val="left"/>
      </w:pPr>
      <w:r>
        <w:fldChar w:fldCharType="begin" w:dirty="true"/>
        <w:instrText xml:space="preserve"> TOC \o "1-3" \h \z \u </w:instrText>
        <w:fldChar w:fldCharType="separate"/>
      </w:r>
      <w:r>
        <w:rPr>
          <w:rFonts w:ascii="Arial" w:hAnsi="Arial" w:cs="Arial"/>
          <w:b/>
          <w:i w:val="0"/>
          <w:sz w:val="21"/>
        </w:rPr>
        <w:t>RESUMEN</w:t>
        <w:tab/>
        <w:t>3</w:t>
      </w:r>
    </w:p>
    <w:p>
      <w:pPr>
        <w:tabs>
          <w:tab w:pos="9071" w:val="right" w:leader="dot"/>
        </w:tabs>
        <w:spacing w:after="80" w:before="80" w:line="240" w:lineRule="auto"/>
        <w:ind w:left="0"/>
        <w:jc w:val="left"/>
      </w:pPr>
      <w:r>
        <w:rPr>
          <w:rFonts w:ascii="Arial" w:hAnsi="Arial" w:cs="Arial"/>
          <w:b/>
          <w:i w:val="0"/>
          <w:sz w:val="21"/>
        </w:rPr>
        <w:t>INTRODUCCIÓN</w:t>
        <w:tab/>
        <w:t>4</w:t>
      </w:r>
    </w:p>
    <w:p>
      <w:pPr>
        <w:tabs>
          <w:tab w:pos="9071" w:val="right" w:leader="dot"/>
        </w:tabs>
        <w:spacing w:after="80" w:before="80" w:line="240" w:lineRule="auto"/>
        <w:ind w:left="0"/>
        <w:jc w:val="left"/>
      </w:pPr>
      <w:r>
        <w:rPr>
          <w:rFonts w:ascii="Arial" w:hAnsi="Arial" w:cs="Arial"/>
          <w:b/>
          <w:i w:val="0"/>
          <w:sz w:val="21"/>
        </w:rPr>
        <w:t>DIAGNÓSTICO: ANÁLISIS SEPTE</w:t>
        <w:tab/>
        <w:t>5</w:t>
      </w:r>
    </w:p>
    <w:p>
      <w:pPr>
        <w:tabs>
          <w:tab w:pos="9071" w:val="right" w:leader="dot"/>
        </w:tabs>
        <w:spacing w:after="40" w:before="0" w:line="240" w:lineRule="auto"/>
        <w:ind w:left="340"/>
        <w:jc w:val="left"/>
      </w:pPr>
      <w:r>
        <w:rPr>
          <w:rFonts w:ascii="Arial" w:hAnsi="Arial" w:cs="Arial"/>
          <w:b w:val="0"/>
          <w:i w:val="0"/>
          <w:sz w:val="20"/>
        </w:rPr>
        <w:t>Variable social</w:t>
        <w:tab/>
        <w:t>5</w:t>
      </w:r>
    </w:p>
    <w:p>
      <w:pPr>
        <w:tabs>
          <w:tab w:pos="9071" w:val="right" w:leader="dot"/>
        </w:tabs>
        <w:spacing w:after="40" w:before="0" w:line="240" w:lineRule="auto"/>
        <w:ind w:left="340"/>
        <w:jc w:val="left"/>
      </w:pPr>
      <w:r>
        <w:rPr>
          <w:rFonts w:ascii="Arial" w:hAnsi="Arial" w:cs="Arial"/>
          <w:b w:val="0"/>
          <w:i w:val="0"/>
          <w:sz w:val="20"/>
        </w:rPr>
        <w:t>Variable económica</w:t>
        <w:tab/>
        <w:t>5</w:t>
      </w:r>
    </w:p>
    <w:p>
      <w:pPr>
        <w:tabs>
          <w:tab w:pos="9071" w:val="right" w:leader="dot"/>
        </w:tabs>
        <w:spacing w:after="40" w:before="0" w:line="240" w:lineRule="auto"/>
        <w:ind w:left="340"/>
        <w:jc w:val="left"/>
      </w:pPr>
      <w:r>
        <w:rPr>
          <w:rFonts w:ascii="Arial" w:hAnsi="Arial" w:cs="Arial"/>
          <w:b w:val="0"/>
          <w:i w:val="0"/>
          <w:sz w:val="20"/>
        </w:rPr>
        <w:t>Variable política y legal</w:t>
        <w:tab/>
        <w:t>6</w:t>
      </w:r>
    </w:p>
    <w:p>
      <w:pPr>
        <w:tabs>
          <w:tab w:pos="9071" w:val="right" w:leader="dot"/>
        </w:tabs>
        <w:spacing w:after="40" w:before="0" w:line="240" w:lineRule="auto"/>
        <w:ind w:left="340"/>
        <w:jc w:val="left"/>
      </w:pPr>
      <w:r>
        <w:rPr>
          <w:rFonts w:ascii="Arial" w:hAnsi="Arial" w:cs="Arial"/>
          <w:b w:val="0"/>
          <w:i w:val="0"/>
          <w:sz w:val="20"/>
        </w:rPr>
        <w:t>Variable tecnológica</w:t>
        <w:tab/>
        <w:t>6</w:t>
      </w:r>
    </w:p>
    <w:p>
      <w:pPr>
        <w:tabs>
          <w:tab w:pos="9071" w:val="right" w:leader="dot"/>
        </w:tabs>
        <w:spacing w:after="40" w:before="0" w:line="240" w:lineRule="auto"/>
        <w:ind w:left="340"/>
        <w:jc w:val="left"/>
      </w:pPr>
      <w:r>
        <w:rPr>
          <w:rFonts w:ascii="Arial" w:hAnsi="Arial" w:cs="Arial"/>
          <w:b w:val="0"/>
          <w:i w:val="0"/>
          <w:sz w:val="20"/>
        </w:rPr>
        <w:t>Variable ecológica</w:t>
        <w:tab/>
        <w:t>7</w:t>
      </w:r>
    </w:p>
    <w:p>
      <w:pPr>
        <w:tabs>
          <w:tab w:pos="9071" w:val="right" w:leader="dot"/>
        </w:tabs>
        <w:spacing w:after="40" w:before="0" w:line="240" w:lineRule="auto"/>
        <w:ind w:left="340"/>
        <w:jc w:val="left"/>
      </w:pPr>
      <w:r>
        <w:rPr>
          <w:rFonts w:ascii="Arial" w:hAnsi="Arial" w:cs="Arial"/>
          <w:b w:val="0"/>
          <w:i w:val="0"/>
          <w:sz w:val="20"/>
        </w:rPr>
        <w:t>Síntesis del diagnóstico</w:t>
        <w:tab/>
        <w:t>7</w:t>
      </w:r>
    </w:p>
    <w:p>
      <w:pPr>
        <w:tabs>
          <w:tab w:pos="9071" w:val="right" w:leader="dot"/>
        </w:tabs>
        <w:spacing w:after="80" w:before="80" w:line="240" w:lineRule="auto"/>
        <w:ind w:left="0"/>
        <w:jc w:val="left"/>
      </w:pPr>
      <w:r>
        <w:rPr>
          <w:rFonts w:ascii="Arial" w:hAnsi="Arial" w:cs="Arial"/>
          <w:b/>
          <w:i w:val="0"/>
          <w:sz w:val="21"/>
        </w:rPr>
        <w:t>OBJETIVOS</w:t>
        <w:tab/>
        <w:t>8</w:t>
      </w:r>
    </w:p>
    <w:p>
      <w:pPr>
        <w:tabs>
          <w:tab w:pos="9071" w:val="right" w:leader="dot"/>
        </w:tabs>
        <w:spacing w:after="80" w:before="80" w:line="240" w:lineRule="auto"/>
        <w:ind w:left="0"/>
        <w:jc w:val="left"/>
      </w:pPr>
      <w:r>
        <w:rPr>
          <w:rFonts w:ascii="Arial" w:hAnsi="Arial" w:cs="Arial"/>
          <w:b/>
          <w:i w:val="0"/>
          <w:sz w:val="21"/>
        </w:rPr>
        <w:t>JUSTIFICACIÓN DEL PROYECTO</w:t>
        <w:tab/>
        <w:t>9</w:t>
      </w:r>
    </w:p>
    <w:p>
      <w:pPr>
        <w:tabs>
          <w:tab w:pos="9071" w:val="right" w:leader="dot"/>
        </w:tabs>
        <w:spacing w:after="40" w:before="0" w:line="240" w:lineRule="auto"/>
        <w:ind w:left="340"/>
        <w:jc w:val="left"/>
      </w:pPr>
      <w:r>
        <w:rPr>
          <w:rFonts w:ascii="Arial" w:hAnsi="Arial" w:cs="Arial"/>
          <w:b w:val="0"/>
          <w:i w:val="0"/>
          <w:sz w:val="20"/>
        </w:rPr>
        <w:t>Beneficiarios directos</w:t>
        <w:tab/>
        <w:t>9</w:t>
      </w:r>
    </w:p>
    <w:p>
      <w:pPr>
        <w:tabs>
          <w:tab w:pos="9071" w:val="right" w:leader="dot"/>
        </w:tabs>
        <w:spacing w:after="40" w:before="0" w:line="240" w:lineRule="auto"/>
        <w:ind w:left="340"/>
        <w:jc w:val="left"/>
      </w:pPr>
      <w:r>
        <w:rPr>
          <w:rFonts w:ascii="Arial" w:hAnsi="Arial" w:cs="Arial"/>
          <w:b w:val="0"/>
          <w:i w:val="0"/>
          <w:sz w:val="20"/>
        </w:rPr>
        <w:t>Beneficiarios indirectos</w:t>
        <w:tab/>
        <w:t>9</w:t>
      </w:r>
    </w:p>
    <w:p>
      <w:pPr>
        <w:tabs>
          <w:tab w:pos="9071" w:val="right" w:leader="dot"/>
        </w:tabs>
        <w:spacing w:after="80" w:before="80" w:line="240" w:lineRule="auto"/>
        <w:ind w:left="0"/>
        <w:jc w:val="left"/>
      </w:pPr>
      <w:r>
        <w:rPr>
          <w:rFonts w:ascii="Arial" w:hAnsi="Arial" w:cs="Arial"/>
          <w:b/>
          <w:i w:val="0"/>
          <w:sz w:val="21"/>
        </w:rPr>
        <w:t>PRODUCTOS Y ENTREGABLES</w:t>
        <w:tab/>
        <w:t>10</w:t>
      </w:r>
    </w:p>
    <w:p>
      <w:pPr>
        <w:tabs>
          <w:tab w:pos="9071" w:val="right" w:leader="dot"/>
        </w:tabs>
        <w:spacing w:after="80" w:before="80" w:line="240" w:lineRule="auto"/>
        <w:ind w:left="0"/>
        <w:jc w:val="left"/>
      </w:pPr>
      <w:r>
        <w:rPr>
          <w:rFonts w:ascii="Arial" w:hAnsi="Arial" w:cs="Arial"/>
          <w:b/>
          <w:i w:val="0"/>
          <w:sz w:val="21"/>
        </w:rPr>
        <w:t>CAPÍTULO 1: RESUMEN EJECUTIVO</w:t>
        <w:tab/>
        <w:t>11</w:t>
      </w:r>
    </w:p>
    <w:p>
      <w:pPr>
        <w:tabs>
          <w:tab w:pos="9071" w:val="right" w:leader="dot"/>
        </w:tabs>
        <w:spacing w:after="40" w:before="0" w:line="240" w:lineRule="auto"/>
        <w:ind w:left="340"/>
        <w:jc w:val="left"/>
      </w:pPr>
      <w:r>
        <w:rPr>
          <w:rFonts w:ascii="Arial" w:hAnsi="Arial" w:cs="Arial"/>
          <w:b w:val="0"/>
          <w:i w:val="0"/>
          <w:sz w:val="20"/>
        </w:rPr>
        <w:t>1.1 Perfil de los emprendedores</w:t>
        <w:tab/>
        <w:t>11</w:t>
      </w:r>
    </w:p>
    <w:p>
      <w:pPr>
        <w:tabs>
          <w:tab w:pos="9071" w:val="right" w:leader="dot"/>
        </w:tabs>
        <w:spacing w:after="40" w:before="0" w:line="240" w:lineRule="auto"/>
        <w:ind w:left="340"/>
        <w:jc w:val="left"/>
      </w:pPr>
      <w:r>
        <w:rPr>
          <w:rFonts w:ascii="Arial" w:hAnsi="Arial" w:cs="Arial"/>
          <w:b w:val="0"/>
          <w:i w:val="0"/>
          <w:sz w:val="20"/>
        </w:rPr>
        <w:t>1.2 Oportunidad de negocio que generó la idea</w:t>
        <w:tab/>
        <w:t>11</w:t>
      </w:r>
    </w:p>
    <w:p>
      <w:pPr>
        <w:tabs>
          <w:tab w:pos="9071" w:val="right" w:leader="dot"/>
        </w:tabs>
        <w:spacing w:after="40" w:before="0" w:line="240" w:lineRule="auto"/>
        <w:ind w:left="340"/>
        <w:jc w:val="left"/>
      </w:pPr>
      <w:r>
        <w:rPr>
          <w:rFonts w:ascii="Arial" w:hAnsi="Arial" w:cs="Arial"/>
          <w:b w:val="0"/>
          <w:i w:val="0"/>
          <w:sz w:val="20"/>
        </w:rPr>
        <w:t>1.3 Idea de negocio y principales características de la propuesta</w:t>
        <w:tab/>
        <w:t>12</w:t>
      </w:r>
    </w:p>
    <w:p>
      <w:pPr>
        <w:tabs>
          <w:tab w:pos="9071" w:val="right" w:leader="dot"/>
        </w:tabs>
        <w:spacing w:after="40" w:before="0" w:line="240" w:lineRule="auto"/>
        <w:ind w:left="340"/>
        <w:jc w:val="left"/>
      </w:pPr>
      <w:r>
        <w:rPr>
          <w:rFonts w:ascii="Arial" w:hAnsi="Arial" w:cs="Arial"/>
          <w:b w:val="0"/>
          <w:i w:val="0"/>
          <w:sz w:val="20"/>
        </w:rPr>
        <w:t>1.4 Cifras generales de inversión y rentabilidad</w:t>
        <w:tab/>
        <w:t>12</w:t>
      </w:r>
    </w:p>
    <w:p>
      <w:pPr>
        <w:tabs>
          <w:tab w:pos="9071" w:val="right" w:leader="dot"/>
        </w:tabs>
        <w:spacing w:after="80" w:before="80" w:line="240" w:lineRule="auto"/>
        <w:ind w:left="0"/>
        <w:jc w:val="left"/>
      </w:pPr>
      <w:r>
        <w:rPr>
          <w:rFonts w:ascii="Arial" w:hAnsi="Arial" w:cs="Arial"/>
          <w:b/>
          <w:i w:val="0"/>
          <w:sz w:val="21"/>
        </w:rPr>
        <w:t>CAPÍTULO 2: IDENTIFICACIÓN DE LA IDEA DE NEGOCIO</w:t>
        <w:tab/>
        <w:t>14</w:t>
      </w:r>
    </w:p>
    <w:p>
      <w:pPr>
        <w:tabs>
          <w:tab w:pos="9071" w:val="right" w:leader="dot"/>
        </w:tabs>
        <w:spacing w:after="40" w:before="0" w:line="240" w:lineRule="auto"/>
        <w:ind w:left="340"/>
        <w:jc w:val="left"/>
      </w:pPr>
      <w:r>
        <w:rPr>
          <w:rFonts w:ascii="Arial" w:hAnsi="Arial" w:cs="Arial"/>
          <w:b w:val="0"/>
          <w:i w:val="0"/>
          <w:sz w:val="20"/>
        </w:rPr>
        <w:t>2.1 Identificación de la idea de negocio: lluvia de ideas</w:t>
        <w:tab/>
        <w:t>14</w:t>
      </w:r>
    </w:p>
    <w:p>
      <w:pPr>
        <w:tabs>
          <w:tab w:pos="9071" w:val="right" w:leader="dot"/>
        </w:tabs>
        <w:spacing w:after="40" w:before="0" w:line="240" w:lineRule="auto"/>
        <w:ind w:left="340"/>
        <w:jc w:val="left"/>
      </w:pPr>
      <w:r>
        <w:rPr>
          <w:rFonts w:ascii="Arial" w:hAnsi="Arial" w:cs="Arial"/>
          <w:b w:val="0"/>
          <w:i w:val="0"/>
          <w:sz w:val="20"/>
        </w:rPr>
        <w:t>2.2 Descripción de la idea de negocio</w:t>
        <w:tab/>
        <w:t>14</w:t>
      </w:r>
    </w:p>
    <w:p>
      <w:pPr>
        <w:tabs>
          <w:tab w:pos="9071" w:val="right" w:leader="dot"/>
        </w:tabs>
        <w:spacing w:after="40" w:before="0" w:line="240" w:lineRule="auto"/>
        <w:ind w:left="680"/>
        <w:jc w:val="left"/>
      </w:pPr>
      <w:r>
        <w:rPr>
          <w:rFonts w:ascii="Arial" w:hAnsi="Arial" w:cs="Arial"/>
          <w:b w:val="0"/>
          <w:i w:val="0"/>
          <w:sz w:val="20"/>
        </w:rPr>
        <w:t>2.2.1 Necesidades que satisface la idea de negocio</w:t>
        <w:tab/>
        <w:t>14</w:t>
      </w:r>
    </w:p>
    <w:p>
      <w:pPr>
        <w:tabs>
          <w:tab w:pos="9071" w:val="right" w:leader="dot"/>
        </w:tabs>
        <w:spacing w:after="40" w:before="0" w:line="240" w:lineRule="auto"/>
        <w:ind w:left="680"/>
        <w:jc w:val="left"/>
      </w:pPr>
      <w:r>
        <w:rPr>
          <w:rFonts w:ascii="Arial" w:hAnsi="Arial" w:cs="Arial"/>
          <w:b w:val="0"/>
          <w:i w:val="0"/>
          <w:sz w:val="20"/>
        </w:rPr>
        <w:t>2.2.2 Usos y soluciones que brinda el servicio</w:t>
        <w:tab/>
        <w:t>15</w:t>
      </w:r>
    </w:p>
    <w:p>
      <w:pPr>
        <w:tabs>
          <w:tab w:pos="9071" w:val="right" w:leader="dot"/>
        </w:tabs>
        <w:spacing w:after="80" w:before="80" w:line="240" w:lineRule="auto"/>
        <w:ind w:left="0"/>
        <w:jc w:val="left"/>
      </w:pPr>
      <w:r>
        <w:rPr>
          <w:rFonts w:ascii="Arial" w:hAnsi="Arial" w:cs="Arial"/>
          <w:b/>
          <w:i w:val="0"/>
          <w:sz w:val="21"/>
        </w:rPr>
        <w:t>CAPÍTULO 3: VIABILIDAD TÉCNICA</w:t>
        <w:tab/>
        <w:t>16</w:t>
      </w:r>
    </w:p>
    <w:p>
      <w:pPr>
        <w:tabs>
          <w:tab w:pos="9071" w:val="right" w:leader="dot"/>
        </w:tabs>
        <w:spacing w:after="40" w:before="0" w:line="240" w:lineRule="auto"/>
        <w:ind w:left="340"/>
        <w:jc w:val="left"/>
      </w:pPr>
      <w:r>
        <w:rPr>
          <w:rFonts w:ascii="Arial" w:hAnsi="Arial" w:cs="Arial"/>
          <w:b w:val="0"/>
          <w:i w:val="0"/>
          <w:sz w:val="20"/>
        </w:rPr>
        <w:t>3.1 Presentación del prototipo de la idea de negocio</w:t>
        <w:tab/>
        <w:t>16</w:t>
      </w:r>
    </w:p>
    <w:p>
      <w:pPr>
        <w:tabs>
          <w:tab w:pos="9071" w:val="right" w:leader="dot"/>
        </w:tabs>
        <w:spacing w:after="40" w:before="0" w:line="240" w:lineRule="auto"/>
        <w:ind w:left="340"/>
        <w:jc w:val="left"/>
      </w:pPr>
      <w:r>
        <w:rPr>
          <w:rFonts w:ascii="Arial" w:hAnsi="Arial" w:cs="Arial"/>
          <w:b w:val="0"/>
          <w:i w:val="0"/>
          <w:sz w:val="20"/>
        </w:rPr>
        <w:t>3.2 Especificaciones técnicas del servicio</w:t>
        <w:tab/>
        <w:t>17</w:t>
      </w:r>
    </w:p>
    <w:p>
      <w:pPr>
        <w:tabs>
          <w:tab w:pos="9071" w:val="right" w:leader="dot"/>
        </w:tabs>
        <w:spacing w:after="40" w:before="0" w:line="240" w:lineRule="auto"/>
        <w:ind w:left="680"/>
        <w:jc w:val="left"/>
      </w:pPr>
      <w:r>
        <w:rPr>
          <w:rFonts w:ascii="Arial" w:hAnsi="Arial" w:cs="Arial"/>
          <w:b w:val="0"/>
          <w:i w:val="0"/>
          <w:sz w:val="20"/>
        </w:rPr>
        <w:t>3.2.1 Lista de equipos requeridos para brindar el servicio</w:t>
        <w:tab/>
        <w:t>17</w:t>
      </w:r>
    </w:p>
    <w:p>
      <w:pPr>
        <w:tabs>
          <w:tab w:pos="9071" w:val="right" w:leader="dot"/>
        </w:tabs>
        <w:spacing w:after="40" w:before="0" w:line="240" w:lineRule="auto"/>
        <w:ind w:left="680"/>
        <w:jc w:val="left"/>
      </w:pPr>
      <w:r>
        <w:rPr>
          <w:rFonts w:ascii="Arial" w:hAnsi="Arial" w:cs="Arial"/>
          <w:b w:val="0"/>
          <w:i w:val="0"/>
          <w:sz w:val="20"/>
        </w:rPr>
        <w:t>3.2.2 Lista de insumos y/o materias primas</w:t>
        <w:tab/>
        <w:t>17</w:t>
      </w:r>
    </w:p>
    <w:p>
      <w:pPr>
        <w:tabs>
          <w:tab w:pos="9071" w:val="right" w:leader="dot"/>
        </w:tabs>
        <w:spacing w:after="40" w:before="0" w:line="240" w:lineRule="auto"/>
        <w:ind w:left="680"/>
        <w:jc w:val="left"/>
      </w:pPr>
      <w:r>
        <w:rPr>
          <w:rFonts w:ascii="Arial" w:hAnsi="Arial" w:cs="Arial"/>
          <w:b w:val="0"/>
          <w:i w:val="0"/>
          <w:sz w:val="20"/>
        </w:rPr>
        <w:t>3.2.3 Tamaño, dimensiones, formas, descripción y presentación del servicio</w:t>
        <w:tab/>
        <w:t>17</w:t>
      </w:r>
    </w:p>
    <w:p>
      <w:pPr>
        <w:tabs>
          <w:tab w:pos="9071" w:val="right" w:leader="dot"/>
        </w:tabs>
        <w:spacing w:after="40" w:before="0" w:line="240" w:lineRule="auto"/>
        <w:ind w:left="680"/>
        <w:jc w:val="left"/>
      </w:pPr>
      <w:r>
        <w:rPr>
          <w:rFonts w:ascii="Arial" w:hAnsi="Arial" w:cs="Arial"/>
          <w:b w:val="0"/>
          <w:i w:val="0"/>
          <w:sz w:val="20"/>
        </w:rPr>
        <w:t>3.2.4 Especificaciones para su aplicación y/o uso</w:t>
        <w:tab/>
        <w:t>17</w:t>
      </w:r>
    </w:p>
    <w:p>
      <w:pPr>
        <w:tabs>
          <w:tab w:pos="9071" w:val="right" w:leader="dot"/>
        </w:tabs>
        <w:spacing w:after="40" w:before="0" w:line="240" w:lineRule="auto"/>
        <w:ind w:left="340"/>
        <w:jc w:val="left"/>
      </w:pPr>
      <w:r>
        <w:rPr>
          <w:rFonts w:ascii="Arial" w:hAnsi="Arial" w:cs="Arial"/>
          <w:b w:val="0"/>
          <w:i w:val="0"/>
          <w:sz w:val="20"/>
        </w:rPr>
        <w:t>3.3 Investigación de la propiedad intelectual</w:t>
        <w:tab/>
        <w:t>18</w:t>
      </w:r>
    </w:p>
    <w:p>
      <w:pPr>
        <w:tabs>
          <w:tab w:pos="9071" w:val="right" w:leader="dot"/>
        </w:tabs>
        <w:spacing w:after="40" w:before="0" w:line="240" w:lineRule="auto"/>
        <w:ind w:left="680"/>
        <w:jc w:val="left"/>
      </w:pPr>
      <w:r>
        <w:rPr>
          <w:rFonts w:ascii="Arial" w:hAnsi="Arial" w:cs="Arial"/>
          <w:b w:val="0"/>
          <w:i w:val="0"/>
          <w:sz w:val="20"/>
        </w:rPr>
        <w:t>3.3.1 Marca y logo del servicio</w:t>
        <w:tab/>
        <w:t>18</w:t>
      </w:r>
    </w:p>
    <w:p>
      <w:pPr>
        <w:tabs>
          <w:tab w:pos="9071" w:val="right" w:leader="dot"/>
        </w:tabs>
        <w:spacing w:after="40" w:before="0" w:line="240" w:lineRule="auto"/>
        <w:ind w:left="680"/>
        <w:jc w:val="left"/>
      </w:pPr>
      <w:r>
        <w:rPr>
          <w:rFonts w:ascii="Arial" w:hAnsi="Arial" w:cs="Arial"/>
          <w:b w:val="0"/>
          <w:i w:val="0"/>
          <w:sz w:val="20"/>
        </w:rPr>
        <w:t>3.3.2 Proceso de registro de la marca</w:t>
        <w:tab/>
        <w:t>18</w:t>
      </w:r>
    </w:p>
    <w:p>
      <w:pPr>
        <w:tabs>
          <w:tab w:pos="9071" w:val="right" w:leader="dot"/>
        </w:tabs>
        <w:spacing w:after="40" w:before="0" w:line="240" w:lineRule="auto"/>
        <w:ind w:left="680"/>
        <w:jc w:val="left"/>
      </w:pPr>
      <w:r>
        <w:rPr>
          <w:rFonts w:ascii="Arial" w:hAnsi="Arial" w:cs="Arial"/>
          <w:b w:val="0"/>
          <w:i w:val="0"/>
          <w:sz w:val="20"/>
        </w:rPr>
        <w:t>3.3.3 Proceso de patentar el servicio</w:t>
        <w:tab/>
        <w:t>18</w:t>
      </w:r>
    </w:p>
    <w:p>
      <w:pPr>
        <w:tabs>
          <w:tab w:pos="9071" w:val="right" w:leader="dot"/>
        </w:tabs>
        <w:spacing w:after="80" w:before="80" w:line="240" w:lineRule="auto"/>
        <w:ind w:left="0"/>
        <w:jc w:val="left"/>
      </w:pPr>
      <w:r>
        <w:rPr>
          <w:rFonts w:ascii="Arial" w:hAnsi="Arial" w:cs="Arial"/>
          <w:b/>
          <w:i w:val="0"/>
          <w:sz w:val="21"/>
        </w:rPr>
        <w:t>CAPÍTULO 4: PLAN ESTRATÉGICO</w:t>
        <w:tab/>
        <w:t>20</w:t>
      </w:r>
    </w:p>
    <w:p>
      <w:pPr>
        <w:tabs>
          <w:tab w:pos="9071" w:val="right" w:leader="dot"/>
        </w:tabs>
        <w:spacing w:after="40" w:before="0" w:line="240" w:lineRule="auto"/>
        <w:ind w:left="340"/>
        <w:jc w:val="left"/>
      </w:pPr>
      <w:r>
        <w:rPr>
          <w:rFonts w:ascii="Arial" w:hAnsi="Arial" w:cs="Arial"/>
          <w:b w:val="0"/>
          <w:i w:val="0"/>
          <w:sz w:val="20"/>
        </w:rPr>
        <w:t>4.1 Misión</w:t>
        <w:tab/>
        <w:t>20</w:t>
      </w:r>
    </w:p>
    <w:p>
      <w:pPr>
        <w:tabs>
          <w:tab w:pos="9071" w:val="right" w:leader="dot"/>
        </w:tabs>
        <w:spacing w:after="40" w:before="0" w:line="240" w:lineRule="auto"/>
        <w:ind w:left="340"/>
        <w:jc w:val="left"/>
      </w:pPr>
      <w:r>
        <w:rPr>
          <w:rFonts w:ascii="Arial" w:hAnsi="Arial" w:cs="Arial"/>
          <w:b w:val="0"/>
          <w:i w:val="0"/>
          <w:sz w:val="20"/>
        </w:rPr>
        <w:t>4.2 Visión</w:t>
        <w:tab/>
        <w:t>20</w:t>
      </w:r>
    </w:p>
    <w:p>
      <w:pPr>
        <w:tabs>
          <w:tab w:pos="9071" w:val="right" w:leader="dot"/>
        </w:tabs>
        <w:spacing w:after="40" w:before="0" w:line="240" w:lineRule="auto"/>
        <w:ind w:left="340"/>
        <w:jc w:val="left"/>
      </w:pPr>
      <w:r>
        <w:rPr>
          <w:rFonts w:ascii="Arial" w:hAnsi="Arial" w:cs="Arial"/>
          <w:b w:val="0"/>
          <w:i w:val="0"/>
          <w:sz w:val="20"/>
        </w:rPr>
        <w:t>4.3 Factores críticos de éxito</w:t>
        <w:tab/>
        <w:t>20</w:t>
      </w:r>
    </w:p>
    <w:p>
      <w:pPr>
        <w:tabs>
          <w:tab w:pos="9071" w:val="right" w:leader="dot"/>
        </w:tabs>
        <w:spacing w:after="40" w:before="0" w:line="240" w:lineRule="auto"/>
        <w:ind w:left="340"/>
        <w:jc w:val="left"/>
      </w:pPr>
      <w:r>
        <w:rPr>
          <w:rFonts w:ascii="Arial" w:hAnsi="Arial" w:cs="Arial"/>
          <w:b w:val="0"/>
          <w:i w:val="0"/>
          <w:sz w:val="20"/>
        </w:rPr>
        <w:t>4.4 Objetivos estratégicos</w:t>
        <w:tab/>
        <w:t>20</w:t>
      </w:r>
    </w:p>
    <w:p>
      <w:pPr>
        <w:tabs>
          <w:tab w:pos="9071" w:val="right" w:leader="dot"/>
        </w:tabs>
        <w:spacing w:after="40" w:before="0" w:line="240" w:lineRule="auto"/>
        <w:ind w:left="340"/>
        <w:jc w:val="left"/>
      </w:pPr>
      <w:r>
        <w:rPr>
          <w:rFonts w:ascii="Arial" w:hAnsi="Arial" w:cs="Arial"/>
          <w:b w:val="0"/>
          <w:i w:val="0"/>
          <w:sz w:val="20"/>
        </w:rPr>
        <w:t>4.5 Valores</w:t>
        <w:tab/>
        <w:t>21</w:t>
      </w:r>
    </w:p>
    <w:p>
      <w:pPr>
        <w:tabs>
          <w:tab w:pos="9071" w:val="right" w:leader="dot"/>
        </w:tabs>
        <w:spacing w:after="80" w:before="80" w:line="240" w:lineRule="auto"/>
        <w:ind w:left="0"/>
        <w:jc w:val="left"/>
      </w:pPr>
      <w:r>
        <w:rPr>
          <w:rFonts w:ascii="Arial" w:hAnsi="Arial" w:cs="Arial"/>
          <w:b/>
          <w:i w:val="0"/>
          <w:sz w:val="21"/>
        </w:rPr>
        <w:t>REFERENCIAS CONSULTADAS</w:t>
        <w:tab/>
        <w:t>22</w:t>
      </w:r>
      <w:r>
        <w:fldChar w:fldCharType="end"/>
      </w:r>
    </w:p>
    <w:p>
      <w:pPr>
        <w:pStyle w:val="Ttulo1"/>
        <w:pageBreakBefore/>
      </w:pPr>
      <w:r>
        <w:rPr>
          <w:rFonts w:ascii="Arial" w:hAnsi="Arial"/>
        </w:rPr>
        <w:t>RESUMEN</w:t>
      </w:r>
    </w:p>
    <w:p>
      <w:pPr>
        <w:spacing w:after="120" w:before="0" w:line="240" w:lineRule="auto"/>
        <w:jc w:val="both"/>
      </w:pPr>
      <w:r>
        <w:rPr>
          <w:rFonts w:ascii="Arial" w:hAnsi="Arial" w:cs="Arial"/>
          <w:b w:val="0"/>
          <w:i w:val="0"/>
          <w:sz w:val="22"/>
        </w:rPr>
        <w:t xml:space="preserve">El presente proyecto propone </w:t>
      </w:r>
      <w:r>
        <w:rPr>
          <w:rFonts w:ascii="Arial" w:hAnsi="Arial" w:cs="Arial"/>
          <w:b/>
          <w:i w:val="0"/>
          <w:sz w:val="22"/>
        </w:rPr>
        <w:t>ServiListo</w:t>
      </w:r>
      <w:r>
        <w:rPr>
          <w:rFonts w:ascii="Arial" w:hAnsi="Arial" w:cs="Arial"/>
          <w:b w:val="0"/>
          <w:i w:val="0"/>
          <w:sz w:val="22"/>
        </w:rPr>
        <w:t>, un aplicativo móvil que permite a los propietarios e inquilinos de condominios, edificios multifamiliares y residenciales de Lima Metropolitana buscar, contratar, pagar y calificar servicios generales para el hogar —gasfitería, electricidad, limpieza, pintura, cerrajería y fumigación, entre otros— prestados por técnicos verificados.</w:t>
      </w:r>
    </w:p>
    <w:p>
      <w:pPr>
        <w:spacing w:after="120" w:before="0" w:line="240" w:lineRule="auto"/>
        <w:jc w:val="both"/>
      </w:pPr>
      <w:r>
        <w:rPr>
          <w:rFonts w:ascii="Arial" w:hAnsi="Arial" w:cs="Arial"/>
          <w:b w:val="0"/>
          <w:i w:val="0"/>
          <w:sz w:val="22"/>
        </w:rPr>
        <w:t>La propuesta se diferencia de los canales tradicionales, como las recomendaciones por WhatsApp o redes sociales, por tres elementos: la verificación previa de los técnicos; el pago protegido dentro de la aplicación, que se libera recién cuando el cliente confirma el trabajo y que va acompañado de una garantía; y un modelo dirigido al condominio en su conjunto, que incluye pedidos grupales entre vecinos y planes de mantenimiento preventivo contratados por la junta de propietarios.</w:t>
      </w:r>
    </w:p>
    <w:p>
      <w:pPr>
        <w:spacing w:after="120" w:before="0" w:line="240" w:lineRule="auto"/>
        <w:jc w:val="both"/>
      </w:pPr>
      <w:r>
        <w:rPr>
          <w:rFonts w:ascii="Arial" w:hAnsi="Arial" w:cs="Arial"/>
          <w:b w:val="0"/>
          <w:i w:val="0"/>
          <w:sz w:val="22"/>
        </w:rPr>
        <w:t>El documento desarrolla el diagnóstico del entorno mediante el análisis SEPTE, los objetivos SMART, la justificación y los beneficiarios del proyecto, y los cuatro primeros capítulos de los productos entregables: resumen ejecutivo, identificación de la idea de negocio, viabilidad técnica (incluidos el prototipo y la estrategia de propiedad intelectual) y plan estratégico. Los capítulos de viabilidad de mercado, análisis situacional y viabilidad de la industria se desarrollarán en la siguiente etapa del curso.</w:t>
      </w:r>
    </w:p>
    <w:p>
      <w:pPr>
        <w:pStyle w:val="Ttulo1"/>
        <w:pageBreakBefore/>
      </w:pPr>
      <w:r>
        <w:rPr>
          <w:rFonts w:ascii="Arial" w:hAnsi="Arial"/>
        </w:rPr>
        <w:t>INTRODUCCIÓN</w:t>
      </w:r>
    </w:p>
    <w:p>
      <w:pPr>
        <w:spacing w:after="120" w:before="0" w:line="240" w:lineRule="auto"/>
        <w:jc w:val="both"/>
      </w:pPr>
      <w:r>
        <w:rPr>
          <w:rFonts w:ascii="Arial" w:hAnsi="Arial" w:cs="Arial"/>
          <w:b w:val="0"/>
          <w:i w:val="0"/>
          <w:sz w:val="22"/>
        </w:rPr>
        <w:t>Lima Metropolitana atraviesa un crecimiento sostenido de la vivienda multifamiliar. En 2025 la venta de viviendas nuevas alcanzó un récord histórico</w:t>
      </w:r>
      <w:r>
        <w:rPr>
          <w:rFonts w:ascii="Arial" w:hAnsi="Arial" w:cs="Arial"/>
          <w:b w:val="0"/>
          <w:i w:val="0"/>
          <w:sz w:val="22"/>
          <w:vertAlign w:val="superscript"/>
        </w:rPr>
        <w:footnoteReference w:id="1"/>
      </w:r>
      <w:r>
        <w:rPr>
          <w:rFonts w:ascii="Arial" w:hAnsi="Arial" w:cs="Arial"/>
          <w:b w:val="0"/>
          <w:i w:val="0"/>
          <w:sz w:val="22"/>
        </w:rPr>
        <w:t xml:space="preserve"> y la tendencia se mantuvo en 2026</w:t>
      </w:r>
      <w:r>
        <w:rPr>
          <w:rFonts w:ascii="Arial" w:hAnsi="Arial" w:cs="Arial"/>
          <w:b w:val="0"/>
          <w:i w:val="0"/>
          <w:sz w:val="22"/>
          <w:vertAlign w:val="superscript"/>
        </w:rPr>
        <w:footnoteReference w:id="2"/>
      </w:r>
      <w:r>
        <w:rPr>
          <w:rFonts w:ascii="Arial" w:hAnsi="Arial" w:cs="Arial"/>
          <w:b w:val="0"/>
          <w:i w:val="0"/>
          <w:sz w:val="22"/>
        </w:rPr>
        <w:t>. Cada nuevo edificio suma decenas de familias que, tarde o temprano, necesitarán un gasfitero, un electricista o un servicio de limpieza. Sin embargo, la oferta de estos servicios es mayoritariamente informal y se contrata por recomendación, sin garantías sobre la identidad del técnico, el precio o la calidad del trabajo.</w:t>
      </w:r>
    </w:p>
    <w:p>
      <w:pPr>
        <w:spacing w:after="120" w:before="0" w:line="240" w:lineRule="auto"/>
        <w:jc w:val="both"/>
      </w:pPr>
      <w:r>
        <w:rPr>
          <w:rFonts w:ascii="Arial" w:hAnsi="Arial" w:cs="Arial"/>
          <w:b w:val="0"/>
          <w:i w:val="0"/>
          <w:sz w:val="22"/>
        </w:rPr>
        <w:t>Al mismo tiempo, el uso del teléfono celular e internet en Lima Metropolitana es prácticamente generalizado, lo que hace viable una solución digital. ServiListo aprovecha esta oportunidad conectando, en una sola aplicación, a las familias que viven en condominios con técnicos verificados, con precios referenciales visibles, pago seguro y garantía del servicio.</w:t>
      </w:r>
    </w:p>
    <w:p>
      <w:pPr>
        <w:spacing w:after="120" w:before="0" w:line="240" w:lineRule="auto"/>
        <w:jc w:val="both"/>
      </w:pPr>
      <w:r>
        <w:rPr>
          <w:rFonts w:ascii="Arial" w:hAnsi="Arial" w:cs="Arial"/>
          <w:b w:val="0"/>
          <w:i w:val="0"/>
          <w:sz w:val="22"/>
        </w:rPr>
        <w:t xml:space="preserve">Los objetivos del proyecto son validar la aceptación de la propuesta en su público objetivo, desarrollar y probar un prototipo funcional, y plantear una ruta de implementación viable. El impacto esperado es triple: </w:t>
      </w:r>
      <w:r>
        <w:rPr>
          <w:rFonts w:ascii="Arial" w:hAnsi="Arial" w:cs="Arial"/>
          <w:b/>
          <w:i w:val="0"/>
          <w:sz w:val="22"/>
        </w:rPr>
        <w:t>económico</w:t>
      </w:r>
      <w:r>
        <w:rPr>
          <w:rFonts w:ascii="Arial" w:hAnsi="Arial" w:cs="Arial"/>
          <w:b w:val="0"/>
          <w:i w:val="0"/>
          <w:sz w:val="22"/>
        </w:rPr>
        <w:t xml:space="preserve">, porque los vecinos acceden a precios transparentes y evitan gastos por reparaciones mal hechas; </w:t>
      </w:r>
      <w:r>
        <w:rPr>
          <w:rFonts w:ascii="Arial" w:hAnsi="Arial" w:cs="Arial"/>
          <w:b/>
          <w:i w:val="0"/>
          <w:sz w:val="22"/>
        </w:rPr>
        <w:t>social</w:t>
      </w:r>
      <w:r>
        <w:rPr>
          <w:rFonts w:ascii="Arial" w:hAnsi="Arial" w:cs="Arial"/>
          <w:b w:val="0"/>
          <w:i w:val="0"/>
          <w:sz w:val="22"/>
        </w:rPr>
        <w:t xml:space="preserve">, porque los técnicos independientes obtienen más clientes, pagos seguros y un incentivo para formalizarse; y </w:t>
      </w:r>
      <w:r>
        <w:rPr>
          <w:rFonts w:ascii="Arial" w:hAnsi="Arial" w:cs="Arial"/>
          <w:b/>
          <w:i w:val="0"/>
          <w:sz w:val="22"/>
        </w:rPr>
        <w:t>ecológico</w:t>
      </w:r>
      <w:r>
        <w:rPr>
          <w:rFonts w:ascii="Arial" w:hAnsi="Arial" w:cs="Arial"/>
          <w:b w:val="0"/>
          <w:i w:val="0"/>
          <w:sz w:val="22"/>
        </w:rPr>
        <w:t>, porque el mantenimiento preventivo y la reparación oportuna de fugas reducen el desperdicio de agua en los hogares.</w:t>
      </w:r>
    </w:p>
    <w:p>
      <w:pPr>
        <w:pStyle w:val="Ttulo1"/>
        <w:pageBreakBefore/>
      </w:pPr>
      <w:r>
        <w:rPr>
          <w:rFonts w:ascii="Arial" w:hAnsi="Arial"/>
        </w:rPr>
        <w:t>DIAGNÓSTICO: ANÁLISIS SEPTE</w:t>
      </w:r>
    </w:p>
    <w:p>
      <w:pPr>
        <w:spacing w:after="120" w:before="0" w:line="240" w:lineRule="auto"/>
        <w:jc w:val="both"/>
      </w:pPr>
      <w:r>
        <w:rPr>
          <w:rFonts w:ascii="Arial" w:hAnsi="Arial" w:cs="Arial"/>
          <w:b w:val="0"/>
          <w:i w:val="0"/>
          <w:sz w:val="22"/>
        </w:rPr>
        <w:t>Con el fin de identificar la oportunidad de mejora, se analizaron las cinco variables del entorno (social, económica, política, tecnológica y ecológica) relacionadas con la contratación de servicios para el hogar en condominios de Lima Metropolitana.</w:t>
      </w:r>
    </w:p>
    <w:p>
      <w:pPr>
        <w:pStyle w:val="Ttulo2"/>
      </w:pPr>
      <w:r>
        <w:rPr>
          <w:rFonts w:ascii="Arial" w:hAnsi="Arial"/>
        </w:rPr>
        <w:t>Variable social</w:t>
      </w:r>
    </w:p>
    <w:p>
      <w:pPr>
        <w:spacing w:after="120" w:before="0" w:line="240" w:lineRule="auto"/>
        <w:jc w:val="both"/>
      </w:pPr>
      <w:r>
        <w:rPr>
          <w:rFonts w:ascii="Arial" w:hAnsi="Arial" w:cs="Arial"/>
          <w:b/>
          <w:i w:val="0"/>
          <w:sz w:val="22"/>
        </w:rPr>
        <w:t>Crecimiento de la vivienda vertical.</w:t>
      </w:r>
      <w:r>
        <w:rPr>
          <w:rFonts w:ascii="Arial" w:hAnsi="Arial" w:cs="Arial"/>
          <w:b w:val="0"/>
          <w:i w:val="0"/>
          <w:sz w:val="22"/>
        </w:rPr>
        <w:t xml:space="preserve"> Según CAPECO, las ventas de vivienda en Lima Metropolitana crecieron 38,6 % en 2025 respecto al año anterior y superaron en 30,8 % el máximo registrado en 2013. Además, el 48,5 % de la oferta corresponde a proyectos de 20 a 30 pisos</w:t>
      </w:r>
      <w:r>
        <w:rPr>
          <w:rFonts w:ascii="Arial" w:hAnsi="Arial" w:cs="Arial"/>
          <w:b w:val="0"/>
          <w:i w:val="0"/>
          <w:sz w:val="22"/>
          <w:vertAlign w:val="superscript"/>
        </w:rPr>
        <w:footnoteReference w:id="3"/>
      </w:r>
      <w:r>
        <w:rPr>
          <w:rFonts w:ascii="Arial" w:hAnsi="Arial" w:cs="Arial"/>
          <w:b w:val="0"/>
          <w:i w:val="0"/>
          <w:sz w:val="22"/>
        </w:rPr>
        <w:t>. La tendencia continuó en 2026: entre enero y julio se vendieron 17 871 viviendas nuevas en Lima y Callao, 25,4 % más que en el mismo periodo de 2025, y los departamentos de dos y tres dormitorios concentraron cerca del 78 % de las operaciones</w:t>
      </w:r>
      <w:r>
        <w:rPr>
          <w:rFonts w:ascii="Arial" w:hAnsi="Arial" w:cs="Arial"/>
          <w:b w:val="0"/>
          <w:i w:val="0"/>
          <w:sz w:val="22"/>
          <w:vertAlign w:val="superscript"/>
        </w:rPr>
        <w:footnoteReference w:id="4"/>
      </w:r>
      <w:r>
        <w:rPr>
          <w:rFonts w:ascii="Arial" w:hAnsi="Arial" w:cs="Arial"/>
          <w:b w:val="0"/>
          <w:i w:val="0"/>
          <w:sz w:val="22"/>
        </w:rPr>
        <w:t>.</w:t>
      </w:r>
    </w:p>
    <w:p>
      <w:pPr>
        <w:spacing w:after="120" w:before="0" w:line="240" w:lineRule="auto"/>
        <w:jc w:val="both"/>
      </w:pPr>
      <w:r>
        <w:rPr>
          <w:rFonts w:ascii="Arial" w:hAnsi="Arial" w:cs="Arial"/>
          <w:b/>
          <w:i w:val="0"/>
          <w:sz w:val="22"/>
        </w:rPr>
        <w:t>Contratación basada en la confianza personal.</w:t>
      </w:r>
      <w:r>
        <w:rPr>
          <w:rFonts w:ascii="Arial" w:hAnsi="Arial" w:cs="Arial"/>
          <w:b w:val="0"/>
          <w:i w:val="0"/>
          <w:sz w:val="22"/>
        </w:rPr>
        <w:t xml:space="preserve"> Ante una tubería rota o una urgencia eléctrica, las familias suelen recurrir a la recomendación de un conocido, con el riesgo de contratar a desconocidos que podrían incluso estafarlas, según describe una nota de la Cámara de Comercio de Lima sobre este problema</w:t>
      </w:r>
      <w:r>
        <w:rPr>
          <w:rFonts w:ascii="Arial" w:hAnsi="Arial" w:cs="Arial"/>
          <w:b w:val="0"/>
          <w:i w:val="0"/>
          <w:sz w:val="22"/>
          <w:vertAlign w:val="superscript"/>
        </w:rPr>
        <w:footnoteReference w:id="5"/>
      </w:r>
      <w:r>
        <w:rPr>
          <w:rFonts w:ascii="Arial" w:hAnsi="Arial" w:cs="Arial"/>
          <w:b w:val="0"/>
          <w:i w:val="0"/>
          <w:sz w:val="22"/>
        </w:rPr>
        <w:t>.</w:t>
      </w:r>
    </w:p>
    <w:p>
      <w:pPr>
        <w:spacing w:after="120" w:before="0" w:line="240" w:lineRule="auto"/>
        <w:jc w:val="both"/>
      </w:pPr>
      <w:r>
        <w:rPr>
          <w:rFonts w:ascii="Arial" w:hAnsi="Arial" w:cs="Arial"/>
          <w:b/>
          <w:i w:val="0"/>
          <w:sz w:val="22"/>
        </w:rPr>
        <w:t>Oportunidad:</w:t>
      </w:r>
      <w:r>
        <w:rPr>
          <w:rFonts w:ascii="Arial" w:hAnsi="Arial" w:cs="Arial"/>
          <w:b w:val="0"/>
          <w:i w:val="0"/>
          <w:sz w:val="22"/>
        </w:rPr>
        <w:t xml:space="preserve"> más familias viviendo en edificios con áreas comunes, junta de propietarios y necesidades de mantenimiento compartidas. </w:t>
      </w:r>
      <w:r>
        <w:rPr>
          <w:rFonts w:ascii="Arial" w:hAnsi="Arial" w:cs="Arial"/>
          <w:b/>
          <w:i w:val="0"/>
          <w:sz w:val="22"/>
        </w:rPr>
        <w:t>Amenaza:</w:t>
      </w:r>
      <w:r>
        <w:rPr>
          <w:rFonts w:ascii="Arial" w:hAnsi="Arial" w:cs="Arial"/>
          <w:b w:val="0"/>
          <w:i w:val="0"/>
          <w:sz w:val="22"/>
        </w:rPr>
        <w:t xml:space="preserve"> la costumbre arraigada de contratar por recomendación directa.</w:t>
      </w:r>
    </w:p>
    <w:p>
      <w:pPr>
        <w:pStyle w:val="Ttulo2"/>
      </w:pPr>
      <w:r>
        <w:rPr>
          <w:rFonts w:ascii="Arial" w:hAnsi="Arial"/>
        </w:rPr>
        <w:t>Variable económica</w:t>
      </w:r>
    </w:p>
    <w:p>
      <w:pPr>
        <w:spacing w:after="120" w:before="0" w:line="240" w:lineRule="auto"/>
        <w:jc w:val="both"/>
      </w:pPr>
      <w:r>
        <w:rPr>
          <w:rFonts w:ascii="Arial" w:hAnsi="Arial" w:cs="Arial"/>
          <w:b/>
          <w:i w:val="0"/>
          <w:sz w:val="22"/>
        </w:rPr>
        <w:t>Alta informalidad laboral.</w:t>
      </w:r>
      <w:r>
        <w:rPr>
          <w:rFonts w:ascii="Arial" w:hAnsi="Arial" w:cs="Arial"/>
          <w:b w:val="0"/>
          <w:i w:val="0"/>
          <w:sz w:val="22"/>
        </w:rPr>
        <w:t xml:space="preserve"> Según el INEI, la tasa de empleo informal en el Perú fue de 70,7 % de la población ocupada en 2025</w:t>
      </w:r>
      <w:r>
        <w:rPr>
          <w:rFonts w:ascii="Arial" w:hAnsi="Arial" w:cs="Arial"/>
          <w:b w:val="0"/>
          <w:i w:val="0"/>
          <w:sz w:val="22"/>
          <w:vertAlign w:val="superscript"/>
        </w:rPr>
        <w:footnoteReference w:id="6"/>
      </w:r>
      <w:r>
        <w:rPr>
          <w:rFonts w:ascii="Arial" w:hAnsi="Arial" w:cs="Arial"/>
          <w:b w:val="0"/>
          <w:i w:val="0"/>
          <w:sz w:val="22"/>
        </w:rPr>
        <w:t>. En los negocios de 1 a 10 trabajadores, el empleo informal alcanzó el 88,3 % entre abril de 2025 y marzo de 2026</w:t>
      </w:r>
      <w:r>
        <w:rPr>
          <w:rFonts w:ascii="Arial" w:hAnsi="Arial" w:cs="Arial"/>
          <w:b w:val="0"/>
          <w:i w:val="0"/>
          <w:sz w:val="22"/>
          <w:vertAlign w:val="superscript"/>
        </w:rPr>
        <w:footnoteReference w:id="7"/>
      </w:r>
      <w:r>
        <w:rPr>
          <w:rFonts w:ascii="Arial" w:hAnsi="Arial" w:cs="Arial"/>
          <w:b w:val="0"/>
          <w:i w:val="0"/>
          <w:sz w:val="22"/>
        </w:rPr>
        <w:t>. La mayoría de gasfiteros, electricistas y personal de limpieza trabaja de forma independiente, sin emitir comprobantes ni ofrecer garantía.</w:t>
      </w:r>
    </w:p>
    <w:p>
      <w:pPr>
        <w:spacing w:after="120" w:before="0" w:line="240" w:lineRule="auto"/>
        <w:jc w:val="both"/>
      </w:pPr>
      <w:r>
        <w:rPr>
          <w:rFonts w:ascii="Arial" w:hAnsi="Arial" w:cs="Arial"/>
          <w:b/>
          <w:i w:val="0"/>
          <w:sz w:val="22"/>
        </w:rPr>
        <w:t>Existencia de una oferta formal de referencia.</w:t>
      </w:r>
      <w:r>
        <w:rPr>
          <w:rFonts w:ascii="Arial" w:hAnsi="Arial" w:cs="Arial"/>
          <w:b w:val="0"/>
          <w:i w:val="0"/>
          <w:sz w:val="22"/>
        </w:rPr>
        <w:t xml:space="preserve"> Las grandes tiendas de mejoramiento del hogar ofrecen servicios técnicos a domicilio; por ejemplo, Sodimac publica un servicio de especialista en electricidad y gasfitería por 4 horas a S/ 180, sin incluir materiales</w:t>
      </w:r>
      <w:r>
        <w:rPr>
          <w:rFonts w:ascii="Arial" w:hAnsi="Arial" w:cs="Arial"/>
          <w:b w:val="0"/>
          <w:i w:val="0"/>
          <w:sz w:val="22"/>
          <w:vertAlign w:val="superscript"/>
        </w:rPr>
        <w:footnoteReference w:id="8"/>
      </w:r>
      <w:r>
        <w:rPr>
          <w:rFonts w:ascii="Arial" w:hAnsi="Arial" w:cs="Arial"/>
          <w:b w:val="0"/>
          <w:i w:val="0"/>
          <w:sz w:val="22"/>
        </w:rPr>
        <w:t>. Esto muestra que existe un público dispuesto a pagar por un servicio formal y con respaldo.</w:t>
      </w:r>
    </w:p>
    <w:p>
      <w:pPr>
        <w:spacing w:after="120" w:before="0" w:line="240" w:lineRule="auto"/>
        <w:jc w:val="both"/>
      </w:pPr>
      <w:r>
        <w:rPr>
          <w:rFonts w:ascii="Arial" w:hAnsi="Arial" w:cs="Arial"/>
          <w:b/>
          <w:i w:val="0"/>
          <w:sz w:val="22"/>
        </w:rPr>
        <w:t>Oportunidad:</w:t>
      </w:r>
      <w:r>
        <w:rPr>
          <w:rFonts w:ascii="Arial" w:hAnsi="Arial" w:cs="Arial"/>
          <w:b w:val="0"/>
          <w:i w:val="0"/>
          <w:sz w:val="22"/>
        </w:rPr>
        <w:t xml:space="preserve"> ofrecer a los técnicos independientes más demanda y una vía hacia la formalización, y a los clientes, precios claros. </w:t>
      </w:r>
      <w:r>
        <w:rPr>
          <w:rFonts w:ascii="Arial" w:hAnsi="Arial" w:cs="Arial"/>
          <w:b/>
          <w:i w:val="0"/>
          <w:sz w:val="22"/>
        </w:rPr>
        <w:t>Amenaza:</w:t>
      </w:r>
      <w:r>
        <w:rPr>
          <w:rFonts w:ascii="Arial" w:hAnsi="Arial" w:cs="Arial"/>
          <w:b w:val="0"/>
          <w:i w:val="0"/>
          <w:sz w:val="22"/>
        </w:rPr>
        <w:t xml:space="preserve"> la competencia en precio de técnicos informales que cobran menos por no asumir costos de formalidad.</w:t>
      </w:r>
    </w:p>
    <w:p>
      <w:pPr>
        <w:pStyle w:val="Ttulo2"/>
      </w:pPr>
      <w:r>
        <w:rPr>
          <w:rFonts w:ascii="Arial" w:hAnsi="Arial"/>
        </w:rPr>
        <w:t>Variable política y legal</w:t>
      </w:r>
    </w:p>
    <w:p>
      <w:pPr>
        <w:spacing w:after="120" w:before="0" w:line="240" w:lineRule="auto"/>
        <w:jc w:val="both"/>
      </w:pPr>
      <w:r>
        <w:rPr>
          <w:rFonts w:ascii="Arial" w:hAnsi="Arial" w:cs="Arial"/>
          <w:b/>
          <w:i w:val="0"/>
          <w:sz w:val="22"/>
        </w:rPr>
        <w:t>Marco de la propiedad horizontal.</w:t>
      </w:r>
      <w:r>
        <w:rPr>
          <w:rFonts w:ascii="Arial" w:hAnsi="Arial" w:cs="Arial"/>
          <w:b w:val="0"/>
          <w:i w:val="0"/>
          <w:sz w:val="22"/>
        </w:rPr>
        <w:t xml:space="preserve"> La Ley N.° 27157 regula el régimen de unidades inmobiliarias de propiedad exclusiva y de propiedad común, en el que la junta de propietarios gestiona los bienes y servicios comunes del edificio</w:t>
      </w:r>
      <w:r>
        <w:rPr>
          <w:rFonts w:ascii="Arial" w:hAnsi="Arial" w:cs="Arial"/>
          <w:b w:val="0"/>
          <w:i w:val="0"/>
          <w:sz w:val="22"/>
          <w:vertAlign w:val="superscript"/>
        </w:rPr>
        <w:footnoteReference w:id="9"/>
      </w:r>
      <w:r>
        <w:rPr>
          <w:rFonts w:ascii="Arial" w:hAnsi="Arial" w:cs="Arial"/>
          <w:b w:val="0"/>
          <w:i w:val="0"/>
          <w:sz w:val="22"/>
        </w:rPr>
        <w:t>. Esto permite que la junta actúe como cliente institucional para servicios de áreas comunes.</w:t>
      </w:r>
    </w:p>
    <w:p>
      <w:pPr>
        <w:spacing w:after="120" w:before="0" w:line="240" w:lineRule="auto"/>
        <w:jc w:val="both"/>
      </w:pPr>
      <w:r>
        <w:rPr>
          <w:rFonts w:ascii="Arial" w:hAnsi="Arial" w:cs="Arial"/>
          <w:b/>
          <w:i w:val="0"/>
          <w:sz w:val="22"/>
        </w:rPr>
        <w:t>Protección del consumidor y de los datos personales.</w:t>
      </w:r>
      <w:r>
        <w:rPr>
          <w:rFonts w:ascii="Arial" w:hAnsi="Arial" w:cs="Arial"/>
          <w:b w:val="0"/>
          <w:i w:val="0"/>
          <w:sz w:val="22"/>
        </w:rPr>
        <w:t xml:space="preserve"> Una plataforma de servicios debe cumplir el Código de Protección y Defensa del Consumidor (Ley N.° 29571)</w:t>
      </w:r>
      <w:r>
        <w:rPr>
          <w:rFonts w:ascii="Arial" w:hAnsi="Arial" w:cs="Arial"/>
          <w:b w:val="0"/>
          <w:i w:val="0"/>
          <w:sz w:val="22"/>
          <w:vertAlign w:val="superscript"/>
        </w:rPr>
        <w:footnoteReference w:id="10"/>
      </w:r>
      <w:r>
        <w:rPr>
          <w:rFonts w:ascii="Arial" w:hAnsi="Arial" w:cs="Arial"/>
          <w:b w:val="0"/>
          <w:i w:val="0"/>
          <w:sz w:val="22"/>
        </w:rPr>
        <w:t>, que exige información clara sobre precios y condiciones, y la Ley de Protección de Datos Personales (Ley N.° 29733)</w:t>
      </w:r>
      <w:r>
        <w:rPr>
          <w:rFonts w:ascii="Arial" w:hAnsi="Arial" w:cs="Arial"/>
          <w:b w:val="0"/>
          <w:i w:val="0"/>
          <w:sz w:val="22"/>
          <w:vertAlign w:val="superscript"/>
        </w:rPr>
        <w:footnoteReference w:id="11"/>
      </w:r>
      <w:r>
        <w:rPr>
          <w:rFonts w:ascii="Arial" w:hAnsi="Arial" w:cs="Arial"/>
          <w:b w:val="0"/>
          <w:i w:val="0"/>
          <w:sz w:val="22"/>
        </w:rPr>
        <w:t>, porque la aplicación manejará direcciones, teléfonos y documentos de identidad de usuarios y técnicos.</w:t>
      </w:r>
    </w:p>
    <w:p>
      <w:pPr>
        <w:spacing w:after="120" w:before="0" w:line="240" w:lineRule="auto"/>
        <w:jc w:val="both"/>
      </w:pPr>
      <w:r>
        <w:rPr>
          <w:rFonts w:ascii="Arial" w:hAnsi="Arial" w:cs="Arial"/>
          <w:b/>
          <w:i w:val="0"/>
          <w:sz w:val="22"/>
        </w:rPr>
        <w:t>Agenda de formalización.</w:t>
      </w:r>
      <w:r>
        <w:rPr>
          <w:rFonts w:ascii="Arial" w:hAnsi="Arial" w:cs="Arial"/>
          <w:b w:val="0"/>
          <w:i w:val="0"/>
          <w:sz w:val="22"/>
        </w:rPr>
        <w:t xml:space="preserve"> Desde abril de 2026 el Perú cuenta con la Estrategia Nacional de Formalización Laboral 2026-2040, elaborada con asistencia técnica de la OIT, y la formalización del empleo se señala como uno de los principales desafíos del nuevo gobierno</w:t>
      </w:r>
      <w:r>
        <w:rPr>
          <w:rFonts w:ascii="Arial" w:hAnsi="Arial" w:cs="Arial"/>
          <w:b w:val="0"/>
          <w:i w:val="0"/>
          <w:sz w:val="22"/>
          <w:vertAlign w:val="superscript"/>
        </w:rPr>
        <w:footnoteReference w:id="12"/>
      </w:r>
      <w:r>
        <w:rPr>
          <w:rFonts w:ascii="Arial" w:hAnsi="Arial" w:cs="Arial"/>
          <w:b w:val="0"/>
          <w:i w:val="0"/>
          <w:sz w:val="22"/>
        </w:rPr>
        <w:t>.</w:t>
      </w:r>
    </w:p>
    <w:p>
      <w:pPr>
        <w:spacing w:after="120" w:before="0" w:line="240" w:lineRule="auto"/>
        <w:jc w:val="both"/>
      </w:pPr>
      <w:r>
        <w:rPr>
          <w:rFonts w:ascii="Arial" w:hAnsi="Arial" w:cs="Arial"/>
          <w:b/>
          <w:i w:val="0"/>
          <w:sz w:val="22"/>
        </w:rPr>
        <w:t>Oportunidad:</w:t>
      </w:r>
      <w:r>
        <w:rPr>
          <w:rFonts w:ascii="Arial" w:hAnsi="Arial" w:cs="Arial"/>
          <w:b w:val="0"/>
          <w:i w:val="0"/>
          <w:sz w:val="22"/>
        </w:rPr>
        <w:t xml:space="preserve"> un entorno normativo que favorece la formalización y reconoce a la junta de propietarios. </w:t>
      </w:r>
      <w:r>
        <w:rPr>
          <w:rFonts w:ascii="Arial" w:hAnsi="Arial" w:cs="Arial"/>
          <w:b/>
          <w:i w:val="0"/>
          <w:sz w:val="22"/>
        </w:rPr>
        <w:t>Amenaza:</w:t>
      </w:r>
      <w:r>
        <w:rPr>
          <w:rFonts w:ascii="Arial" w:hAnsi="Arial" w:cs="Arial"/>
          <w:b w:val="0"/>
          <w:i w:val="0"/>
          <w:sz w:val="22"/>
        </w:rPr>
        <w:t xml:space="preserve"> costos de cumplimiento normativo (libro de reclamaciones, protección de datos) y posibles cambios regulatorios para plataformas digitales.</w:t>
      </w:r>
    </w:p>
    <w:p>
      <w:pPr>
        <w:pStyle w:val="Ttulo2"/>
      </w:pPr>
      <w:r>
        <w:rPr>
          <w:rFonts w:ascii="Arial" w:hAnsi="Arial"/>
        </w:rPr>
        <w:t>Variable tecnológica</w:t>
      </w:r>
    </w:p>
    <w:p>
      <w:pPr>
        <w:spacing w:after="120" w:before="0" w:line="240" w:lineRule="auto"/>
        <w:jc w:val="both"/>
      </w:pPr>
      <w:r>
        <w:rPr>
          <w:rFonts w:ascii="Arial" w:hAnsi="Arial" w:cs="Arial"/>
          <w:b/>
          <w:i w:val="0"/>
          <w:sz w:val="22"/>
        </w:rPr>
        <w:t>Uso masivo del celular e internet.</w:t>
      </w:r>
      <w:r>
        <w:rPr>
          <w:rFonts w:ascii="Arial" w:hAnsi="Arial" w:cs="Arial"/>
          <w:b w:val="0"/>
          <w:i w:val="0"/>
          <w:sz w:val="22"/>
        </w:rPr>
        <w:t xml:space="preserve"> Según la ENAHO del INEI, en el cuarto trimestre de 2025 el 98,4 % de los hogares de Lima Metropolitana contaba con telefonía móvil, el 90,3 % de su población de 6 a más años usaba internet y el 78,2 % de sus hogares tenía servicio de internet. A nivel nacional, el 89,2 % de los usuarios de internet accedía a través del celular</w:t>
      </w:r>
      <w:r>
        <w:rPr>
          <w:rFonts w:ascii="Arial" w:hAnsi="Arial" w:cs="Arial"/>
          <w:b w:val="0"/>
          <w:i w:val="0"/>
          <w:sz w:val="22"/>
          <w:vertAlign w:val="superscript"/>
        </w:rPr>
        <w:footnoteReference w:id="13"/>
      </w:r>
      <w:r>
        <w:rPr>
          <w:rFonts w:ascii="Arial" w:hAnsi="Arial" w:cs="Arial"/>
          <w:b w:val="0"/>
          <w:i w:val="0"/>
          <w:sz w:val="22"/>
        </w:rPr>
        <w:t>. Además, en el tercer trimestre de 2025 el 94,2 % de las personas de 25 a 40 años usaba internet</w:t>
      </w:r>
      <w:r>
        <w:rPr>
          <w:rFonts w:ascii="Arial" w:hAnsi="Arial" w:cs="Arial"/>
          <w:b w:val="0"/>
          <w:i w:val="0"/>
          <w:sz w:val="22"/>
          <w:vertAlign w:val="superscript"/>
        </w:rPr>
        <w:footnoteReference w:id="14"/>
      </w:r>
      <w:r>
        <w:rPr>
          <w:rFonts w:ascii="Arial" w:hAnsi="Arial" w:cs="Arial"/>
          <w:b w:val="0"/>
          <w:i w:val="0"/>
          <w:sz w:val="22"/>
        </w:rPr>
        <w:t>.</w:t>
      </w:r>
    </w:p>
    <w:p>
      <w:pPr>
        <w:spacing w:after="120" w:before="0" w:line="240" w:lineRule="auto"/>
        <w:jc w:val="both"/>
      </w:pPr>
      <w:r>
        <w:rPr>
          <w:rFonts w:ascii="Arial" w:hAnsi="Arial" w:cs="Arial"/>
          <w:b/>
          <w:i w:val="0"/>
          <w:sz w:val="22"/>
        </w:rPr>
        <w:t>Pagos digitales.</w:t>
      </w:r>
      <w:r>
        <w:rPr>
          <w:rFonts w:ascii="Arial" w:hAnsi="Arial" w:cs="Arial"/>
          <w:b w:val="0"/>
          <w:i w:val="0"/>
          <w:sz w:val="22"/>
        </w:rPr>
        <w:t xml:space="preserve"> La difusión de billeteras digitales como Yape y Plin, y de pasarelas de pago locales, facilita cobrar dentro de la aplicación sin manejo de efectivo.</w:t>
      </w:r>
    </w:p>
    <w:p>
      <w:pPr>
        <w:spacing w:after="120" w:before="0" w:line="240" w:lineRule="auto"/>
        <w:jc w:val="both"/>
      </w:pPr>
      <w:r>
        <w:rPr>
          <w:rFonts w:ascii="Arial" w:hAnsi="Arial" w:cs="Arial"/>
          <w:b/>
          <w:i w:val="0"/>
          <w:sz w:val="22"/>
        </w:rPr>
        <w:t>Oportunidad:</w:t>
      </w:r>
      <w:r>
        <w:rPr>
          <w:rFonts w:ascii="Arial" w:hAnsi="Arial" w:cs="Arial"/>
          <w:b w:val="0"/>
          <w:i w:val="0"/>
          <w:sz w:val="22"/>
        </w:rPr>
        <w:t xml:space="preserve"> el público objetivo ya usa el celular para comunicarse y pagar, por lo que adoptar una nueva aplicación requiere poco esfuerzo. </w:t>
      </w:r>
      <w:r>
        <w:rPr>
          <w:rFonts w:ascii="Arial" w:hAnsi="Arial" w:cs="Arial"/>
          <w:b/>
          <w:i w:val="0"/>
          <w:sz w:val="22"/>
        </w:rPr>
        <w:t>Amenaza:</w:t>
      </w:r>
      <w:r>
        <w:rPr>
          <w:rFonts w:ascii="Arial" w:hAnsi="Arial" w:cs="Arial"/>
          <w:b w:val="0"/>
          <w:i w:val="0"/>
          <w:sz w:val="22"/>
        </w:rPr>
        <w:t xml:space="preserve"> el ingreso de plataformas tecnológicas con mayor capital, y el riesgo de ciberataques o fallas del sistema.</w:t>
      </w:r>
    </w:p>
    <w:p>
      <w:pPr>
        <w:pStyle w:val="Ttulo2"/>
      </w:pPr>
      <w:r>
        <w:rPr>
          <w:rFonts w:ascii="Arial" w:hAnsi="Arial"/>
        </w:rPr>
        <w:t>Variable ecológica</w:t>
      </w:r>
    </w:p>
    <w:p>
      <w:pPr>
        <w:spacing w:after="120" w:before="0" w:line="240" w:lineRule="auto"/>
        <w:jc w:val="both"/>
      </w:pPr>
      <w:r>
        <w:rPr>
          <w:rFonts w:ascii="Arial" w:hAnsi="Arial" w:cs="Arial"/>
          <w:b/>
          <w:i w:val="0"/>
          <w:sz w:val="22"/>
        </w:rPr>
        <w:t>Desperdicio de agua por fugas domésticas.</w:t>
      </w:r>
      <w:r>
        <w:rPr>
          <w:rFonts w:ascii="Arial" w:hAnsi="Arial" w:cs="Arial"/>
          <w:b w:val="0"/>
          <w:i w:val="0"/>
          <w:sz w:val="22"/>
        </w:rPr>
        <w:t xml:space="preserve"> Según información de la Sunass y Sedapal difundida en 2026, un caño con goteo constante puede perder 22 000 litros al mes (S/ 107,26 adicionales en el recibo), un inodoro con fuga hasta 150 000 litros (hasta S/ 1 554,65) y un tanque elevado con filtraciones hasta 300 000 litros (S/ 3 468,02). Asimismo, el 65 % del consumo de agua de los hogares se concentra en los baños</w:t>
      </w:r>
      <w:r>
        <w:rPr>
          <w:rFonts w:ascii="Arial" w:hAnsi="Arial" w:cs="Arial"/>
          <w:b w:val="0"/>
          <w:i w:val="0"/>
          <w:sz w:val="22"/>
          <w:vertAlign w:val="superscript"/>
        </w:rPr>
        <w:footnoteReference w:id="15"/>
      </w:r>
      <w:r>
        <w:rPr>
          <w:rFonts w:ascii="Arial" w:hAnsi="Arial" w:cs="Arial"/>
          <w:b w:val="0"/>
          <w:i w:val="0"/>
          <w:sz w:val="22"/>
        </w:rPr>
        <w:t>.</w:t>
      </w:r>
    </w:p>
    <w:p>
      <w:pPr>
        <w:spacing w:after="120" w:before="0" w:line="240" w:lineRule="auto"/>
        <w:jc w:val="both"/>
      </w:pPr>
      <w:r>
        <w:rPr>
          <w:rFonts w:ascii="Arial" w:hAnsi="Arial" w:cs="Arial"/>
          <w:b/>
          <w:i w:val="0"/>
          <w:sz w:val="22"/>
        </w:rPr>
        <w:t>Oportunidad:</w:t>
      </w:r>
      <w:r>
        <w:rPr>
          <w:rFonts w:ascii="Arial" w:hAnsi="Arial" w:cs="Arial"/>
          <w:b w:val="0"/>
          <w:i w:val="0"/>
          <w:sz w:val="22"/>
        </w:rPr>
        <w:t xml:space="preserve"> el mantenimiento preventivo programado y la reparación rápida de fugas generan ahorro económico para las familias y un beneficio ambiental medible; además, agrupar servicios en un mismo condominio reduce los traslados de los técnicos. </w:t>
      </w:r>
      <w:r>
        <w:rPr>
          <w:rFonts w:ascii="Arial" w:hAnsi="Arial" w:cs="Arial"/>
          <w:b/>
          <w:i w:val="0"/>
          <w:sz w:val="22"/>
        </w:rPr>
        <w:t>Amenaza:</w:t>
      </w:r>
      <w:r>
        <w:rPr>
          <w:rFonts w:ascii="Arial" w:hAnsi="Arial" w:cs="Arial"/>
          <w:b w:val="0"/>
          <w:i w:val="0"/>
          <w:sz w:val="22"/>
        </w:rPr>
        <w:t xml:space="preserve"> baja cultura de mantenimiento preventivo, ya que muchas familias solo llaman al técnico cuando el problema es grave.</w:t>
      </w:r>
    </w:p>
    <w:p>
      <w:pPr>
        <w:pStyle w:val="Ttulo2"/>
      </w:pPr>
      <w:r>
        <w:rPr>
          <w:rFonts w:ascii="Arial" w:hAnsi="Arial"/>
        </w:rPr>
        <w:t>Síntesis del diagnóstico</w:t>
      </w:r>
    </w:p>
    <w:tbl>
      <w:tblPr>
        <w:tblW w:type="dxa" w:w="8505"/>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360"/>
        <w:gridCol w:w="2608"/>
        <w:gridCol w:w="2268"/>
        <w:gridCol w:w="2268"/>
      </w:tblGrid>
      <w:tr>
        <w:trPr>
          <w:cantSplit/>
          <w:tblHeader/>
        </w:trPr>
        <w:tc>
          <w:tcPr>
            <w:tcW w:type="dxa" w:w="1361"/>
            <w:shd w:val="clear" w:color="auto" w:fill="D9E2F3"/>
          </w:tcPr>
          <w:p>
            <w:pPr>
              <w:keepNext/>
              <w:spacing w:after="0" w:before="0" w:line="240" w:lineRule="auto"/>
              <w:jc w:val="left"/>
            </w:pPr>
            <w:r>
              <w:rPr>
                <w:rFonts w:ascii="Arial" w:hAnsi="Arial" w:cs="Arial"/>
                <w:b/>
                <w:i w:val="0"/>
                <w:sz w:val="19"/>
              </w:rPr>
              <w:t>Variable</w:t>
            </w:r>
          </w:p>
        </w:tc>
        <w:tc>
          <w:tcPr>
            <w:tcW w:type="dxa" w:w="2608"/>
            <w:shd w:val="clear" w:color="auto" w:fill="D9E2F3"/>
          </w:tcPr>
          <w:p>
            <w:pPr>
              <w:keepNext/>
              <w:spacing w:after="0" w:before="0" w:line="240" w:lineRule="auto"/>
              <w:jc w:val="left"/>
            </w:pPr>
            <w:r>
              <w:rPr>
                <w:rFonts w:ascii="Arial" w:hAnsi="Arial" w:cs="Arial"/>
                <w:b/>
                <w:i w:val="0"/>
                <w:sz w:val="19"/>
              </w:rPr>
              <w:t>Hallazgo principal</w:t>
            </w:r>
          </w:p>
        </w:tc>
        <w:tc>
          <w:tcPr>
            <w:tcW w:type="dxa" w:w="2268"/>
            <w:shd w:val="clear" w:color="auto" w:fill="D9E2F3"/>
          </w:tcPr>
          <w:p>
            <w:pPr>
              <w:keepNext/>
              <w:spacing w:after="0" w:before="0" w:line="240" w:lineRule="auto"/>
              <w:jc w:val="left"/>
            </w:pPr>
            <w:r>
              <w:rPr>
                <w:rFonts w:ascii="Arial" w:hAnsi="Arial" w:cs="Arial"/>
                <w:b/>
                <w:i w:val="0"/>
                <w:sz w:val="19"/>
              </w:rPr>
              <w:t>Oportunidad</w:t>
            </w:r>
          </w:p>
        </w:tc>
        <w:tc>
          <w:tcPr>
            <w:tcW w:type="dxa" w:w="2268"/>
            <w:shd w:val="clear" w:color="auto" w:fill="D9E2F3"/>
          </w:tcPr>
          <w:p>
            <w:pPr>
              <w:keepNext/>
              <w:spacing w:after="0" w:before="0" w:line="240" w:lineRule="auto"/>
              <w:jc w:val="left"/>
            </w:pPr>
            <w:r>
              <w:rPr>
                <w:rFonts w:ascii="Arial" w:hAnsi="Arial" w:cs="Arial"/>
                <w:b/>
                <w:i w:val="0"/>
                <w:sz w:val="19"/>
              </w:rPr>
              <w:t>Amenaza</w:t>
            </w:r>
          </w:p>
        </w:tc>
      </w:tr>
      <w:tr>
        <w:trPr>
          <w:cantSplit/>
        </w:trPr>
        <w:tc>
          <w:tcPr>
            <w:tcW w:type="dxa" w:w="1361"/>
          </w:tcPr>
          <w:p>
            <w:pPr>
              <w:keepNext/>
              <w:spacing w:after="0" w:before="0" w:line="240" w:lineRule="auto"/>
              <w:jc w:val="left"/>
            </w:pPr>
            <w:r>
              <w:rPr>
                <w:rFonts w:ascii="Arial" w:hAnsi="Arial" w:cs="Arial"/>
                <w:b w:val="0"/>
                <w:i w:val="0"/>
                <w:sz w:val="19"/>
              </w:rPr>
              <w:t>Social</w:t>
            </w:r>
          </w:p>
        </w:tc>
        <w:tc>
          <w:tcPr>
            <w:tcW w:type="dxa" w:w="2608"/>
          </w:tcPr>
          <w:p>
            <w:pPr>
              <w:keepNext/>
              <w:spacing w:after="0" w:before="0" w:line="240" w:lineRule="auto"/>
              <w:jc w:val="left"/>
            </w:pPr>
            <w:r>
              <w:rPr>
                <w:rFonts w:ascii="Arial" w:hAnsi="Arial" w:cs="Arial"/>
                <w:b w:val="0"/>
                <w:i w:val="0"/>
                <w:sz w:val="19"/>
              </w:rPr>
              <w:t>Récord de venta de viviendas en edificios; contratación por recomendación</w:t>
            </w:r>
          </w:p>
        </w:tc>
        <w:tc>
          <w:tcPr>
            <w:tcW w:type="dxa" w:w="2268"/>
          </w:tcPr>
          <w:p>
            <w:pPr>
              <w:keepNext/>
              <w:spacing w:after="0" w:before="0" w:line="240" w:lineRule="auto"/>
              <w:jc w:val="left"/>
            </w:pPr>
            <w:r>
              <w:rPr>
                <w:rFonts w:ascii="Arial" w:hAnsi="Arial" w:cs="Arial"/>
                <w:b w:val="0"/>
                <w:i w:val="0"/>
                <w:sz w:val="19"/>
              </w:rPr>
              <w:t>Mercado creciente de familias en condominios</w:t>
            </w:r>
          </w:p>
        </w:tc>
        <w:tc>
          <w:tcPr>
            <w:tcW w:type="dxa" w:w="2268"/>
          </w:tcPr>
          <w:p>
            <w:pPr>
              <w:keepNext/>
              <w:spacing w:after="0" w:before="0" w:line="240" w:lineRule="auto"/>
              <w:jc w:val="left"/>
            </w:pPr>
            <w:r>
              <w:rPr>
                <w:rFonts w:ascii="Arial" w:hAnsi="Arial" w:cs="Arial"/>
                <w:b w:val="0"/>
                <w:i w:val="0"/>
                <w:sz w:val="19"/>
              </w:rPr>
              <w:t>Hábito de contratar por conocidos</w:t>
            </w:r>
          </w:p>
        </w:tc>
      </w:tr>
      <w:tr>
        <w:trPr>
          <w:cantSplit/>
        </w:trPr>
        <w:tc>
          <w:tcPr>
            <w:tcW w:type="dxa" w:w="1361"/>
          </w:tcPr>
          <w:p>
            <w:pPr>
              <w:keepNext/>
              <w:spacing w:after="0" w:before="0" w:line="240" w:lineRule="auto"/>
              <w:jc w:val="left"/>
            </w:pPr>
            <w:r>
              <w:rPr>
                <w:rFonts w:ascii="Arial" w:hAnsi="Arial" w:cs="Arial"/>
                <w:b w:val="0"/>
                <w:i w:val="0"/>
                <w:sz w:val="19"/>
              </w:rPr>
              <w:t>Económica</w:t>
            </w:r>
          </w:p>
        </w:tc>
        <w:tc>
          <w:tcPr>
            <w:tcW w:type="dxa" w:w="2608"/>
          </w:tcPr>
          <w:p>
            <w:pPr>
              <w:keepNext/>
              <w:spacing w:after="0" w:before="0" w:line="240" w:lineRule="auto"/>
              <w:jc w:val="left"/>
            </w:pPr>
            <w:r>
              <w:rPr>
                <w:rFonts w:ascii="Arial" w:hAnsi="Arial" w:cs="Arial"/>
                <w:b w:val="0"/>
                <w:i w:val="0"/>
                <w:sz w:val="19"/>
              </w:rPr>
              <w:t>Informalidad laboral cercana al 70 %; existe oferta formal de referencia</w:t>
            </w:r>
          </w:p>
        </w:tc>
        <w:tc>
          <w:tcPr>
            <w:tcW w:type="dxa" w:w="2268"/>
          </w:tcPr>
          <w:p>
            <w:pPr>
              <w:keepNext/>
              <w:spacing w:after="0" w:before="0" w:line="240" w:lineRule="auto"/>
              <w:jc w:val="left"/>
            </w:pPr>
            <w:r>
              <w:rPr>
                <w:rFonts w:ascii="Arial" w:hAnsi="Arial" w:cs="Arial"/>
                <w:b w:val="0"/>
                <w:i w:val="0"/>
                <w:sz w:val="19"/>
              </w:rPr>
              <w:t>Formalizar técnicos y ofrecer precios claros</w:t>
            </w:r>
          </w:p>
        </w:tc>
        <w:tc>
          <w:tcPr>
            <w:tcW w:type="dxa" w:w="2268"/>
          </w:tcPr>
          <w:p>
            <w:pPr>
              <w:keepNext/>
              <w:spacing w:after="0" w:before="0" w:line="240" w:lineRule="auto"/>
              <w:jc w:val="left"/>
            </w:pPr>
            <w:r>
              <w:rPr>
                <w:rFonts w:ascii="Arial" w:hAnsi="Arial" w:cs="Arial"/>
                <w:b w:val="0"/>
                <w:i w:val="0"/>
                <w:sz w:val="19"/>
              </w:rPr>
              <w:t>Competencia en precio de informales</w:t>
            </w:r>
          </w:p>
        </w:tc>
      </w:tr>
      <w:tr>
        <w:trPr>
          <w:cantSplit/>
        </w:trPr>
        <w:tc>
          <w:tcPr>
            <w:tcW w:type="dxa" w:w="1361"/>
          </w:tcPr>
          <w:p>
            <w:pPr>
              <w:keepNext/>
              <w:spacing w:after="0" w:before="0" w:line="240" w:lineRule="auto"/>
              <w:jc w:val="left"/>
            </w:pPr>
            <w:r>
              <w:rPr>
                <w:rFonts w:ascii="Arial" w:hAnsi="Arial" w:cs="Arial"/>
                <w:b w:val="0"/>
                <w:i w:val="0"/>
                <w:sz w:val="19"/>
              </w:rPr>
              <w:t>Política</w:t>
            </w:r>
          </w:p>
        </w:tc>
        <w:tc>
          <w:tcPr>
            <w:tcW w:type="dxa" w:w="2608"/>
          </w:tcPr>
          <w:p>
            <w:pPr>
              <w:keepNext/>
              <w:spacing w:after="0" w:before="0" w:line="240" w:lineRule="auto"/>
              <w:jc w:val="left"/>
            </w:pPr>
            <w:r>
              <w:rPr>
                <w:rFonts w:ascii="Arial" w:hAnsi="Arial" w:cs="Arial"/>
                <w:b w:val="0"/>
                <w:i w:val="0"/>
                <w:sz w:val="19"/>
              </w:rPr>
              <w:t>Ley 27157, Código del Consumidor, Ley de Datos Personales, estrategia de formalización</w:t>
            </w:r>
          </w:p>
        </w:tc>
        <w:tc>
          <w:tcPr>
            <w:tcW w:type="dxa" w:w="2268"/>
          </w:tcPr>
          <w:p>
            <w:pPr>
              <w:keepNext/>
              <w:spacing w:after="0" w:before="0" w:line="240" w:lineRule="auto"/>
              <w:jc w:val="left"/>
            </w:pPr>
            <w:r>
              <w:rPr>
                <w:rFonts w:ascii="Arial" w:hAnsi="Arial" w:cs="Arial"/>
                <w:b w:val="0"/>
                <w:i w:val="0"/>
                <w:sz w:val="19"/>
              </w:rPr>
              <w:t>Junta de propietarios como cliente; agenda de formalización</w:t>
            </w:r>
          </w:p>
        </w:tc>
        <w:tc>
          <w:tcPr>
            <w:tcW w:type="dxa" w:w="2268"/>
          </w:tcPr>
          <w:p>
            <w:pPr>
              <w:keepNext/>
              <w:spacing w:after="0" w:before="0" w:line="240" w:lineRule="auto"/>
              <w:jc w:val="left"/>
            </w:pPr>
            <w:r>
              <w:rPr>
                <w:rFonts w:ascii="Arial" w:hAnsi="Arial" w:cs="Arial"/>
                <w:b w:val="0"/>
                <w:i w:val="0"/>
                <w:sz w:val="19"/>
              </w:rPr>
              <w:t>Costos de cumplimiento y cambios regulatorios</w:t>
            </w:r>
          </w:p>
        </w:tc>
      </w:tr>
      <w:tr>
        <w:trPr>
          <w:cantSplit/>
        </w:trPr>
        <w:tc>
          <w:tcPr>
            <w:tcW w:type="dxa" w:w="1361"/>
          </w:tcPr>
          <w:p>
            <w:pPr>
              <w:keepNext/>
              <w:spacing w:after="0" w:before="0" w:line="240" w:lineRule="auto"/>
              <w:jc w:val="left"/>
            </w:pPr>
            <w:r>
              <w:rPr>
                <w:rFonts w:ascii="Arial" w:hAnsi="Arial" w:cs="Arial"/>
                <w:b w:val="0"/>
                <w:i w:val="0"/>
                <w:sz w:val="19"/>
              </w:rPr>
              <w:t>Tecnológica</w:t>
            </w:r>
          </w:p>
        </w:tc>
        <w:tc>
          <w:tcPr>
            <w:tcW w:type="dxa" w:w="2608"/>
          </w:tcPr>
          <w:p>
            <w:pPr>
              <w:keepNext/>
              <w:spacing w:after="0" w:before="0" w:line="240" w:lineRule="auto"/>
              <w:jc w:val="left"/>
            </w:pPr>
            <w:r>
              <w:rPr>
                <w:rFonts w:ascii="Arial" w:hAnsi="Arial" w:cs="Arial"/>
                <w:b w:val="0"/>
                <w:i w:val="0"/>
                <w:sz w:val="19"/>
              </w:rPr>
              <w:t>Uso casi universal del celular e internet en Lima</w:t>
            </w:r>
          </w:p>
        </w:tc>
        <w:tc>
          <w:tcPr>
            <w:tcW w:type="dxa" w:w="2268"/>
          </w:tcPr>
          <w:p>
            <w:pPr>
              <w:keepNext/>
              <w:spacing w:after="0" w:before="0" w:line="240" w:lineRule="auto"/>
              <w:jc w:val="left"/>
            </w:pPr>
            <w:r>
              <w:rPr>
                <w:rFonts w:ascii="Arial" w:hAnsi="Arial" w:cs="Arial"/>
                <w:b w:val="0"/>
                <w:i w:val="0"/>
                <w:sz w:val="19"/>
              </w:rPr>
              <w:t>Adopción digital sencilla</w:t>
            </w:r>
          </w:p>
        </w:tc>
        <w:tc>
          <w:tcPr>
            <w:tcW w:type="dxa" w:w="2268"/>
          </w:tcPr>
          <w:p>
            <w:pPr>
              <w:keepNext/>
              <w:spacing w:after="0" w:before="0" w:line="240" w:lineRule="auto"/>
              <w:jc w:val="left"/>
            </w:pPr>
            <w:r>
              <w:rPr>
                <w:rFonts w:ascii="Arial" w:hAnsi="Arial" w:cs="Arial"/>
                <w:b w:val="0"/>
                <w:i w:val="0"/>
                <w:sz w:val="19"/>
              </w:rPr>
              <w:t>Competidores con más capital; ciberseguridad</w:t>
            </w:r>
          </w:p>
        </w:tc>
      </w:tr>
      <w:tr>
        <w:trPr>
          <w:cantSplit/>
        </w:trPr>
        <w:tc>
          <w:tcPr>
            <w:tcW w:type="dxa" w:w="1361"/>
          </w:tcPr>
          <w:p>
            <w:pPr>
              <w:spacing w:after="0" w:before="0" w:line="240" w:lineRule="auto"/>
              <w:jc w:val="left"/>
            </w:pPr>
            <w:r>
              <w:rPr>
                <w:rFonts w:ascii="Arial" w:hAnsi="Arial" w:cs="Arial"/>
                <w:b w:val="0"/>
                <w:i w:val="0"/>
                <w:sz w:val="19"/>
              </w:rPr>
              <w:t>Ecológica</w:t>
            </w:r>
          </w:p>
        </w:tc>
        <w:tc>
          <w:tcPr>
            <w:tcW w:type="dxa" w:w="2608"/>
          </w:tcPr>
          <w:p>
            <w:pPr>
              <w:spacing w:after="0" w:before="0" w:line="240" w:lineRule="auto"/>
              <w:jc w:val="left"/>
            </w:pPr>
            <w:r>
              <w:rPr>
                <w:rFonts w:ascii="Arial" w:hAnsi="Arial" w:cs="Arial"/>
                <w:b w:val="0"/>
                <w:i w:val="0"/>
                <w:sz w:val="19"/>
              </w:rPr>
              <w:t>Fugas domésticas generan alto desperdicio de agua</w:t>
            </w:r>
          </w:p>
        </w:tc>
        <w:tc>
          <w:tcPr>
            <w:tcW w:type="dxa" w:w="2268"/>
          </w:tcPr>
          <w:p>
            <w:pPr>
              <w:spacing w:after="0" w:before="0" w:line="240" w:lineRule="auto"/>
              <w:jc w:val="left"/>
            </w:pPr>
            <w:r>
              <w:rPr>
                <w:rFonts w:ascii="Arial" w:hAnsi="Arial" w:cs="Arial"/>
                <w:b w:val="0"/>
                <w:i w:val="0"/>
                <w:sz w:val="19"/>
              </w:rPr>
              <w:t>Mantenimiento preventivo con ahorro medible</w:t>
            </w:r>
          </w:p>
        </w:tc>
        <w:tc>
          <w:tcPr>
            <w:tcW w:type="dxa" w:w="2268"/>
          </w:tcPr>
          <w:p>
            <w:pPr>
              <w:spacing w:after="0" w:before="0" w:line="240" w:lineRule="auto"/>
              <w:jc w:val="left"/>
            </w:pPr>
            <w:r>
              <w:rPr>
                <w:rFonts w:ascii="Arial" w:hAnsi="Arial" w:cs="Arial"/>
                <w:b w:val="0"/>
                <w:i w:val="0"/>
                <w:sz w:val="19"/>
              </w:rPr>
              <w:t>Baja cultura preventiva</w:t>
            </w:r>
          </w:p>
        </w:tc>
      </w:tr>
    </w:tbl>
    <w:p>
      <w:pPr>
        <w:spacing w:after="80" w:before="0" w:line="240" w:lineRule="auto"/>
        <w:jc w:val="both"/>
      </w:pPr>
    </w:p>
    <w:p>
      <w:pPr>
        <w:spacing w:after="160" w:before="0" w:line="240" w:lineRule="auto"/>
        <w:jc w:val="center"/>
      </w:pPr>
      <w:r>
        <w:rPr>
          <w:rFonts w:ascii="Arial" w:hAnsi="Arial" w:cs="Arial"/>
          <w:b w:val="0"/>
          <w:i/>
          <w:sz w:val="18"/>
        </w:rPr>
        <w:t>Tabla 1. Síntesis del análisis SEPTE. Elaboración propia con base en las fuentes citadas.</w:t>
      </w:r>
    </w:p>
    <w:p>
      <w:pPr>
        <w:spacing w:after="120" w:before="0" w:line="240" w:lineRule="auto"/>
        <w:jc w:val="both"/>
      </w:pPr>
      <w:r>
        <w:rPr>
          <w:rFonts w:ascii="Arial" w:hAnsi="Arial" w:cs="Arial"/>
          <w:b/>
          <w:i w:val="0"/>
          <w:sz w:val="22"/>
        </w:rPr>
        <w:t>Conclusión del diagnóstico:</w:t>
      </w:r>
      <w:r>
        <w:rPr>
          <w:rFonts w:ascii="Arial" w:hAnsi="Arial" w:cs="Arial"/>
          <w:b w:val="0"/>
          <w:i w:val="0"/>
          <w:sz w:val="22"/>
        </w:rPr>
        <w:t xml:space="preserve"> existe una oportunidad de mejora en la forma en que las familias de condominios de Lima contratan servicios para el hogar. La demanda crece con la vivienda vertical, la tecnología necesaria ya está en manos del público y el entorno favorece la formalización, mientras que la oferta actual sigue siendo informal, poco transparente y reactiva.</w:t>
      </w:r>
    </w:p>
    <w:p>
      <w:pPr>
        <w:pStyle w:val="Ttulo1"/>
        <w:pageBreakBefore/>
      </w:pPr>
      <w:r>
        <w:rPr>
          <w:rFonts w:ascii="Arial" w:hAnsi="Arial"/>
        </w:rPr>
        <w:t>OBJETIVOS</w:t>
      </w:r>
    </w:p>
    <w:p>
      <w:pPr>
        <w:spacing w:after="120" w:before="0" w:line="240" w:lineRule="auto"/>
        <w:jc w:val="both"/>
      </w:pPr>
      <w:r>
        <w:rPr>
          <w:rFonts w:ascii="Arial" w:hAnsi="Arial" w:cs="Arial"/>
          <w:b w:val="0"/>
          <w:i w:val="0"/>
          <w:sz w:val="22"/>
        </w:rPr>
        <w:t>Se plantean tres objetivos que cumplen los criterios SMART (específicos, medibles, alcanzables, relevantes y con plazo definido).</w:t>
      </w:r>
    </w:p>
    <w:p>
      <w:pPr>
        <w:spacing w:after="120" w:before="0" w:line="240" w:lineRule="auto"/>
        <w:jc w:val="both"/>
      </w:pPr>
      <w:r>
        <w:rPr>
          <w:rFonts w:ascii="Arial" w:hAnsi="Arial" w:cs="Arial"/>
          <w:b/>
          <w:i w:val="0"/>
          <w:sz w:val="22"/>
        </w:rPr>
        <w:t>OBJ 1.-</w:t>
      </w:r>
      <w:r>
        <w:rPr>
          <w:rFonts w:ascii="Arial" w:hAnsi="Arial" w:cs="Arial"/>
          <w:b w:val="0"/>
          <w:i w:val="0"/>
          <w:sz w:val="22"/>
        </w:rPr>
        <w:t xml:space="preserve"> Validar la aceptación de ServiListo aplicando una encuesta a una muestra mínima de 40 propietarios o inquilinos de condominios y edificios multifamiliares de Lima Metropolitana, y obtener una intención de uso igual o superior al 60 %, antes de la entrega final del proyecto del ciclo 2026.</w:t>
      </w:r>
    </w:p>
    <w:tbl>
      <w:tblPr>
        <w:tblW w:type="dxa" w:w="8505"/>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984"/>
        <w:gridCol w:w="6520"/>
      </w:tblGrid>
      <w:tr>
        <w:trPr>
          <w:cantSplit/>
          <w:tblHeader/>
        </w:trPr>
        <w:tc>
          <w:tcPr>
            <w:tcW w:type="dxa" w:w="1984"/>
            <w:shd w:val="clear" w:color="auto" w:fill="D9E2F3"/>
          </w:tcPr>
          <w:p>
            <w:pPr>
              <w:keepNext/>
              <w:spacing w:after="0" w:before="0" w:line="240" w:lineRule="auto"/>
              <w:jc w:val="left"/>
            </w:pPr>
            <w:r>
              <w:rPr>
                <w:rFonts w:ascii="Arial" w:hAnsi="Arial" w:cs="Arial"/>
                <w:b/>
                <w:i w:val="0"/>
                <w:sz w:val="19"/>
              </w:rPr>
              <w:t>Criterio</w:t>
            </w:r>
          </w:p>
        </w:tc>
        <w:tc>
          <w:tcPr>
            <w:tcW w:type="dxa" w:w="6520"/>
            <w:shd w:val="clear" w:color="auto" w:fill="D9E2F3"/>
          </w:tcPr>
          <w:p>
            <w:pPr>
              <w:keepNext/>
              <w:spacing w:after="0" w:before="0" w:line="240" w:lineRule="auto"/>
              <w:jc w:val="left"/>
            </w:pPr>
            <w:r>
              <w:rPr>
                <w:rFonts w:ascii="Arial" w:hAnsi="Arial" w:cs="Arial"/>
                <w:b/>
                <w:i w:val="0"/>
                <w:sz w:val="19"/>
              </w:rPr>
              <w:t>Cumplimiento</w:t>
            </w:r>
          </w:p>
        </w:tc>
      </w:tr>
      <w:tr>
        <w:trPr>
          <w:cantSplit/>
        </w:trPr>
        <w:tc>
          <w:tcPr>
            <w:tcW w:type="dxa" w:w="1984"/>
          </w:tcPr>
          <w:p>
            <w:pPr>
              <w:keepNext/>
              <w:spacing w:after="0" w:before="0" w:line="240" w:lineRule="auto"/>
              <w:jc w:val="left"/>
            </w:pPr>
            <w:r>
              <w:rPr>
                <w:rFonts w:ascii="Arial" w:hAnsi="Arial" w:cs="Arial"/>
                <w:b/>
                <w:i w:val="0"/>
                <w:sz w:val="19"/>
              </w:rPr>
              <w:t>Específico</w:t>
            </w:r>
          </w:p>
        </w:tc>
        <w:tc>
          <w:tcPr>
            <w:tcW w:type="dxa" w:w="6520"/>
          </w:tcPr>
          <w:p>
            <w:pPr>
              <w:keepNext/>
              <w:spacing w:after="0" w:before="0" w:line="240" w:lineRule="auto"/>
              <w:jc w:val="left"/>
            </w:pPr>
            <w:r>
              <w:rPr>
                <w:rFonts w:ascii="Arial" w:hAnsi="Arial" w:cs="Arial"/>
                <w:b w:val="0"/>
                <w:i w:val="0"/>
                <w:sz w:val="19"/>
              </w:rPr>
              <w:t>Medir la intención de uso de la app en residentes de condominios de Lima Metropolitana.</w:t>
            </w:r>
          </w:p>
        </w:tc>
      </w:tr>
      <w:tr>
        <w:trPr>
          <w:cantSplit/>
        </w:trPr>
        <w:tc>
          <w:tcPr>
            <w:tcW w:type="dxa" w:w="1984"/>
          </w:tcPr>
          <w:p>
            <w:pPr>
              <w:keepNext/>
              <w:spacing w:after="0" w:before="0" w:line="240" w:lineRule="auto"/>
              <w:jc w:val="left"/>
            </w:pPr>
            <w:r>
              <w:rPr>
                <w:rFonts w:ascii="Arial" w:hAnsi="Arial" w:cs="Arial"/>
                <w:b/>
                <w:i w:val="0"/>
                <w:sz w:val="19"/>
              </w:rPr>
              <w:t>Medible</w:t>
            </w:r>
          </w:p>
        </w:tc>
        <w:tc>
          <w:tcPr>
            <w:tcW w:type="dxa" w:w="6520"/>
          </w:tcPr>
          <w:p>
            <w:pPr>
              <w:keepNext/>
              <w:spacing w:after="0" w:before="0" w:line="240" w:lineRule="auto"/>
              <w:jc w:val="left"/>
            </w:pPr>
            <w:r>
              <w:rPr>
                <w:rFonts w:ascii="Arial" w:hAnsi="Arial" w:cs="Arial"/>
                <w:b w:val="0"/>
                <w:i w:val="0"/>
                <w:sz w:val="19"/>
              </w:rPr>
              <w:t>Muestra mínima de 40 encuestados y meta de 60 % de intención de uso.</w:t>
            </w:r>
          </w:p>
        </w:tc>
      </w:tr>
      <w:tr>
        <w:trPr>
          <w:cantSplit/>
        </w:trPr>
        <w:tc>
          <w:tcPr>
            <w:tcW w:type="dxa" w:w="1984"/>
          </w:tcPr>
          <w:p>
            <w:pPr>
              <w:keepNext/>
              <w:spacing w:after="0" w:before="0" w:line="240" w:lineRule="auto"/>
              <w:jc w:val="left"/>
            </w:pPr>
            <w:r>
              <w:rPr>
                <w:rFonts w:ascii="Arial" w:hAnsi="Arial" w:cs="Arial"/>
                <w:b/>
                <w:i w:val="0"/>
                <w:sz w:val="19"/>
              </w:rPr>
              <w:t>Alcanzable</w:t>
            </w:r>
          </w:p>
        </w:tc>
        <w:tc>
          <w:tcPr>
            <w:tcW w:type="dxa" w:w="6520"/>
          </w:tcPr>
          <w:p>
            <w:pPr>
              <w:keepNext/>
              <w:spacing w:after="0" w:before="0" w:line="240" w:lineRule="auto"/>
              <w:jc w:val="left"/>
            </w:pPr>
            <w:r>
              <w:rPr>
                <w:rFonts w:ascii="Arial" w:hAnsi="Arial" w:cs="Arial"/>
                <w:b w:val="0"/>
                <w:i w:val="0"/>
                <w:sz w:val="19"/>
              </w:rPr>
              <w:t>El equipo puede aplicar la encuesta de forma presencial y virtual en su entorno.</w:t>
            </w:r>
          </w:p>
        </w:tc>
      </w:tr>
      <w:tr>
        <w:trPr>
          <w:cantSplit/>
        </w:trPr>
        <w:tc>
          <w:tcPr>
            <w:tcW w:type="dxa" w:w="1984"/>
          </w:tcPr>
          <w:p>
            <w:pPr>
              <w:keepNext/>
              <w:spacing w:after="0" w:before="0" w:line="240" w:lineRule="auto"/>
              <w:jc w:val="left"/>
            </w:pPr>
            <w:r>
              <w:rPr>
                <w:rFonts w:ascii="Arial" w:hAnsi="Arial" w:cs="Arial"/>
                <w:b/>
                <w:i w:val="0"/>
                <w:sz w:val="19"/>
              </w:rPr>
              <w:t>Relevante</w:t>
            </w:r>
          </w:p>
        </w:tc>
        <w:tc>
          <w:tcPr>
            <w:tcW w:type="dxa" w:w="6520"/>
          </w:tcPr>
          <w:p>
            <w:pPr>
              <w:keepNext/>
              <w:spacing w:after="0" w:before="0" w:line="240" w:lineRule="auto"/>
              <w:jc w:val="left"/>
            </w:pPr>
            <w:r>
              <w:rPr>
                <w:rFonts w:ascii="Arial" w:hAnsi="Arial" w:cs="Arial"/>
                <w:b w:val="0"/>
                <w:i w:val="0"/>
                <w:sz w:val="19"/>
              </w:rPr>
              <w:t>Sustenta la viabilidad de mercado (Capítulo 5) exigida por el curso.</w:t>
            </w:r>
          </w:p>
        </w:tc>
      </w:tr>
      <w:tr>
        <w:trPr>
          <w:cantSplit/>
        </w:trPr>
        <w:tc>
          <w:tcPr>
            <w:tcW w:type="dxa" w:w="1984"/>
          </w:tcPr>
          <w:p>
            <w:pPr>
              <w:spacing w:after="0" w:before="0" w:line="240" w:lineRule="auto"/>
              <w:jc w:val="left"/>
            </w:pPr>
            <w:r>
              <w:rPr>
                <w:rFonts w:ascii="Arial" w:hAnsi="Arial" w:cs="Arial"/>
                <w:b/>
                <w:i w:val="0"/>
                <w:sz w:val="19"/>
              </w:rPr>
              <w:t>A tiempo</w:t>
            </w:r>
          </w:p>
        </w:tc>
        <w:tc>
          <w:tcPr>
            <w:tcW w:type="dxa" w:w="6520"/>
          </w:tcPr>
          <w:p>
            <w:pPr>
              <w:spacing w:after="0" w:before="0" w:line="240" w:lineRule="auto"/>
              <w:jc w:val="left"/>
            </w:pPr>
            <w:r>
              <w:rPr>
                <w:rFonts w:ascii="Arial" w:hAnsi="Arial" w:cs="Arial"/>
                <w:b w:val="0"/>
                <w:i w:val="0"/>
                <w:sz w:val="19"/>
              </w:rPr>
              <w:t>Antes de la entrega final del proyecto del ciclo 2026.</w:t>
            </w:r>
          </w:p>
        </w:tc>
      </w:tr>
    </w:tbl>
    <w:p>
      <w:pPr>
        <w:spacing w:after="80" w:before="0" w:line="240" w:lineRule="auto"/>
        <w:jc w:val="both"/>
      </w:pPr>
    </w:p>
    <w:p>
      <w:pPr>
        <w:spacing w:after="120" w:before="0" w:line="240" w:lineRule="auto"/>
        <w:jc w:val="both"/>
      </w:pPr>
      <w:r>
        <w:rPr>
          <w:rFonts w:ascii="Arial" w:hAnsi="Arial" w:cs="Arial"/>
          <w:b/>
          <w:i w:val="0"/>
          <w:sz w:val="22"/>
        </w:rPr>
        <w:t>OBJ 2.-</w:t>
      </w:r>
      <w:r>
        <w:rPr>
          <w:rFonts w:ascii="Arial" w:hAnsi="Arial" w:cs="Arial"/>
          <w:b w:val="0"/>
          <w:i w:val="0"/>
          <w:sz w:val="22"/>
        </w:rPr>
        <w:t xml:space="preserve"> Desarrollar un prototipo navegable de ServiListo con al menos tres pantallas funcionales (búsqueda, perfil del técnico, y pago y seguimiento) y probarlo con un mínimo de 10 usuarios potenciales, alcanzando una calificación promedio de facilidad de uso de 4 sobre 5, antes de la sustentación final del curso.</w:t>
      </w:r>
    </w:p>
    <w:tbl>
      <w:tblPr>
        <w:tblW w:type="dxa" w:w="8505"/>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984"/>
        <w:gridCol w:w="6520"/>
      </w:tblGrid>
      <w:tr>
        <w:trPr>
          <w:cantSplit/>
          <w:tblHeader/>
        </w:trPr>
        <w:tc>
          <w:tcPr>
            <w:tcW w:type="dxa" w:w="1984"/>
            <w:shd w:val="clear" w:color="auto" w:fill="D9E2F3"/>
          </w:tcPr>
          <w:p>
            <w:pPr>
              <w:keepNext/>
              <w:spacing w:after="0" w:before="0" w:line="240" w:lineRule="auto"/>
              <w:jc w:val="left"/>
            </w:pPr>
            <w:r>
              <w:rPr>
                <w:rFonts w:ascii="Arial" w:hAnsi="Arial" w:cs="Arial"/>
                <w:b/>
                <w:i w:val="0"/>
                <w:sz w:val="19"/>
              </w:rPr>
              <w:t>Criterio</w:t>
            </w:r>
          </w:p>
        </w:tc>
        <w:tc>
          <w:tcPr>
            <w:tcW w:type="dxa" w:w="6520"/>
            <w:shd w:val="clear" w:color="auto" w:fill="D9E2F3"/>
          </w:tcPr>
          <w:p>
            <w:pPr>
              <w:keepNext/>
              <w:spacing w:after="0" w:before="0" w:line="240" w:lineRule="auto"/>
              <w:jc w:val="left"/>
            </w:pPr>
            <w:r>
              <w:rPr>
                <w:rFonts w:ascii="Arial" w:hAnsi="Arial" w:cs="Arial"/>
                <w:b/>
                <w:i w:val="0"/>
                <w:sz w:val="19"/>
              </w:rPr>
              <w:t>Cumplimiento</w:t>
            </w:r>
          </w:p>
        </w:tc>
      </w:tr>
      <w:tr>
        <w:trPr>
          <w:cantSplit/>
        </w:trPr>
        <w:tc>
          <w:tcPr>
            <w:tcW w:type="dxa" w:w="1984"/>
          </w:tcPr>
          <w:p>
            <w:pPr>
              <w:keepNext/>
              <w:spacing w:after="0" w:before="0" w:line="240" w:lineRule="auto"/>
              <w:jc w:val="left"/>
            </w:pPr>
            <w:r>
              <w:rPr>
                <w:rFonts w:ascii="Arial" w:hAnsi="Arial" w:cs="Arial"/>
                <w:b/>
                <w:i w:val="0"/>
                <w:sz w:val="19"/>
              </w:rPr>
              <w:t>Específico</w:t>
            </w:r>
          </w:p>
        </w:tc>
        <w:tc>
          <w:tcPr>
            <w:tcW w:type="dxa" w:w="6520"/>
          </w:tcPr>
          <w:p>
            <w:pPr>
              <w:keepNext/>
              <w:spacing w:after="0" w:before="0" w:line="240" w:lineRule="auto"/>
              <w:jc w:val="left"/>
            </w:pPr>
            <w:r>
              <w:rPr>
                <w:rFonts w:ascii="Arial" w:hAnsi="Arial" w:cs="Arial"/>
                <w:b w:val="0"/>
                <w:i w:val="0"/>
                <w:sz w:val="19"/>
              </w:rPr>
              <w:t>Construir y probar el prototipo de la aplicación.</w:t>
            </w:r>
          </w:p>
        </w:tc>
      </w:tr>
      <w:tr>
        <w:trPr>
          <w:cantSplit/>
        </w:trPr>
        <w:tc>
          <w:tcPr>
            <w:tcW w:type="dxa" w:w="1984"/>
          </w:tcPr>
          <w:p>
            <w:pPr>
              <w:keepNext/>
              <w:spacing w:after="0" w:before="0" w:line="240" w:lineRule="auto"/>
              <w:jc w:val="left"/>
            </w:pPr>
            <w:r>
              <w:rPr>
                <w:rFonts w:ascii="Arial" w:hAnsi="Arial" w:cs="Arial"/>
                <w:b/>
                <w:i w:val="0"/>
                <w:sz w:val="19"/>
              </w:rPr>
              <w:t>Medible</w:t>
            </w:r>
          </w:p>
        </w:tc>
        <w:tc>
          <w:tcPr>
            <w:tcW w:type="dxa" w:w="6520"/>
          </w:tcPr>
          <w:p>
            <w:pPr>
              <w:keepNext/>
              <w:spacing w:after="0" w:before="0" w:line="240" w:lineRule="auto"/>
              <w:jc w:val="left"/>
            </w:pPr>
            <w:r>
              <w:rPr>
                <w:rFonts w:ascii="Arial" w:hAnsi="Arial" w:cs="Arial"/>
                <w:b w:val="0"/>
                <w:i w:val="0"/>
                <w:sz w:val="19"/>
              </w:rPr>
              <w:t>Tres pantallas, 10 usuarios de prueba y calificación promedio de 4/5.</w:t>
            </w:r>
          </w:p>
        </w:tc>
      </w:tr>
      <w:tr>
        <w:trPr>
          <w:cantSplit/>
        </w:trPr>
        <w:tc>
          <w:tcPr>
            <w:tcW w:type="dxa" w:w="1984"/>
          </w:tcPr>
          <w:p>
            <w:pPr>
              <w:keepNext/>
              <w:spacing w:after="0" w:before="0" w:line="240" w:lineRule="auto"/>
              <w:jc w:val="left"/>
            </w:pPr>
            <w:r>
              <w:rPr>
                <w:rFonts w:ascii="Arial" w:hAnsi="Arial" w:cs="Arial"/>
                <w:b/>
                <w:i w:val="0"/>
                <w:sz w:val="19"/>
              </w:rPr>
              <w:t>Alcanzable</w:t>
            </w:r>
          </w:p>
        </w:tc>
        <w:tc>
          <w:tcPr>
            <w:tcW w:type="dxa" w:w="6520"/>
          </w:tcPr>
          <w:p>
            <w:pPr>
              <w:keepNext/>
              <w:spacing w:after="0" w:before="0" w:line="240" w:lineRule="auto"/>
              <w:jc w:val="left"/>
            </w:pPr>
            <w:r>
              <w:rPr>
                <w:rFonts w:ascii="Arial" w:hAnsi="Arial" w:cs="Arial"/>
                <w:b w:val="0"/>
                <w:i w:val="0"/>
                <w:sz w:val="19"/>
              </w:rPr>
              <w:t>Se puede elaborar con herramientas gratuitas de prototipado.</w:t>
            </w:r>
          </w:p>
        </w:tc>
      </w:tr>
      <w:tr>
        <w:trPr>
          <w:cantSplit/>
        </w:trPr>
        <w:tc>
          <w:tcPr>
            <w:tcW w:type="dxa" w:w="1984"/>
          </w:tcPr>
          <w:p>
            <w:pPr>
              <w:keepNext/>
              <w:spacing w:after="0" w:before="0" w:line="240" w:lineRule="auto"/>
              <w:jc w:val="left"/>
            </w:pPr>
            <w:r>
              <w:rPr>
                <w:rFonts w:ascii="Arial" w:hAnsi="Arial" w:cs="Arial"/>
                <w:b/>
                <w:i w:val="0"/>
                <w:sz w:val="19"/>
              </w:rPr>
              <w:t>Relevante</w:t>
            </w:r>
          </w:p>
        </w:tc>
        <w:tc>
          <w:tcPr>
            <w:tcW w:type="dxa" w:w="6520"/>
          </w:tcPr>
          <w:p>
            <w:pPr>
              <w:keepNext/>
              <w:spacing w:after="0" w:before="0" w:line="240" w:lineRule="auto"/>
              <w:jc w:val="left"/>
            </w:pPr>
            <w:r>
              <w:rPr>
                <w:rFonts w:ascii="Arial" w:hAnsi="Arial" w:cs="Arial"/>
                <w:b w:val="0"/>
                <w:i w:val="0"/>
                <w:sz w:val="19"/>
              </w:rPr>
              <w:t>Demuestra la viabilidad técnica de la idea.</w:t>
            </w:r>
          </w:p>
        </w:tc>
      </w:tr>
      <w:tr>
        <w:trPr>
          <w:cantSplit/>
        </w:trPr>
        <w:tc>
          <w:tcPr>
            <w:tcW w:type="dxa" w:w="1984"/>
          </w:tcPr>
          <w:p>
            <w:pPr>
              <w:spacing w:after="0" w:before="0" w:line="240" w:lineRule="auto"/>
              <w:jc w:val="left"/>
            </w:pPr>
            <w:r>
              <w:rPr>
                <w:rFonts w:ascii="Arial" w:hAnsi="Arial" w:cs="Arial"/>
                <w:b/>
                <w:i w:val="0"/>
                <w:sz w:val="19"/>
              </w:rPr>
              <w:t>A tiempo</w:t>
            </w:r>
          </w:p>
        </w:tc>
        <w:tc>
          <w:tcPr>
            <w:tcW w:type="dxa" w:w="6520"/>
          </w:tcPr>
          <w:p>
            <w:pPr>
              <w:spacing w:after="0" w:before="0" w:line="240" w:lineRule="auto"/>
              <w:jc w:val="left"/>
            </w:pPr>
            <w:r>
              <w:rPr>
                <w:rFonts w:ascii="Arial" w:hAnsi="Arial" w:cs="Arial"/>
                <w:b w:val="0"/>
                <w:i w:val="0"/>
                <w:sz w:val="19"/>
              </w:rPr>
              <w:t>Antes de la sustentación final del curso.</w:t>
            </w:r>
          </w:p>
        </w:tc>
      </w:tr>
    </w:tbl>
    <w:p>
      <w:pPr>
        <w:spacing w:after="80" w:before="0" w:line="240" w:lineRule="auto"/>
        <w:jc w:val="both"/>
      </w:pPr>
    </w:p>
    <w:p>
      <w:pPr>
        <w:spacing w:after="120" w:before="0" w:line="240" w:lineRule="auto"/>
        <w:jc w:val="both"/>
      </w:pPr>
      <w:r>
        <w:rPr>
          <w:rFonts w:ascii="Arial" w:hAnsi="Arial" w:cs="Arial"/>
          <w:b/>
          <w:i w:val="0"/>
          <w:sz w:val="22"/>
        </w:rPr>
        <w:t>OBJ 3.-</w:t>
      </w:r>
      <w:r>
        <w:rPr>
          <w:rFonts w:ascii="Arial" w:hAnsi="Arial" w:cs="Arial"/>
          <w:b w:val="0"/>
          <w:i w:val="0"/>
          <w:sz w:val="22"/>
        </w:rPr>
        <w:t xml:space="preserve"> Afiliar a 10 condominios de Lima Metropolitana al plan de suscripción de ServiListo durante los primeros 12 meses de operación comercial.</w:t>
      </w:r>
    </w:p>
    <w:tbl>
      <w:tblPr>
        <w:tblW w:type="dxa" w:w="8505"/>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984"/>
        <w:gridCol w:w="6520"/>
      </w:tblGrid>
      <w:tr>
        <w:trPr>
          <w:cantSplit/>
          <w:tblHeader/>
        </w:trPr>
        <w:tc>
          <w:tcPr>
            <w:tcW w:type="dxa" w:w="1984"/>
            <w:shd w:val="clear" w:color="auto" w:fill="D9E2F3"/>
          </w:tcPr>
          <w:p>
            <w:pPr>
              <w:keepNext/>
              <w:spacing w:after="0" w:before="0" w:line="240" w:lineRule="auto"/>
              <w:jc w:val="left"/>
            </w:pPr>
            <w:r>
              <w:rPr>
                <w:rFonts w:ascii="Arial" w:hAnsi="Arial" w:cs="Arial"/>
                <w:b/>
                <w:i w:val="0"/>
                <w:sz w:val="19"/>
              </w:rPr>
              <w:t>Criterio</w:t>
            </w:r>
          </w:p>
        </w:tc>
        <w:tc>
          <w:tcPr>
            <w:tcW w:type="dxa" w:w="6520"/>
            <w:shd w:val="clear" w:color="auto" w:fill="D9E2F3"/>
          </w:tcPr>
          <w:p>
            <w:pPr>
              <w:keepNext/>
              <w:spacing w:after="0" w:before="0" w:line="240" w:lineRule="auto"/>
              <w:jc w:val="left"/>
            </w:pPr>
            <w:r>
              <w:rPr>
                <w:rFonts w:ascii="Arial" w:hAnsi="Arial" w:cs="Arial"/>
                <w:b/>
                <w:i w:val="0"/>
                <w:sz w:val="19"/>
              </w:rPr>
              <w:t>Cumplimiento</w:t>
            </w:r>
          </w:p>
        </w:tc>
      </w:tr>
      <w:tr>
        <w:trPr>
          <w:cantSplit/>
        </w:trPr>
        <w:tc>
          <w:tcPr>
            <w:tcW w:type="dxa" w:w="1984"/>
          </w:tcPr>
          <w:p>
            <w:pPr>
              <w:keepNext/>
              <w:spacing w:after="0" w:before="0" w:line="240" w:lineRule="auto"/>
              <w:jc w:val="left"/>
            </w:pPr>
            <w:r>
              <w:rPr>
                <w:rFonts w:ascii="Arial" w:hAnsi="Arial" w:cs="Arial"/>
                <w:b/>
                <w:i w:val="0"/>
                <w:sz w:val="19"/>
              </w:rPr>
              <w:t>Específico</w:t>
            </w:r>
          </w:p>
        </w:tc>
        <w:tc>
          <w:tcPr>
            <w:tcW w:type="dxa" w:w="6520"/>
          </w:tcPr>
          <w:p>
            <w:pPr>
              <w:keepNext/>
              <w:spacing w:after="0" w:before="0" w:line="240" w:lineRule="auto"/>
              <w:jc w:val="left"/>
            </w:pPr>
            <w:r>
              <w:rPr>
                <w:rFonts w:ascii="Arial" w:hAnsi="Arial" w:cs="Arial"/>
                <w:b w:val="0"/>
                <w:i w:val="0"/>
                <w:sz w:val="19"/>
              </w:rPr>
              <w:t>Afiliar condominios al plan de suscripción.</w:t>
            </w:r>
          </w:p>
        </w:tc>
      </w:tr>
      <w:tr>
        <w:trPr>
          <w:cantSplit/>
        </w:trPr>
        <w:tc>
          <w:tcPr>
            <w:tcW w:type="dxa" w:w="1984"/>
          </w:tcPr>
          <w:p>
            <w:pPr>
              <w:keepNext/>
              <w:spacing w:after="0" w:before="0" w:line="240" w:lineRule="auto"/>
              <w:jc w:val="left"/>
            </w:pPr>
            <w:r>
              <w:rPr>
                <w:rFonts w:ascii="Arial" w:hAnsi="Arial" w:cs="Arial"/>
                <w:b/>
                <w:i w:val="0"/>
                <w:sz w:val="19"/>
              </w:rPr>
              <w:t>Medible</w:t>
            </w:r>
          </w:p>
        </w:tc>
        <w:tc>
          <w:tcPr>
            <w:tcW w:type="dxa" w:w="6520"/>
          </w:tcPr>
          <w:p>
            <w:pPr>
              <w:keepNext/>
              <w:spacing w:after="0" w:before="0" w:line="240" w:lineRule="auto"/>
              <w:jc w:val="left"/>
            </w:pPr>
            <w:r>
              <w:rPr>
                <w:rFonts w:ascii="Arial" w:hAnsi="Arial" w:cs="Arial"/>
                <w:b w:val="0"/>
                <w:i w:val="0"/>
                <w:sz w:val="19"/>
              </w:rPr>
              <w:t>10 condominios suscritos.</w:t>
            </w:r>
          </w:p>
        </w:tc>
      </w:tr>
      <w:tr>
        <w:trPr>
          <w:cantSplit/>
        </w:trPr>
        <w:tc>
          <w:tcPr>
            <w:tcW w:type="dxa" w:w="1984"/>
          </w:tcPr>
          <w:p>
            <w:pPr>
              <w:keepNext/>
              <w:spacing w:after="0" w:before="0" w:line="240" w:lineRule="auto"/>
              <w:jc w:val="left"/>
            </w:pPr>
            <w:r>
              <w:rPr>
                <w:rFonts w:ascii="Arial" w:hAnsi="Arial" w:cs="Arial"/>
                <w:b/>
                <w:i w:val="0"/>
                <w:sz w:val="19"/>
              </w:rPr>
              <w:t>Alcanzable</w:t>
            </w:r>
          </w:p>
        </w:tc>
        <w:tc>
          <w:tcPr>
            <w:tcW w:type="dxa" w:w="6520"/>
          </w:tcPr>
          <w:p>
            <w:pPr>
              <w:keepNext/>
              <w:spacing w:after="0" w:before="0" w:line="240" w:lineRule="auto"/>
              <w:jc w:val="left"/>
            </w:pPr>
            <w:r>
              <w:rPr>
                <w:rFonts w:ascii="Arial" w:hAnsi="Arial" w:cs="Arial"/>
                <w:b w:val="0"/>
                <w:i w:val="0"/>
                <w:sz w:val="19"/>
              </w:rPr>
              <w:t>Meta conservadora frente al volumen de edificios en venta y entrega en Lima.</w:t>
            </w:r>
          </w:p>
        </w:tc>
      </w:tr>
      <w:tr>
        <w:trPr>
          <w:cantSplit/>
        </w:trPr>
        <w:tc>
          <w:tcPr>
            <w:tcW w:type="dxa" w:w="1984"/>
          </w:tcPr>
          <w:p>
            <w:pPr>
              <w:keepNext/>
              <w:spacing w:after="0" w:before="0" w:line="240" w:lineRule="auto"/>
              <w:jc w:val="left"/>
            </w:pPr>
            <w:r>
              <w:rPr>
                <w:rFonts w:ascii="Arial" w:hAnsi="Arial" w:cs="Arial"/>
                <w:b/>
                <w:i w:val="0"/>
                <w:sz w:val="19"/>
              </w:rPr>
              <w:t>Relevante</w:t>
            </w:r>
          </w:p>
        </w:tc>
        <w:tc>
          <w:tcPr>
            <w:tcW w:type="dxa" w:w="6520"/>
          </w:tcPr>
          <w:p>
            <w:pPr>
              <w:keepNext/>
              <w:spacing w:after="0" w:before="0" w:line="240" w:lineRule="auto"/>
              <w:jc w:val="left"/>
            </w:pPr>
            <w:r>
              <w:rPr>
                <w:rFonts w:ascii="Arial" w:hAnsi="Arial" w:cs="Arial"/>
                <w:b w:val="0"/>
                <w:i w:val="0"/>
                <w:sz w:val="19"/>
              </w:rPr>
              <w:t>Asegura ingresos recurrentes y masa crítica de usuarios.</w:t>
            </w:r>
          </w:p>
        </w:tc>
      </w:tr>
      <w:tr>
        <w:trPr>
          <w:cantSplit/>
        </w:trPr>
        <w:tc>
          <w:tcPr>
            <w:tcW w:type="dxa" w:w="1984"/>
          </w:tcPr>
          <w:p>
            <w:pPr>
              <w:spacing w:after="0" w:before="0" w:line="240" w:lineRule="auto"/>
              <w:jc w:val="left"/>
            </w:pPr>
            <w:r>
              <w:rPr>
                <w:rFonts w:ascii="Arial" w:hAnsi="Arial" w:cs="Arial"/>
                <w:b/>
                <w:i w:val="0"/>
                <w:sz w:val="19"/>
              </w:rPr>
              <w:t>A tiempo</w:t>
            </w:r>
          </w:p>
        </w:tc>
        <w:tc>
          <w:tcPr>
            <w:tcW w:type="dxa" w:w="6520"/>
          </w:tcPr>
          <w:p>
            <w:pPr>
              <w:spacing w:after="0" w:before="0" w:line="240" w:lineRule="auto"/>
              <w:jc w:val="left"/>
            </w:pPr>
            <w:r>
              <w:rPr>
                <w:rFonts w:ascii="Arial" w:hAnsi="Arial" w:cs="Arial"/>
                <w:b w:val="0"/>
                <w:i w:val="0"/>
                <w:sz w:val="19"/>
              </w:rPr>
              <w:t>Primeros 12 meses de operación.</w:t>
            </w:r>
          </w:p>
        </w:tc>
      </w:tr>
    </w:tbl>
    <w:p>
      <w:pPr>
        <w:spacing w:after="80" w:before="0" w:line="240" w:lineRule="auto"/>
        <w:jc w:val="both"/>
      </w:pPr>
    </w:p>
    <w:p>
      <w:pPr>
        <w:pStyle w:val="Ttulo1"/>
        <w:pageBreakBefore/>
      </w:pPr>
      <w:r>
        <w:rPr>
          <w:rFonts w:ascii="Arial" w:hAnsi="Arial"/>
        </w:rPr>
        <w:t>JUSTIFICACIÓN DEL PROYECTO</w:t>
      </w:r>
    </w:p>
    <w:p>
      <w:pPr>
        <w:spacing w:after="120" w:before="0" w:line="240" w:lineRule="auto"/>
        <w:jc w:val="both"/>
      </w:pPr>
      <w:r>
        <w:rPr>
          <w:rFonts w:ascii="Arial" w:hAnsi="Arial" w:cs="Arial"/>
          <w:b w:val="0"/>
          <w:i w:val="0"/>
          <w:sz w:val="22"/>
        </w:rPr>
        <w:t>ServiListo contribuye a mejorar un proceso cotidiano —conseguir un técnico confiable para el hogar— que hoy depende de la informalidad y del azar. Su aporte se evidencia en cuatro ámbitos:</w:t>
      </w:r>
    </w:p>
    <w:p>
      <w:pPr>
        <w:numPr>
          <w:ilvl w:val="0"/>
          <w:numId w:val="3"/>
        </w:numPr>
        <w:spacing w:after="60" w:before="0" w:line="240" w:lineRule="auto"/>
        <w:ind w:left="714" w:hanging="357"/>
        <w:jc w:val="both"/>
      </w:pPr>
      <w:r>
        <w:rPr>
          <w:rFonts w:ascii="Arial" w:hAnsi="Arial" w:cs="Arial"/>
          <w:b/>
          <w:i w:val="0"/>
          <w:sz w:val="22"/>
        </w:rPr>
        <w:t>Para las familias:</w:t>
      </w:r>
      <w:r>
        <w:rPr>
          <w:rFonts w:ascii="Arial" w:hAnsi="Arial" w:cs="Arial"/>
          <w:b w:val="0"/>
          <w:i w:val="0"/>
          <w:sz w:val="22"/>
        </w:rPr>
        <w:t xml:space="preserve"> seguridad al saber quién ingresa a su vivienda, ahorro de tiempo, precios referenciales visibles antes de contratar, garantía del trabajo y pago sin efectivo.</w:t>
      </w:r>
    </w:p>
    <w:p>
      <w:pPr>
        <w:numPr>
          <w:ilvl w:val="0"/>
          <w:numId w:val="3"/>
        </w:numPr>
        <w:spacing w:after="60" w:before="0" w:line="240" w:lineRule="auto"/>
        <w:ind w:left="714" w:hanging="357"/>
        <w:jc w:val="both"/>
      </w:pPr>
      <w:r>
        <w:rPr>
          <w:rFonts w:ascii="Arial" w:hAnsi="Arial" w:cs="Arial"/>
          <w:b/>
          <w:i w:val="0"/>
          <w:sz w:val="22"/>
        </w:rPr>
        <w:t>Para las juntas de propietarios y administradoras:</w:t>
      </w:r>
      <w:r>
        <w:rPr>
          <w:rFonts w:ascii="Arial" w:hAnsi="Arial" w:cs="Arial"/>
          <w:b w:val="0"/>
          <w:i w:val="0"/>
          <w:sz w:val="22"/>
        </w:rPr>
        <w:t xml:space="preserve"> una herramienta para programar y registrar el mantenimiento de áreas comunes, comparar proveedores y negociar mejores precios mediante pedidos grupales.</w:t>
      </w:r>
    </w:p>
    <w:p>
      <w:pPr>
        <w:numPr>
          <w:ilvl w:val="0"/>
          <w:numId w:val="3"/>
        </w:numPr>
        <w:spacing w:after="60" w:before="0" w:line="240" w:lineRule="auto"/>
        <w:ind w:left="714" w:hanging="357"/>
        <w:jc w:val="both"/>
      </w:pPr>
      <w:r>
        <w:rPr>
          <w:rFonts w:ascii="Arial" w:hAnsi="Arial" w:cs="Arial"/>
          <w:b/>
          <w:i w:val="0"/>
          <w:sz w:val="22"/>
        </w:rPr>
        <w:t>Para los técnicos independientes:</w:t>
      </w:r>
      <w:r>
        <w:rPr>
          <w:rFonts w:ascii="Arial" w:hAnsi="Arial" w:cs="Arial"/>
          <w:b w:val="0"/>
          <w:i w:val="0"/>
          <w:sz w:val="22"/>
        </w:rPr>
        <w:t xml:space="preserve"> acceso a una cartera de clientes concentrada geográficamente, pagos seguros, reputación digital basada en calificaciones y un incentivo para formalizarse y emitir comprobantes.</w:t>
      </w:r>
    </w:p>
    <w:p>
      <w:pPr>
        <w:numPr>
          <w:ilvl w:val="0"/>
          <w:numId w:val="3"/>
        </w:numPr>
        <w:spacing w:after="60" w:before="0" w:line="240" w:lineRule="auto"/>
        <w:ind w:left="714" w:hanging="357"/>
        <w:jc w:val="both"/>
      </w:pPr>
      <w:r>
        <w:rPr>
          <w:rFonts w:ascii="Arial" w:hAnsi="Arial" w:cs="Arial"/>
          <w:b/>
          <w:i w:val="0"/>
          <w:sz w:val="22"/>
        </w:rPr>
        <w:t>Para la sociedad y el medio ambiente:</w:t>
      </w:r>
      <w:r>
        <w:rPr>
          <w:rFonts w:ascii="Arial" w:hAnsi="Arial" w:cs="Arial"/>
          <w:b w:val="0"/>
          <w:i w:val="0"/>
          <w:sz w:val="22"/>
        </w:rPr>
        <w:t xml:space="preserve"> impulso a la formalización del empleo y reducción del desperdicio de agua mediante el mantenimiento preventivo y la reparación oportuna de fugas.</w:t>
      </w:r>
    </w:p>
    <w:p>
      <w:pPr>
        <w:pStyle w:val="Ttulo2"/>
      </w:pPr>
      <w:r>
        <w:rPr>
          <w:rFonts w:ascii="Arial" w:hAnsi="Arial"/>
        </w:rPr>
        <w:t>Beneficiarios directos</w:t>
      </w:r>
    </w:p>
    <w:p>
      <w:pPr>
        <w:numPr>
          <w:ilvl w:val="0"/>
          <w:numId w:val="3"/>
        </w:numPr>
        <w:spacing w:after="60" w:before="0" w:line="240" w:lineRule="auto"/>
        <w:ind w:left="714" w:hanging="357"/>
        <w:jc w:val="both"/>
      </w:pPr>
      <w:r>
        <w:rPr>
          <w:rFonts w:ascii="Arial" w:hAnsi="Arial" w:cs="Arial"/>
          <w:b w:val="0"/>
          <w:i w:val="0"/>
          <w:sz w:val="22"/>
        </w:rPr>
        <w:t>Propietarios e inquilinos de condominios, edificios multifamiliares y residenciales que usarán la aplicación.</w:t>
      </w:r>
    </w:p>
    <w:p>
      <w:pPr>
        <w:numPr>
          <w:ilvl w:val="0"/>
          <w:numId w:val="3"/>
        </w:numPr>
        <w:spacing w:after="60" w:before="0" w:line="240" w:lineRule="auto"/>
        <w:ind w:left="714" w:hanging="357"/>
        <w:jc w:val="both"/>
      </w:pPr>
      <w:r>
        <w:rPr>
          <w:rFonts w:ascii="Arial" w:hAnsi="Arial" w:cs="Arial"/>
          <w:b w:val="0"/>
          <w:i w:val="0"/>
          <w:sz w:val="22"/>
        </w:rPr>
        <w:t>Juntas de propietarios y empresas administradoras de edificios.</w:t>
      </w:r>
    </w:p>
    <w:p>
      <w:pPr>
        <w:numPr>
          <w:ilvl w:val="0"/>
          <w:numId w:val="3"/>
        </w:numPr>
        <w:spacing w:after="60" w:before="0" w:line="240" w:lineRule="auto"/>
        <w:ind w:left="714" w:hanging="357"/>
        <w:jc w:val="both"/>
      </w:pPr>
      <w:r>
        <w:rPr>
          <w:rFonts w:ascii="Arial" w:hAnsi="Arial" w:cs="Arial"/>
          <w:b w:val="0"/>
          <w:i w:val="0"/>
          <w:sz w:val="22"/>
        </w:rPr>
        <w:t>Técnicos independientes (gasfiteros, electricistas, personal de limpieza, pintores, cerrajeros y fumigadores) que ofrecerán sus servicios.</w:t>
      </w:r>
    </w:p>
    <w:p>
      <w:pPr>
        <w:numPr>
          <w:ilvl w:val="0"/>
          <w:numId w:val="3"/>
        </w:numPr>
        <w:spacing w:after="60" w:before="0" w:line="240" w:lineRule="auto"/>
        <w:ind w:left="714" w:hanging="357"/>
        <w:jc w:val="both"/>
      </w:pPr>
      <w:r>
        <w:rPr>
          <w:rFonts w:ascii="Arial" w:hAnsi="Arial" w:cs="Arial"/>
          <w:b w:val="0"/>
          <w:i w:val="0"/>
          <w:sz w:val="22"/>
        </w:rPr>
        <w:t>El equipo emprendedor que desarrolla el proyecto.</w:t>
      </w:r>
    </w:p>
    <w:p>
      <w:pPr>
        <w:numPr>
          <w:ilvl w:val="0"/>
          <w:numId w:val="3"/>
        </w:numPr>
        <w:spacing w:after="60" w:before="0" w:line="240" w:lineRule="auto"/>
        <w:ind w:left="714" w:hanging="357"/>
        <w:jc w:val="both"/>
      </w:pPr>
      <w:r>
        <w:rPr>
          <w:rFonts w:ascii="Arial" w:hAnsi="Arial" w:cs="Arial"/>
          <w:b w:val="0"/>
          <w:i w:val="0"/>
          <w:sz w:val="22"/>
        </w:rPr>
        <w:t>Proveedores de la empresa: desarrolladores de software, servicios en la nube y pasarelas de pago.</w:t>
      </w:r>
    </w:p>
    <w:p>
      <w:pPr>
        <w:pStyle w:val="Ttulo2"/>
      </w:pPr>
      <w:r>
        <w:rPr>
          <w:rFonts w:ascii="Arial" w:hAnsi="Arial"/>
        </w:rPr>
        <w:t>Beneficiarios indirectos</w:t>
      </w:r>
    </w:p>
    <w:p>
      <w:pPr>
        <w:numPr>
          <w:ilvl w:val="0"/>
          <w:numId w:val="3"/>
        </w:numPr>
        <w:spacing w:after="60" w:before="0" w:line="240" w:lineRule="auto"/>
        <w:ind w:left="714" w:hanging="357"/>
        <w:jc w:val="both"/>
      </w:pPr>
      <w:r>
        <w:rPr>
          <w:rFonts w:ascii="Arial" w:hAnsi="Arial" w:cs="Arial"/>
          <w:b w:val="0"/>
          <w:i w:val="0"/>
          <w:sz w:val="22"/>
        </w:rPr>
        <w:t>Las familias de los técnicos, que perciben ingresos más estables.</w:t>
      </w:r>
    </w:p>
    <w:p>
      <w:pPr>
        <w:numPr>
          <w:ilvl w:val="0"/>
          <w:numId w:val="3"/>
        </w:numPr>
        <w:spacing w:after="60" w:before="0" w:line="240" w:lineRule="auto"/>
        <w:ind w:left="714" w:hanging="357"/>
        <w:jc w:val="both"/>
      </w:pPr>
      <w:r>
        <w:rPr>
          <w:rFonts w:ascii="Arial" w:hAnsi="Arial" w:cs="Arial"/>
          <w:b w:val="0"/>
          <w:i w:val="0"/>
          <w:sz w:val="22"/>
        </w:rPr>
        <w:t>Los vecinos de la zona de influencia, por la mejor conservación de los edificios y el menor riesgo de filtraciones y aniegos.</w:t>
      </w:r>
    </w:p>
    <w:p>
      <w:pPr>
        <w:numPr>
          <w:ilvl w:val="0"/>
          <w:numId w:val="3"/>
        </w:numPr>
        <w:spacing w:after="60" w:before="0" w:line="240" w:lineRule="auto"/>
        <w:ind w:left="714" w:hanging="357"/>
        <w:jc w:val="both"/>
      </w:pPr>
      <w:r>
        <w:rPr>
          <w:rFonts w:ascii="Arial" w:hAnsi="Arial" w:cs="Arial"/>
          <w:b w:val="0"/>
          <w:i w:val="0"/>
          <w:sz w:val="22"/>
        </w:rPr>
        <w:t>La empresa prestadora de agua y la comunidad, por la reducción del desperdicio de agua.</w:t>
      </w:r>
    </w:p>
    <w:p>
      <w:pPr>
        <w:numPr>
          <w:ilvl w:val="0"/>
          <w:numId w:val="3"/>
        </w:numPr>
        <w:spacing w:after="60" w:before="0" w:line="240" w:lineRule="auto"/>
        <w:ind w:left="714" w:hanging="357"/>
        <w:jc w:val="both"/>
      </w:pPr>
      <w:r>
        <w:rPr>
          <w:rFonts w:ascii="Arial" w:hAnsi="Arial" w:cs="Arial"/>
          <w:b w:val="0"/>
          <w:i w:val="0"/>
          <w:sz w:val="22"/>
        </w:rPr>
        <w:t>Ferreterías y comercios de materiales cercanos, por la mayor demanda de insumos.</w:t>
      </w:r>
    </w:p>
    <w:p>
      <w:pPr>
        <w:numPr>
          <w:ilvl w:val="0"/>
          <w:numId w:val="3"/>
        </w:numPr>
        <w:spacing w:after="60" w:before="0" w:line="240" w:lineRule="auto"/>
        <w:ind w:left="714" w:hanging="357"/>
        <w:jc w:val="both"/>
      </w:pPr>
      <w:r>
        <w:rPr>
          <w:rFonts w:ascii="Arial" w:hAnsi="Arial" w:cs="Arial"/>
          <w:b w:val="0"/>
          <w:i w:val="0"/>
          <w:sz w:val="22"/>
        </w:rPr>
        <w:t>El Estado, por la mayor formalización y recaudación tributaria.</w:t>
      </w:r>
    </w:p>
    <w:p>
      <w:pPr>
        <w:pStyle w:val="Ttulo1"/>
        <w:pageBreakBefore/>
      </w:pPr>
      <w:r>
        <w:rPr>
          <w:rFonts w:ascii="Arial" w:hAnsi="Arial"/>
        </w:rPr>
        <w:t>PRODUCTOS Y ENTREGABLES</w:t>
      </w:r>
    </w:p>
    <w:p>
      <w:pPr>
        <w:spacing w:after="120" w:before="0" w:line="240" w:lineRule="auto"/>
        <w:jc w:val="both"/>
      </w:pPr>
      <w:r>
        <w:rPr>
          <w:rFonts w:ascii="Arial" w:hAnsi="Arial" w:cs="Arial"/>
          <w:b w:val="0"/>
          <w:i w:val="0"/>
          <w:sz w:val="22"/>
        </w:rPr>
        <w:t>Los productos desarrollados en el proyecto, según la especificación y el alcance establecidos por el curso, se organizan en ocho capítulos. En la presente entrega se desarrollan los capítulos 1 al 4.</w:t>
      </w:r>
    </w:p>
    <w:tbl>
      <w:tblPr>
        <w:tblW w:type="dxa" w:w="8505"/>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2381"/>
        <w:gridCol w:w="4536"/>
        <w:gridCol w:w="1587"/>
      </w:tblGrid>
      <w:tr>
        <w:trPr>
          <w:cantSplit/>
          <w:tblHeader/>
        </w:trPr>
        <w:tc>
          <w:tcPr>
            <w:tcW w:type="dxa" w:w="2381"/>
            <w:shd w:val="clear" w:color="auto" w:fill="D9E2F3"/>
          </w:tcPr>
          <w:p>
            <w:pPr>
              <w:keepNext/>
              <w:spacing w:after="0" w:before="0" w:line="240" w:lineRule="auto"/>
              <w:jc w:val="left"/>
            </w:pPr>
            <w:r>
              <w:rPr>
                <w:rFonts w:ascii="Arial" w:hAnsi="Arial" w:cs="Arial"/>
                <w:b/>
                <w:i w:val="0"/>
                <w:sz w:val="19"/>
              </w:rPr>
              <w:t>Capítulo</w:t>
            </w:r>
          </w:p>
        </w:tc>
        <w:tc>
          <w:tcPr>
            <w:tcW w:type="dxa" w:w="4535"/>
            <w:shd w:val="clear" w:color="auto" w:fill="D9E2F3"/>
          </w:tcPr>
          <w:p>
            <w:pPr>
              <w:keepNext/>
              <w:spacing w:after="0" w:before="0" w:line="240" w:lineRule="auto"/>
              <w:jc w:val="left"/>
            </w:pPr>
            <w:r>
              <w:rPr>
                <w:rFonts w:ascii="Arial" w:hAnsi="Arial" w:cs="Arial"/>
                <w:b/>
                <w:i w:val="0"/>
                <w:sz w:val="19"/>
              </w:rPr>
              <w:t>Contenido</w:t>
            </w:r>
          </w:p>
        </w:tc>
        <w:tc>
          <w:tcPr>
            <w:tcW w:type="dxa" w:w="1587"/>
            <w:shd w:val="clear" w:color="auto" w:fill="D9E2F3"/>
          </w:tcPr>
          <w:p>
            <w:pPr>
              <w:keepNext/>
              <w:spacing w:after="0" w:before="0" w:line="240" w:lineRule="auto"/>
              <w:jc w:val="left"/>
            </w:pPr>
            <w:r>
              <w:rPr>
                <w:rFonts w:ascii="Arial" w:hAnsi="Arial" w:cs="Arial"/>
                <w:b/>
                <w:i w:val="0"/>
                <w:sz w:val="19"/>
              </w:rPr>
              <w:t>Estado</w:t>
            </w:r>
          </w:p>
        </w:tc>
      </w:tr>
      <w:tr>
        <w:trPr>
          <w:cantSplit/>
        </w:trPr>
        <w:tc>
          <w:tcPr>
            <w:tcW w:type="dxa" w:w="2381"/>
          </w:tcPr>
          <w:p>
            <w:pPr>
              <w:keepNext/>
              <w:spacing w:after="0" w:before="0" w:line="240" w:lineRule="auto"/>
              <w:jc w:val="left"/>
            </w:pPr>
            <w:r>
              <w:rPr>
                <w:rFonts w:ascii="Arial" w:hAnsi="Arial" w:cs="Arial"/>
                <w:b w:val="0"/>
                <w:i w:val="0"/>
                <w:sz w:val="19"/>
              </w:rPr>
              <w:t>1. Resumen ejecutivo</w:t>
            </w:r>
          </w:p>
        </w:tc>
        <w:tc>
          <w:tcPr>
            <w:tcW w:type="dxa" w:w="4535"/>
          </w:tcPr>
          <w:p>
            <w:pPr>
              <w:keepNext/>
              <w:spacing w:after="0" w:before="0" w:line="240" w:lineRule="auto"/>
              <w:jc w:val="left"/>
            </w:pPr>
            <w:r>
              <w:rPr>
                <w:rFonts w:ascii="Arial" w:hAnsi="Arial" w:cs="Arial"/>
                <w:b w:val="0"/>
                <w:i w:val="0"/>
                <w:sz w:val="19"/>
              </w:rPr>
              <w:t>Perfil de los emprendedores, oportunidad, idea de negocio y cifras de inversión</w:t>
            </w:r>
          </w:p>
        </w:tc>
        <w:tc>
          <w:tcPr>
            <w:tcW w:type="dxa" w:w="1587"/>
          </w:tcPr>
          <w:p>
            <w:pPr>
              <w:keepNext/>
              <w:spacing w:after="0" w:before="0" w:line="240" w:lineRule="auto"/>
              <w:jc w:val="left"/>
            </w:pPr>
            <w:r>
              <w:rPr>
                <w:rFonts w:ascii="Arial" w:hAnsi="Arial" w:cs="Arial"/>
                <w:b w:val="0"/>
                <w:i w:val="0"/>
                <w:sz w:val="19"/>
              </w:rPr>
              <w:t>Desarrollado</w:t>
            </w:r>
          </w:p>
        </w:tc>
      </w:tr>
      <w:tr>
        <w:trPr>
          <w:cantSplit/>
        </w:trPr>
        <w:tc>
          <w:tcPr>
            <w:tcW w:type="dxa" w:w="2381"/>
          </w:tcPr>
          <w:p>
            <w:pPr>
              <w:keepNext/>
              <w:spacing w:after="0" w:before="0" w:line="240" w:lineRule="auto"/>
              <w:jc w:val="left"/>
            </w:pPr>
            <w:r>
              <w:rPr>
                <w:rFonts w:ascii="Arial" w:hAnsi="Arial" w:cs="Arial"/>
                <w:b w:val="0"/>
                <w:i w:val="0"/>
                <w:sz w:val="19"/>
              </w:rPr>
              <w:t>2. Identificación de la idea</w:t>
            </w:r>
          </w:p>
        </w:tc>
        <w:tc>
          <w:tcPr>
            <w:tcW w:type="dxa" w:w="4535"/>
          </w:tcPr>
          <w:p>
            <w:pPr>
              <w:keepNext/>
              <w:spacing w:after="0" w:before="0" w:line="240" w:lineRule="auto"/>
              <w:jc w:val="left"/>
            </w:pPr>
            <w:r>
              <w:rPr>
                <w:rFonts w:ascii="Arial" w:hAnsi="Arial" w:cs="Arial"/>
                <w:b w:val="0"/>
                <w:i w:val="0"/>
                <w:sz w:val="19"/>
              </w:rPr>
              <w:t>Lluvia de ideas, descripción, necesidades y soluciones</w:t>
            </w:r>
          </w:p>
        </w:tc>
        <w:tc>
          <w:tcPr>
            <w:tcW w:type="dxa" w:w="1587"/>
          </w:tcPr>
          <w:p>
            <w:pPr>
              <w:keepNext/>
              <w:spacing w:after="0" w:before="0" w:line="240" w:lineRule="auto"/>
              <w:jc w:val="left"/>
            </w:pPr>
            <w:r>
              <w:rPr>
                <w:rFonts w:ascii="Arial" w:hAnsi="Arial" w:cs="Arial"/>
                <w:b w:val="0"/>
                <w:i w:val="0"/>
                <w:sz w:val="19"/>
              </w:rPr>
              <w:t>Desarrollado</w:t>
            </w:r>
          </w:p>
        </w:tc>
      </w:tr>
      <w:tr>
        <w:trPr>
          <w:cantSplit/>
        </w:trPr>
        <w:tc>
          <w:tcPr>
            <w:tcW w:type="dxa" w:w="2381"/>
          </w:tcPr>
          <w:p>
            <w:pPr>
              <w:keepNext/>
              <w:spacing w:after="0" w:before="0" w:line="240" w:lineRule="auto"/>
              <w:jc w:val="left"/>
            </w:pPr>
            <w:r>
              <w:rPr>
                <w:rFonts w:ascii="Arial" w:hAnsi="Arial" w:cs="Arial"/>
                <w:b w:val="0"/>
                <w:i w:val="0"/>
                <w:sz w:val="19"/>
              </w:rPr>
              <w:t>3. Viabilidad técnica</w:t>
            </w:r>
          </w:p>
        </w:tc>
        <w:tc>
          <w:tcPr>
            <w:tcW w:type="dxa" w:w="4535"/>
          </w:tcPr>
          <w:p>
            <w:pPr>
              <w:keepNext/>
              <w:spacing w:after="0" w:before="0" w:line="240" w:lineRule="auto"/>
              <w:jc w:val="left"/>
            </w:pPr>
            <w:r>
              <w:rPr>
                <w:rFonts w:ascii="Arial" w:hAnsi="Arial" w:cs="Arial"/>
                <w:b w:val="0"/>
                <w:i w:val="0"/>
                <w:sz w:val="19"/>
              </w:rPr>
              <w:t>Prototipo, especificaciones técnicas y propiedad intelectual</w:t>
            </w:r>
          </w:p>
        </w:tc>
        <w:tc>
          <w:tcPr>
            <w:tcW w:type="dxa" w:w="1587"/>
          </w:tcPr>
          <w:p>
            <w:pPr>
              <w:keepNext/>
              <w:spacing w:after="0" w:before="0" w:line="240" w:lineRule="auto"/>
              <w:jc w:val="left"/>
            </w:pPr>
            <w:r>
              <w:rPr>
                <w:rFonts w:ascii="Arial" w:hAnsi="Arial" w:cs="Arial"/>
                <w:b w:val="0"/>
                <w:i w:val="0"/>
                <w:sz w:val="19"/>
              </w:rPr>
              <w:t>Desarrollado</w:t>
            </w:r>
          </w:p>
        </w:tc>
      </w:tr>
      <w:tr>
        <w:trPr>
          <w:cantSplit/>
        </w:trPr>
        <w:tc>
          <w:tcPr>
            <w:tcW w:type="dxa" w:w="2381"/>
          </w:tcPr>
          <w:p>
            <w:pPr>
              <w:keepNext/>
              <w:spacing w:after="0" w:before="0" w:line="240" w:lineRule="auto"/>
              <w:jc w:val="left"/>
            </w:pPr>
            <w:r>
              <w:rPr>
                <w:rFonts w:ascii="Arial" w:hAnsi="Arial" w:cs="Arial"/>
                <w:b w:val="0"/>
                <w:i w:val="0"/>
                <w:sz w:val="19"/>
              </w:rPr>
              <w:t>4. Plan estratégico</w:t>
            </w:r>
          </w:p>
        </w:tc>
        <w:tc>
          <w:tcPr>
            <w:tcW w:type="dxa" w:w="4535"/>
          </w:tcPr>
          <w:p>
            <w:pPr>
              <w:keepNext/>
              <w:spacing w:after="0" w:before="0" w:line="240" w:lineRule="auto"/>
              <w:jc w:val="left"/>
            </w:pPr>
            <w:r>
              <w:rPr>
                <w:rFonts w:ascii="Arial" w:hAnsi="Arial" w:cs="Arial"/>
                <w:b w:val="0"/>
                <w:i w:val="0"/>
                <w:sz w:val="19"/>
              </w:rPr>
              <w:t>Misión, visión, factores críticos de éxito, objetivos y valores</w:t>
            </w:r>
          </w:p>
        </w:tc>
        <w:tc>
          <w:tcPr>
            <w:tcW w:type="dxa" w:w="1587"/>
          </w:tcPr>
          <w:p>
            <w:pPr>
              <w:keepNext/>
              <w:spacing w:after="0" w:before="0" w:line="240" w:lineRule="auto"/>
              <w:jc w:val="left"/>
            </w:pPr>
            <w:r>
              <w:rPr>
                <w:rFonts w:ascii="Arial" w:hAnsi="Arial" w:cs="Arial"/>
                <w:b w:val="0"/>
                <w:i w:val="0"/>
                <w:sz w:val="19"/>
              </w:rPr>
              <w:t>Desarrollado</w:t>
            </w:r>
          </w:p>
        </w:tc>
      </w:tr>
      <w:tr>
        <w:trPr>
          <w:cantSplit/>
        </w:trPr>
        <w:tc>
          <w:tcPr>
            <w:tcW w:type="dxa" w:w="2381"/>
          </w:tcPr>
          <w:p>
            <w:pPr>
              <w:keepNext/>
              <w:spacing w:after="0" w:before="0" w:line="240" w:lineRule="auto"/>
              <w:jc w:val="left"/>
            </w:pPr>
            <w:r>
              <w:rPr>
                <w:rFonts w:ascii="Arial" w:hAnsi="Arial" w:cs="Arial"/>
                <w:b w:val="0"/>
                <w:i w:val="0"/>
                <w:sz w:val="19"/>
              </w:rPr>
              <w:t>5. Viabilidad del mercado</w:t>
            </w:r>
          </w:p>
        </w:tc>
        <w:tc>
          <w:tcPr>
            <w:tcW w:type="dxa" w:w="4535"/>
          </w:tcPr>
          <w:p>
            <w:pPr>
              <w:keepNext/>
              <w:spacing w:after="0" w:before="0" w:line="240" w:lineRule="auto"/>
              <w:jc w:val="left"/>
            </w:pPr>
            <w:r>
              <w:rPr>
                <w:rFonts w:ascii="Arial" w:hAnsi="Arial" w:cs="Arial"/>
                <w:b w:val="0"/>
                <w:i w:val="0"/>
                <w:sz w:val="19"/>
              </w:rPr>
              <w:t>Investigación secundaria y primaria (encuesta a mínimo 40 personas) y segmentación</w:t>
            </w:r>
          </w:p>
        </w:tc>
        <w:tc>
          <w:tcPr>
            <w:tcW w:type="dxa" w:w="1587"/>
          </w:tcPr>
          <w:p>
            <w:pPr>
              <w:keepNext/>
              <w:spacing w:after="0" w:before="0" w:line="240" w:lineRule="auto"/>
              <w:jc w:val="left"/>
            </w:pPr>
            <w:r>
              <w:rPr>
                <w:rFonts w:ascii="Arial" w:hAnsi="Arial" w:cs="Arial"/>
                <w:b w:val="0"/>
                <w:i w:val="0"/>
                <w:sz w:val="19"/>
              </w:rPr>
              <w:t>Siguiente etapa</w:t>
            </w:r>
          </w:p>
        </w:tc>
      </w:tr>
      <w:tr>
        <w:trPr>
          <w:cantSplit/>
        </w:trPr>
        <w:tc>
          <w:tcPr>
            <w:tcW w:type="dxa" w:w="2381"/>
          </w:tcPr>
          <w:p>
            <w:pPr>
              <w:keepNext/>
              <w:spacing w:after="0" w:before="0" w:line="240" w:lineRule="auto"/>
              <w:jc w:val="left"/>
            </w:pPr>
            <w:r>
              <w:rPr>
                <w:rFonts w:ascii="Arial" w:hAnsi="Arial" w:cs="Arial"/>
                <w:b w:val="0"/>
                <w:i w:val="0"/>
                <w:sz w:val="19"/>
              </w:rPr>
              <w:t>6. Análisis situacional</w:t>
            </w:r>
          </w:p>
        </w:tc>
        <w:tc>
          <w:tcPr>
            <w:tcW w:type="dxa" w:w="4535"/>
          </w:tcPr>
          <w:p>
            <w:pPr>
              <w:keepNext/>
              <w:spacing w:after="0" w:before="0" w:line="240" w:lineRule="auto"/>
              <w:jc w:val="left"/>
            </w:pPr>
            <w:r>
              <w:rPr>
                <w:rFonts w:ascii="Arial" w:hAnsi="Arial" w:cs="Arial"/>
                <w:b w:val="0"/>
                <w:i w:val="0"/>
                <w:sz w:val="19"/>
              </w:rPr>
              <w:t>Análisis SEPTEC y matriz FODA cruzada</w:t>
            </w:r>
          </w:p>
        </w:tc>
        <w:tc>
          <w:tcPr>
            <w:tcW w:type="dxa" w:w="1587"/>
          </w:tcPr>
          <w:p>
            <w:pPr>
              <w:keepNext/>
              <w:spacing w:after="0" w:before="0" w:line="240" w:lineRule="auto"/>
              <w:jc w:val="left"/>
            </w:pPr>
            <w:r>
              <w:rPr>
                <w:rFonts w:ascii="Arial" w:hAnsi="Arial" w:cs="Arial"/>
                <w:b w:val="0"/>
                <w:i w:val="0"/>
                <w:sz w:val="19"/>
              </w:rPr>
              <w:t>Siguiente etapa</w:t>
            </w:r>
          </w:p>
        </w:tc>
      </w:tr>
      <w:tr>
        <w:trPr>
          <w:cantSplit/>
        </w:trPr>
        <w:tc>
          <w:tcPr>
            <w:tcW w:type="dxa" w:w="2381"/>
          </w:tcPr>
          <w:p>
            <w:pPr>
              <w:keepNext/>
              <w:spacing w:after="0" w:before="0" w:line="240" w:lineRule="auto"/>
              <w:jc w:val="left"/>
            </w:pPr>
            <w:r>
              <w:rPr>
                <w:rFonts w:ascii="Arial" w:hAnsi="Arial" w:cs="Arial"/>
                <w:b w:val="0"/>
                <w:i w:val="0"/>
                <w:sz w:val="19"/>
              </w:rPr>
              <w:t>7. Viabilidad de la industria</w:t>
            </w:r>
          </w:p>
        </w:tc>
        <w:tc>
          <w:tcPr>
            <w:tcW w:type="dxa" w:w="4535"/>
          </w:tcPr>
          <w:p>
            <w:pPr>
              <w:keepNext/>
              <w:spacing w:after="0" w:before="0" w:line="240" w:lineRule="auto"/>
              <w:jc w:val="left"/>
            </w:pPr>
            <w:r>
              <w:rPr>
                <w:rFonts w:ascii="Arial" w:hAnsi="Arial" w:cs="Arial"/>
                <w:b w:val="0"/>
                <w:i w:val="0"/>
                <w:sz w:val="19"/>
              </w:rPr>
              <w:t>Cinco fuerzas de Porter y análisis competitivo (benchmarking)</w:t>
            </w:r>
          </w:p>
        </w:tc>
        <w:tc>
          <w:tcPr>
            <w:tcW w:type="dxa" w:w="1587"/>
          </w:tcPr>
          <w:p>
            <w:pPr>
              <w:keepNext/>
              <w:spacing w:after="0" w:before="0" w:line="240" w:lineRule="auto"/>
              <w:jc w:val="left"/>
            </w:pPr>
            <w:r>
              <w:rPr>
                <w:rFonts w:ascii="Arial" w:hAnsi="Arial" w:cs="Arial"/>
                <w:b w:val="0"/>
                <w:i w:val="0"/>
                <w:sz w:val="19"/>
              </w:rPr>
              <w:t>Siguiente etapa</w:t>
            </w:r>
          </w:p>
        </w:tc>
      </w:tr>
      <w:tr>
        <w:trPr>
          <w:cantSplit/>
        </w:trPr>
        <w:tc>
          <w:tcPr>
            <w:tcW w:type="dxa" w:w="2381"/>
          </w:tcPr>
          <w:p>
            <w:pPr>
              <w:spacing w:after="0" w:before="0" w:line="240" w:lineRule="auto"/>
              <w:jc w:val="left"/>
            </w:pPr>
            <w:r>
              <w:rPr>
                <w:rFonts w:ascii="Arial" w:hAnsi="Arial" w:cs="Arial"/>
                <w:b w:val="0"/>
                <w:i w:val="0"/>
                <w:sz w:val="19"/>
              </w:rPr>
              <w:t>8. Conclusiones y anexos</w:t>
            </w:r>
          </w:p>
        </w:tc>
        <w:tc>
          <w:tcPr>
            <w:tcW w:type="dxa" w:w="4535"/>
          </w:tcPr>
          <w:p>
            <w:pPr>
              <w:spacing w:after="0" w:before="0" w:line="240" w:lineRule="auto"/>
              <w:jc w:val="left"/>
            </w:pPr>
            <w:r>
              <w:rPr>
                <w:rFonts w:ascii="Arial" w:hAnsi="Arial" w:cs="Arial"/>
                <w:b w:val="0"/>
                <w:i w:val="0"/>
                <w:sz w:val="19"/>
              </w:rPr>
              <w:t>Conclusiones, recomendaciones y anexos</w:t>
            </w:r>
          </w:p>
        </w:tc>
        <w:tc>
          <w:tcPr>
            <w:tcW w:type="dxa" w:w="1587"/>
          </w:tcPr>
          <w:p>
            <w:pPr>
              <w:spacing w:after="0" w:before="0" w:line="240" w:lineRule="auto"/>
              <w:jc w:val="left"/>
            </w:pPr>
            <w:r>
              <w:rPr>
                <w:rFonts w:ascii="Arial" w:hAnsi="Arial" w:cs="Arial"/>
                <w:b w:val="0"/>
                <w:i w:val="0"/>
                <w:sz w:val="19"/>
              </w:rPr>
              <w:t>Siguiente etapa</w:t>
            </w:r>
          </w:p>
        </w:tc>
      </w:tr>
    </w:tbl>
    <w:p>
      <w:pPr>
        <w:spacing w:after="80" w:before="0" w:line="240" w:lineRule="auto"/>
        <w:jc w:val="both"/>
      </w:pPr>
    </w:p>
    <w:p>
      <w:pPr>
        <w:pStyle w:val="Ttulo1"/>
        <w:pageBreakBefore/>
      </w:pPr>
      <w:r>
        <w:rPr>
          <w:rFonts w:ascii="Arial" w:hAnsi="Arial"/>
        </w:rPr>
        <w:t>CAPÍTULO 1: RESUMEN EJECUTIVO</w:t>
      </w:r>
    </w:p>
    <w:p>
      <w:pPr>
        <w:pStyle w:val="Ttulo2"/>
      </w:pPr>
      <w:r>
        <w:rPr>
          <w:rFonts w:ascii="Arial" w:hAnsi="Arial"/>
        </w:rPr>
        <w:t>1.1 Perfil de los emprendedores</w:t>
      </w:r>
    </w:p>
    <w:p>
      <w:pPr>
        <w:spacing w:after="120" w:before="0" w:line="240" w:lineRule="auto"/>
        <w:jc w:val="both"/>
      </w:pPr>
      <w:r>
        <w:rPr>
          <w:rFonts w:ascii="Arial" w:hAnsi="Arial" w:cs="Arial"/>
          <w:b w:val="0"/>
          <w:i w:val="0"/>
          <w:sz w:val="22"/>
        </w:rPr>
        <w:t>El equipo está conformado por estudiantes del quinto ciclo de Cibertec y es coordinado por Leyla Hernández. Por su naturaleza, la iniciativa empresarial se clasifica como:</w:t>
      </w:r>
    </w:p>
    <w:p>
      <w:pPr>
        <w:numPr>
          <w:ilvl w:val="0"/>
          <w:numId w:val="3"/>
        </w:numPr>
        <w:spacing w:after="60" w:before="0" w:line="240" w:lineRule="auto"/>
        <w:ind w:left="714" w:hanging="357"/>
        <w:jc w:val="both"/>
      </w:pPr>
      <w:r>
        <w:rPr>
          <w:rFonts w:ascii="Arial" w:hAnsi="Arial" w:cs="Arial"/>
          <w:b/>
          <w:i w:val="0"/>
          <w:sz w:val="22"/>
        </w:rPr>
        <w:t>Emprendimiento por oportunidad:</w:t>
      </w:r>
      <w:r>
        <w:rPr>
          <w:rFonts w:ascii="Arial" w:hAnsi="Arial" w:cs="Arial"/>
          <w:b w:val="0"/>
          <w:i w:val="0"/>
          <w:sz w:val="22"/>
        </w:rPr>
        <w:t xml:space="preserve"> nace de identificar una necesidad insatisfecha en un mercado en crecimiento, no de la necesidad de autoempleo.</w:t>
      </w:r>
    </w:p>
    <w:p>
      <w:pPr>
        <w:numPr>
          <w:ilvl w:val="0"/>
          <w:numId w:val="3"/>
        </w:numPr>
        <w:spacing w:after="60" w:before="0" w:line="240" w:lineRule="auto"/>
        <w:ind w:left="714" w:hanging="357"/>
        <w:jc w:val="both"/>
      </w:pPr>
      <w:r>
        <w:rPr>
          <w:rFonts w:ascii="Arial" w:hAnsi="Arial" w:cs="Arial"/>
          <w:b/>
          <w:i w:val="0"/>
          <w:sz w:val="22"/>
        </w:rPr>
        <w:t>Emprendimiento innovador de base tecnológica:</w:t>
      </w:r>
      <w:r>
        <w:rPr>
          <w:rFonts w:ascii="Arial" w:hAnsi="Arial" w:cs="Arial"/>
          <w:b w:val="0"/>
          <w:i w:val="0"/>
          <w:sz w:val="22"/>
        </w:rPr>
        <w:t xml:space="preserve"> su núcleo es una plataforma digital que conecta oferta y demanda.</w:t>
      </w:r>
    </w:p>
    <w:p>
      <w:pPr>
        <w:numPr>
          <w:ilvl w:val="0"/>
          <w:numId w:val="3"/>
        </w:numPr>
        <w:spacing w:after="60" w:before="0" w:line="240" w:lineRule="auto"/>
        <w:ind w:left="714" w:hanging="357"/>
        <w:jc w:val="both"/>
      </w:pPr>
      <w:r>
        <w:rPr>
          <w:rFonts w:ascii="Arial" w:hAnsi="Arial" w:cs="Arial"/>
          <w:b/>
          <w:i w:val="0"/>
          <w:sz w:val="22"/>
        </w:rPr>
        <w:t>Emprendimiento con impacto social y ambiental:</w:t>
      </w:r>
      <w:r>
        <w:rPr>
          <w:rFonts w:ascii="Arial" w:hAnsi="Arial" w:cs="Arial"/>
          <w:b w:val="0"/>
          <w:i w:val="0"/>
          <w:sz w:val="22"/>
        </w:rPr>
        <w:t xml:space="preserve"> promueve la formalización de técnicos independientes y el uso responsable del agua.</w:t>
      </w:r>
    </w:p>
    <w:p>
      <w:pPr>
        <w:numPr>
          <w:ilvl w:val="0"/>
          <w:numId w:val="3"/>
        </w:numPr>
        <w:spacing w:after="60" w:before="0" w:line="240" w:lineRule="auto"/>
        <w:ind w:left="714" w:hanging="357"/>
        <w:jc w:val="both"/>
      </w:pPr>
      <w:r>
        <w:rPr>
          <w:rFonts w:ascii="Arial" w:hAnsi="Arial" w:cs="Arial"/>
          <w:b/>
          <w:i w:val="0"/>
          <w:sz w:val="22"/>
        </w:rPr>
        <w:t>Emprendimiento escalable:</w:t>
      </w:r>
      <w:r>
        <w:rPr>
          <w:rFonts w:ascii="Arial" w:hAnsi="Arial" w:cs="Arial"/>
          <w:b w:val="0"/>
          <w:i w:val="0"/>
          <w:sz w:val="22"/>
        </w:rPr>
        <w:t xml:space="preserve"> el modelo puede replicarse en otros distritos y ciudades sin aumentar los costos en la misma proporción.</w:t>
      </w:r>
    </w:p>
    <w:p>
      <w:pPr>
        <w:spacing w:after="120" w:before="0" w:line="240" w:lineRule="auto"/>
        <w:jc w:val="both"/>
      </w:pPr>
      <w:r>
        <w:rPr>
          <w:rFonts w:ascii="Arial" w:hAnsi="Arial" w:cs="Arial"/>
          <w:b w:val="0"/>
          <w:i w:val="0"/>
          <w:sz w:val="22"/>
        </w:rPr>
        <w:t>El perfil del equipo corresponde a emprendedores innovadores: buscan resolver un problema cotidiano con una solución nueva, combinan conocimientos de gestión, finanzas y marketing, y asumen riesgos calculados. Los roles propuestos son:</w:t>
      </w:r>
    </w:p>
    <w:tbl>
      <w:tblPr>
        <w:tblW w:type="dxa" w:w="8505"/>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2268"/>
        <w:gridCol w:w="2551"/>
        <w:gridCol w:w="3685"/>
      </w:tblGrid>
      <w:tr>
        <w:trPr>
          <w:cantSplit/>
          <w:tblHeader/>
        </w:trPr>
        <w:tc>
          <w:tcPr>
            <w:tcW w:type="dxa" w:w="2268"/>
            <w:shd w:val="clear" w:color="auto" w:fill="D9E2F3"/>
          </w:tcPr>
          <w:p>
            <w:pPr>
              <w:keepNext/>
              <w:spacing w:after="0" w:before="0" w:line="240" w:lineRule="auto"/>
              <w:jc w:val="left"/>
            </w:pPr>
            <w:r>
              <w:rPr>
                <w:rFonts w:ascii="Arial" w:hAnsi="Arial" w:cs="Arial"/>
                <w:b/>
                <w:i w:val="0"/>
                <w:sz w:val="19"/>
              </w:rPr>
              <w:t>Integrante</w:t>
            </w:r>
          </w:p>
        </w:tc>
        <w:tc>
          <w:tcPr>
            <w:tcW w:type="dxa" w:w="2551"/>
            <w:shd w:val="clear" w:color="auto" w:fill="D9E2F3"/>
          </w:tcPr>
          <w:p>
            <w:pPr>
              <w:keepNext/>
              <w:spacing w:after="0" w:before="0" w:line="240" w:lineRule="auto"/>
              <w:jc w:val="left"/>
            </w:pPr>
            <w:r>
              <w:rPr>
                <w:rFonts w:ascii="Arial" w:hAnsi="Arial" w:cs="Arial"/>
                <w:b/>
                <w:i w:val="0"/>
                <w:sz w:val="19"/>
              </w:rPr>
              <w:t>Rol en el proyecto</w:t>
            </w:r>
          </w:p>
        </w:tc>
        <w:tc>
          <w:tcPr>
            <w:tcW w:type="dxa" w:w="3685"/>
            <w:shd w:val="clear" w:color="auto" w:fill="D9E2F3"/>
          </w:tcPr>
          <w:p>
            <w:pPr>
              <w:keepNext/>
              <w:spacing w:after="0" w:before="0" w:line="240" w:lineRule="auto"/>
              <w:jc w:val="left"/>
            </w:pPr>
            <w:r>
              <w:rPr>
                <w:rFonts w:ascii="Arial" w:hAnsi="Arial" w:cs="Arial"/>
                <w:b/>
                <w:i w:val="0"/>
                <w:sz w:val="19"/>
              </w:rPr>
              <w:t>Aporte principal</w:t>
            </w:r>
          </w:p>
        </w:tc>
      </w:tr>
      <w:tr>
        <w:trPr>
          <w:cantSplit/>
        </w:trPr>
        <w:tc>
          <w:tcPr>
            <w:tcW w:type="dxa" w:w="2268"/>
          </w:tcPr>
          <w:p>
            <w:pPr>
              <w:keepNext/>
              <w:spacing w:after="0" w:before="0" w:line="240" w:lineRule="auto"/>
              <w:jc w:val="left"/>
            </w:pPr>
            <w:r>
              <w:rPr>
                <w:rFonts w:ascii="Arial" w:hAnsi="Arial" w:cs="Arial"/>
                <w:b w:val="0"/>
                <w:i w:val="0"/>
                <w:sz w:val="19"/>
              </w:rPr>
              <w:t>Leyla Hernández (coordinadora)</w:t>
            </w:r>
          </w:p>
        </w:tc>
        <w:tc>
          <w:tcPr>
            <w:tcW w:type="dxa" w:w="2551"/>
          </w:tcPr>
          <w:p>
            <w:pPr>
              <w:keepNext/>
              <w:spacing w:after="0" w:before="0" w:line="240" w:lineRule="auto"/>
              <w:jc w:val="left"/>
            </w:pPr>
            <w:r>
              <w:rPr>
                <w:rFonts w:ascii="Arial" w:hAnsi="Arial" w:cs="Arial"/>
                <w:b w:val="0"/>
                <w:i w:val="0"/>
                <w:sz w:val="19"/>
              </w:rPr>
              <w:t>Gestión general del proyecto</w:t>
            </w:r>
          </w:p>
        </w:tc>
        <w:tc>
          <w:tcPr>
            <w:tcW w:type="dxa" w:w="3685"/>
          </w:tcPr>
          <w:p>
            <w:pPr>
              <w:keepNext/>
              <w:spacing w:after="0" w:before="0" w:line="240" w:lineRule="auto"/>
              <w:jc w:val="left"/>
            </w:pPr>
            <w:r>
              <w:rPr>
                <w:rFonts w:ascii="Arial" w:hAnsi="Arial" w:cs="Arial"/>
                <w:b w:val="0"/>
                <w:i w:val="0"/>
                <w:sz w:val="19"/>
              </w:rPr>
              <w:t>Planificación, seguimiento del cronograma y relación con el docente</w:t>
            </w:r>
          </w:p>
        </w:tc>
      </w:tr>
      <w:tr>
        <w:trPr>
          <w:cantSplit/>
        </w:trPr>
        <w:tc>
          <w:tcPr>
            <w:tcW w:type="dxa" w:w="2268"/>
          </w:tcPr>
          <w:p>
            <w:pPr>
              <w:keepNext/>
              <w:spacing w:after="0" w:before="0" w:line="240" w:lineRule="auto"/>
              <w:jc w:val="left"/>
            </w:pPr>
            <w:r>
              <w:rPr>
                <w:rFonts w:ascii="Arial" w:hAnsi="Arial" w:cs="Arial"/>
                <w:b w:val="0"/>
                <w:i w:val="0"/>
                <w:sz w:val="19"/>
              </w:rPr>
              <w:t>XXXX</w:t>
            </w:r>
          </w:p>
        </w:tc>
        <w:tc>
          <w:tcPr>
            <w:tcW w:type="dxa" w:w="2551"/>
          </w:tcPr>
          <w:p>
            <w:pPr>
              <w:keepNext/>
              <w:spacing w:after="0" w:before="0" w:line="240" w:lineRule="auto"/>
              <w:jc w:val="left"/>
            </w:pPr>
            <w:r>
              <w:rPr>
                <w:rFonts w:ascii="Arial" w:hAnsi="Arial" w:cs="Arial"/>
                <w:b w:val="0"/>
                <w:i w:val="0"/>
                <w:sz w:val="19"/>
              </w:rPr>
              <w:t>Finanzas y contabilidad</w:t>
            </w:r>
          </w:p>
        </w:tc>
        <w:tc>
          <w:tcPr>
            <w:tcW w:type="dxa" w:w="3685"/>
          </w:tcPr>
          <w:p>
            <w:pPr>
              <w:keepNext/>
              <w:spacing w:after="0" w:before="0" w:line="240" w:lineRule="auto"/>
              <w:jc w:val="left"/>
            </w:pPr>
            <w:r>
              <w:rPr>
                <w:rFonts w:ascii="Arial" w:hAnsi="Arial" w:cs="Arial"/>
                <w:b w:val="0"/>
                <w:i w:val="0"/>
                <w:sz w:val="19"/>
              </w:rPr>
              <w:t>Presupuesto, proyección financiera y aspectos tributarios</w:t>
            </w:r>
          </w:p>
        </w:tc>
      </w:tr>
      <w:tr>
        <w:trPr>
          <w:cantSplit/>
        </w:trPr>
        <w:tc>
          <w:tcPr>
            <w:tcW w:type="dxa" w:w="2268"/>
          </w:tcPr>
          <w:p>
            <w:pPr>
              <w:keepNext/>
              <w:spacing w:after="0" w:before="0" w:line="240" w:lineRule="auto"/>
              <w:jc w:val="left"/>
            </w:pPr>
            <w:r>
              <w:rPr>
                <w:rFonts w:ascii="Arial" w:hAnsi="Arial" w:cs="Arial"/>
                <w:b w:val="0"/>
                <w:i w:val="0"/>
                <w:sz w:val="19"/>
              </w:rPr>
              <w:t>XXXX</w:t>
            </w:r>
          </w:p>
        </w:tc>
        <w:tc>
          <w:tcPr>
            <w:tcW w:type="dxa" w:w="2551"/>
          </w:tcPr>
          <w:p>
            <w:pPr>
              <w:keepNext/>
              <w:spacing w:after="0" w:before="0" w:line="240" w:lineRule="auto"/>
              <w:jc w:val="left"/>
            </w:pPr>
            <w:r>
              <w:rPr>
                <w:rFonts w:ascii="Arial" w:hAnsi="Arial" w:cs="Arial"/>
                <w:b w:val="0"/>
                <w:i w:val="0"/>
                <w:sz w:val="19"/>
              </w:rPr>
              <w:t>Marketing e investigación de mercado</w:t>
            </w:r>
          </w:p>
        </w:tc>
        <w:tc>
          <w:tcPr>
            <w:tcW w:type="dxa" w:w="3685"/>
          </w:tcPr>
          <w:p>
            <w:pPr>
              <w:keepNext/>
              <w:spacing w:after="0" w:before="0" w:line="240" w:lineRule="auto"/>
              <w:jc w:val="left"/>
            </w:pPr>
            <w:r>
              <w:rPr>
                <w:rFonts w:ascii="Arial" w:hAnsi="Arial" w:cs="Arial"/>
                <w:b w:val="0"/>
                <w:i w:val="0"/>
                <w:sz w:val="19"/>
              </w:rPr>
              <w:t>Encuestas, segmentación y estrategia de captación de condominios</w:t>
            </w:r>
          </w:p>
        </w:tc>
      </w:tr>
      <w:tr>
        <w:trPr>
          <w:cantSplit/>
        </w:trPr>
        <w:tc>
          <w:tcPr>
            <w:tcW w:type="dxa" w:w="2268"/>
          </w:tcPr>
          <w:p>
            <w:pPr>
              <w:keepNext/>
              <w:spacing w:after="0" w:before="0" w:line="240" w:lineRule="auto"/>
              <w:jc w:val="left"/>
            </w:pPr>
            <w:r>
              <w:rPr>
                <w:rFonts w:ascii="Arial" w:hAnsi="Arial" w:cs="Arial"/>
                <w:b w:val="0"/>
                <w:i w:val="0"/>
                <w:sz w:val="19"/>
              </w:rPr>
              <w:t>XXXX</w:t>
            </w:r>
          </w:p>
        </w:tc>
        <w:tc>
          <w:tcPr>
            <w:tcW w:type="dxa" w:w="2551"/>
          </w:tcPr>
          <w:p>
            <w:pPr>
              <w:keepNext/>
              <w:spacing w:after="0" w:before="0" w:line="240" w:lineRule="auto"/>
              <w:jc w:val="left"/>
            </w:pPr>
            <w:r>
              <w:rPr>
                <w:rFonts w:ascii="Arial" w:hAnsi="Arial" w:cs="Arial"/>
                <w:b w:val="0"/>
                <w:i w:val="0"/>
                <w:sz w:val="19"/>
              </w:rPr>
              <w:t>Operaciones y red de técnicos</w:t>
            </w:r>
          </w:p>
        </w:tc>
        <w:tc>
          <w:tcPr>
            <w:tcW w:type="dxa" w:w="3685"/>
          </w:tcPr>
          <w:p>
            <w:pPr>
              <w:keepNext/>
              <w:spacing w:after="0" w:before="0" w:line="240" w:lineRule="auto"/>
              <w:jc w:val="left"/>
            </w:pPr>
            <w:r>
              <w:rPr>
                <w:rFonts w:ascii="Arial" w:hAnsi="Arial" w:cs="Arial"/>
                <w:b w:val="0"/>
                <w:i w:val="0"/>
                <w:sz w:val="19"/>
              </w:rPr>
              <w:t>Proceso de verificación de técnicos y calidad del servicio</w:t>
            </w:r>
          </w:p>
        </w:tc>
      </w:tr>
      <w:tr>
        <w:trPr>
          <w:cantSplit/>
        </w:trPr>
        <w:tc>
          <w:tcPr>
            <w:tcW w:type="dxa" w:w="2268"/>
          </w:tcPr>
          <w:p>
            <w:pPr>
              <w:spacing w:after="0" w:before="0" w:line="240" w:lineRule="auto"/>
              <w:jc w:val="left"/>
            </w:pPr>
            <w:r>
              <w:rPr>
                <w:rFonts w:ascii="Arial" w:hAnsi="Arial" w:cs="Arial"/>
                <w:b w:val="0"/>
                <w:i w:val="0"/>
                <w:sz w:val="19"/>
              </w:rPr>
              <w:t>XXXX</w:t>
            </w:r>
          </w:p>
        </w:tc>
        <w:tc>
          <w:tcPr>
            <w:tcW w:type="dxa" w:w="2551"/>
          </w:tcPr>
          <w:p>
            <w:pPr>
              <w:spacing w:after="0" w:before="0" w:line="240" w:lineRule="auto"/>
              <w:jc w:val="left"/>
            </w:pPr>
            <w:r>
              <w:rPr>
                <w:rFonts w:ascii="Arial" w:hAnsi="Arial" w:cs="Arial"/>
                <w:b w:val="0"/>
                <w:i w:val="0"/>
                <w:sz w:val="19"/>
              </w:rPr>
              <w:t>Producto y tecnología</w:t>
            </w:r>
          </w:p>
        </w:tc>
        <w:tc>
          <w:tcPr>
            <w:tcW w:type="dxa" w:w="3685"/>
          </w:tcPr>
          <w:p>
            <w:pPr>
              <w:spacing w:after="0" w:before="0" w:line="240" w:lineRule="auto"/>
              <w:jc w:val="left"/>
            </w:pPr>
            <w:r>
              <w:rPr>
                <w:rFonts w:ascii="Arial" w:hAnsi="Arial" w:cs="Arial"/>
                <w:b w:val="0"/>
                <w:i w:val="0"/>
                <w:sz w:val="19"/>
              </w:rPr>
              <w:t>Prototipo, experiencia de usuario y coordinación con desarrolladores</w:t>
            </w:r>
          </w:p>
        </w:tc>
      </w:tr>
    </w:tbl>
    <w:p>
      <w:pPr>
        <w:spacing w:after="80" w:before="0" w:line="240" w:lineRule="auto"/>
        <w:jc w:val="both"/>
      </w:pPr>
    </w:p>
    <w:p>
      <w:pPr>
        <w:spacing w:after="160" w:before="0" w:line="240" w:lineRule="auto"/>
        <w:jc w:val="center"/>
      </w:pPr>
      <w:r>
        <w:rPr>
          <w:rFonts w:ascii="Arial" w:hAnsi="Arial" w:cs="Arial"/>
          <w:b w:val="0"/>
          <w:i/>
          <w:sz w:val="18"/>
        </w:rPr>
        <w:t>Tabla. Roles propuestos; ajustar según los integrantes reales del equipo.</w:t>
      </w:r>
    </w:p>
    <w:p>
      <w:pPr>
        <w:pStyle w:val="Ttulo2"/>
      </w:pPr>
      <w:r>
        <w:rPr>
          <w:rFonts w:ascii="Arial" w:hAnsi="Arial"/>
        </w:rPr>
        <w:t>1.2 Oportunidad de negocio que generó la idea</w:t>
      </w:r>
    </w:p>
    <w:p>
      <w:pPr>
        <w:spacing w:after="120" w:before="0" w:line="240" w:lineRule="auto"/>
        <w:jc w:val="both"/>
      </w:pPr>
      <w:r>
        <w:rPr>
          <w:rFonts w:ascii="Arial" w:hAnsi="Arial" w:cs="Arial"/>
          <w:b w:val="0"/>
          <w:i w:val="0"/>
          <w:sz w:val="22"/>
        </w:rPr>
        <w:t>La idea surge de una situación común en los edificios de Lima: cuando se malogra una terma, se atora un desagüe o se necesita limpiar el tanque de agua, los vecinos piden recomendaciones en el grupo de WhatsApp del edificio y contratan a quien esté disponible, sin saber cuánto deberían pagar ni a quién reclamar si el trabajo sale mal.</w:t>
      </w:r>
    </w:p>
    <w:p>
      <w:pPr>
        <w:spacing w:after="120" w:before="0" w:line="240" w:lineRule="auto"/>
        <w:jc w:val="both"/>
      </w:pPr>
      <w:r>
        <w:rPr>
          <w:rFonts w:ascii="Arial" w:hAnsi="Arial" w:cs="Arial"/>
          <w:b w:val="0"/>
          <w:i w:val="0"/>
          <w:sz w:val="22"/>
        </w:rPr>
        <w:t>En la revisión preliminar del equipo se identificaron alternativas existentes: los grupos vecinales de mensajería, los servicios técnicos de grandes tiendas de mejoramiento del hogar</w:t>
      </w:r>
      <w:r>
        <w:rPr>
          <w:rFonts w:ascii="Arial" w:hAnsi="Arial" w:cs="Arial"/>
          <w:b w:val="0"/>
          <w:i w:val="0"/>
          <w:sz w:val="22"/>
          <w:vertAlign w:val="superscript"/>
        </w:rPr>
        <w:footnoteReference w:id="16"/>
      </w:r>
      <w:r>
        <w:rPr>
          <w:rFonts w:ascii="Arial" w:hAnsi="Arial" w:cs="Arial"/>
          <w:b w:val="0"/>
          <w:i w:val="0"/>
          <w:sz w:val="22"/>
        </w:rPr>
        <w:t xml:space="preserve"> y aplicaciones locales como Disi App, que verifica antecedentes de sus especialistas pero, según la fuente consultada, no interviene en el pago</w:t>
      </w:r>
      <w:r>
        <w:rPr>
          <w:rFonts w:ascii="Arial" w:hAnsi="Arial" w:cs="Arial"/>
          <w:b w:val="0"/>
          <w:i w:val="0"/>
          <w:sz w:val="22"/>
          <w:vertAlign w:val="superscript"/>
        </w:rPr>
        <w:footnoteReference w:id="17"/>
      </w:r>
      <w:r>
        <w:rPr>
          <w:rFonts w:ascii="Arial" w:hAnsi="Arial" w:cs="Arial"/>
          <w:b w:val="0"/>
          <w:i w:val="0"/>
          <w:sz w:val="22"/>
        </w:rPr>
        <w:t>. También existen planes de negocio académicos con propuestas similares orientadas a hogares individuales</w:t>
      </w:r>
      <w:r>
        <w:rPr>
          <w:rFonts w:ascii="Arial" w:hAnsi="Arial" w:cs="Arial"/>
          <w:b w:val="0"/>
          <w:i w:val="0"/>
          <w:sz w:val="22"/>
          <w:vertAlign w:val="superscript"/>
        </w:rPr>
        <w:footnoteReference w:id="18"/>
      </w:r>
      <w:r>
        <w:rPr>
          <w:rFonts w:ascii="Arial" w:hAnsi="Arial" w:cs="Arial"/>
          <w:b w:val="0"/>
          <w:i w:val="0"/>
          <w:sz w:val="22"/>
        </w:rPr>
        <w:t>. Esto confirma que la necesidad es real, pero también que la diferenciación es clave.</w:t>
      </w:r>
    </w:p>
    <w:p>
      <w:pPr>
        <w:spacing w:after="120" w:before="0" w:line="240" w:lineRule="auto"/>
        <w:jc w:val="both"/>
      </w:pPr>
      <w:r>
        <w:rPr>
          <w:rFonts w:ascii="Arial" w:hAnsi="Arial" w:cs="Arial"/>
          <w:b w:val="0"/>
          <w:i w:val="0"/>
          <w:sz w:val="22"/>
        </w:rPr>
        <w:t xml:space="preserve">La oportunidad específica que aprovecha ServiListo es el </w:t>
      </w:r>
      <w:r>
        <w:rPr>
          <w:rFonts w:ascii="Arial" w:hAnsi="Arial" w:cs="Arial"/>
          <w:b/>
          <w:i w:val="0"/>
          <w:sz w:val="22"/>
        </w:rPr>
        <w:t>enfoque en el condominio como comunidad</w:t>
      </w:r>
      <w:r>
        <w:rPr>
          <w:rFonts w:ascii="Arial" w:hAnsi="Arial" w:cs="Arial"/>
          <w:b w:val="0"/>
          <w:i w:val="0"/>
          <w:sz w:val="22"/>
        </w:rPr>
        <w:t>: atender a varias familias de un mismo edificio permite pedidos grupales con descuento, rutas eficientes para los técnicos, planes de mantenimiento preventivo contratados por la junta y una reputación que se construye entre vecinos. Este enfoque se contrastará con un benchmarking completo en el Capítulo 7.</w:t>
      </w:r>
    </w:p>
    <w:p>
      <w:pPr>
        <w:pStyle w:val="Ttulo2"/>
      </w:pPr>
      <w:r>
        <w:rPr>
          <w:rFonts w:ascii="Arial" w:hAnsi="Arial"/>
        </w:rPr>
        <w:t>1.3 Idea de negocio y principales características de la propuesta</w:t>
      </w:r>
    </w:p>
    <w:p>
      <w:pPr>
        <w:spacing w:after="120" w:before="0" w:line="240" w:lineRule="auto"/>
        <w:jc w:val="both"/>
      </w:pPr>
      <w:r>
        <w:rPr>
          <w:rFonts w:ascii="Arial" w:hAnsi="Arial" w:cs="Arial"/>
          <w:b w:val="0"/>
          <w:i w:val="0"/>
          <w:sz w:val="22"/>
        </w:rPr>
        <w:t>ServiListo es un aplicativo móvil (Android e iOS) con un panel web para juntas de propietarios, que funciona como un mercado digital de servicios para el hogar. Sus principales características son:</w:t>
      </w:r>
    </w:p>
    <w:p>
      <w:pPr>
        <w:numPr>
          <w:ilvl w:val="0"/>
          <w:numId w:val="3"/>
        </w:numPr>
        <w:spacing w:after="60" w:before="0" w:line="240" w:lineRule="auto"/>
        <w:ind w:left="714" w:hanging="357"/>
        <w:jc w:val="both"/>
      </w:pPr>
      <w:r>
        <w:rPr>
          <w:rFonts w:ascii="Arial" w:hAnsi="Arial" w:cs="Arial"/>
          <w:b/>
          <w:i w:val="0"/>
          <w:sz w:val="22"/>
        </w:rPr>
        <w:t>Búsqueda por categoría:</w:t>
      </w:r>
      <w:r>
        <w:rPr>
          <w:rFonts w:ascii="Arial" w:hAnsi="Arial" w:cs="Arial"/>
          <w:b w:val="0"/>
          <w:i w:val="0"/>
          <w:sz w:val="22"/>
        </w:rPr>
        <w:t xml:space="preserve"> gasfitería, electricidad, limpieza, pintura, cerrajería, fumigación y mantenimiento de equipos como termas.</w:t>
      </w:r>
    </w:p>
    <w:p>
      <w:pPr>
        <w:numPr>
          <w:ilvl w:val="0"/>
          <w:numId w:val="3"/>
        </w:numPr>
        <w:spacing w:after="60" w:before="0" w:line="240" w:lineRule="auto"/>
        <w:ind w:left="714" w:hanging="357"/>
        <w:jc w:val="both"/>
      </w:pPr>
      <w:r>
        <w:rPr>
          <w:rFonts w:ascii="Arial" w:hAnsi="Arial" w:cs="Arial"/>
          <w:b/>
          <w:i w:val="0"/>
          <w:sz w:val="22"/>
        </w:rPr>
        <w:t>Técnicos verificados:</w:t>
      </w:r>
      <w:r>
        <w:rPr>
          <w:rFonts w:ascii="Arial" w:hAnsi="Arial" w:cs="Arial"/>
          <w:b w:val="0"/>
          <w:i w:val="0"/>
          <w:sz w:val="22"/>
        </w:rPr>
        <w:t xml:space="preserve"> validación de identidad, antecedentes, experiencia y, de preferencia, RUC.</w:t>
      </w:r>
    </w:p>
    <w:p>
      <w:pPr>
        <w:numPr>
          <w:ilvl w:val="0"/>
          <w:numId w:val="3"/>
        </w:numPr>
        <w:spacing w:after="60" w:before="0" w:line="240" w:lineRule="auto"/>
        <w:ind w:left="714" w:hanging="357"/>
        <w:jc w:val="both"/>
      </w:pPr>
      <w:r>
        <w:rPr>
          <w:rFonts w:ascii="Arial" w:hAnsi="Arial" w:cs="Arial"/>
          <w:b/>
          <w:i w:val="0"/>
          <w:sz w:val="22"/>
        </w:rPr>
        <w:t>Precio referencial visible</w:t>
      </w:r>
      <w:r>
        <w:rPr>
          <w:rFonts w:ascii="Arial" w:hAnsi="Arial" w:cs="Arial"/>
          <w:b w:val="0"/>
          <w:i w:val="0"/>
          <w:sz w:val="22"/>
        </w:rPr>
        <w:t xml:space="preserve"> antes de contratar y confirmación del presupuesto final dentro de la app.</w:t>
      </w:r>
    </w:p>
    <w:p>
      <w:pPr>
        <w:numPr>
          <w:ilvl w:val="0"/>
          <w:numId w:val="3"/>
        </w:numPr>
        <w:spacing w:after="60" w:before="0" w:line="240" w:lineRule="auto"/>
        <w:ind w:left="714" w:hanging="357"/>
        <w:jc w:val="both"/>
      </w:pPr>
      <w:r>
        <w:rPr>
          <w:rFonts w:ascii="Arial" w:hAnsi="Arial" w:cs="Arial"/>
          <w:b/>
          <w:i w:val="0"/>
          <w:sz w:val="22"/>
        </w:rPr>
        <w:t>Pago protegido:</w:t>
      </w:r>
      <w:r>
        <w:rPr>
          <w:rFonts w:ascii="Arial" w:hAnsi="Arial" w:cs="Arial"/>
          <w:b w:val="0"/>
          <w:i w:val="0"/>
          <w:sz w:val="22"/>
        </w:rPr>
        <w:t xml:space="preserve"> el cliente paga con Yape, Plin o tarjeta; el dinero se libera al técnico cuando el cliente confirma que el trabajo terminó.</w:t>
      </w:r>
    </w:p>
    <w:p>
      <w:pPr>
        <w:numPr>
          <w:ilvl w:val="0"/>
          <w:numId w:val="3"/>
        </w:numPr>
        <w:spacing w:after="60" w:before="0" w:line="240" w:lineRule="auto"/>
        <w:ind w:left="714" w:hanging="357"/>
        <w:jc w:val="both"/>
      </w:pPr>
      <w:r>
        <w:rPr>
          <w:rFonts w:ascii="Arial" w:hAnsi="Arial" w:cs="Arial"/>
          <w:b/>
          <w:i w:val="0"/>
          <w:sz w:val="22"/>
        </w:rPr>
        <w:t>Garantía de 30 días:</w:t>
      </w:r>
      <w:r>
        <w:rPr>
          <w:rFonts w:ascii="Arial" w:hAnsi="Arial" w:cs="Arial"/>
          <w:b w:val="0"/>
          <w:i w:val="0"/>
          <w:sz w:val="22"/>
        </w:rPr>
        <w:t xml:space="preserve"> si el trabajo falla por causa del técnico, este regresa sin costo.</w:t>
      </w:r>
    </w:p>
    <w:p>
      <w:pPr>
        <w:numPr>
          <w:ilvl w:val="0"/>
          <w:numId w:val="3"/>
        </w:numPr>
        <w:spacing w:after="60" w:before="0" w:line="240" w:lineRule="auto"/>
        <w:ind w:left="714" w:hanging="357"/>
        <w:jc w:val="both"/>
      </w:pPr>
      <w:r>
        <w:rPr>
          <w:rFonts w:ascii="Arial" w:hAnsi="Arial" w:cs="Arial"/>
          <w:b/>
          <w:i w:val="0"/>
          <w:sz w:val="22"/>
        </w:rPr>
        <w:t>Pedidos grupales del condominio:</w:t>
      </w:r>
      <w:r>
        <w:rPr>
          <w:rFonts w:ascii="Arial" w:hAnsi="Arial" w:cs="Arial"/>
          <w:b w:val="0"/>
          <w:i w:val="0"/>
          <w:sz w:val="22"/>
        </w:rPr>
        <w:t xml:space="preserve"> varios vecinos se unen a un mismo servicio (por ejemplo, fumigación o limpieza de tanques) y obtienen un mejor precio.</w:t>
      </w:r>
    </w:p>
    <w:p>
      <w:pPr>
        <w:numPr>
          <w:ilvl w:val="0"/>
          <w:numId w:val="3"/>
        </w:numPr>
        <w:spacing w:after="60" w:before="0" w:line="240" w:lineRule="auto"/>
        <w:ind w:left="714" w:hanging="357"/>
        <w:jc w:val="both"/>
      </w:pPr>
      <w:r>
        <w:rPr>
          <w:rFonts w:ascii="Arial" w:hAnsi="Arial" w:cs="Arial"/>
          <w:b/>
          <w:i w:val="0"/>
          <w:sz w:val="22"/>
        </w:rPr>
        <w:t>Plan de mantenimiento preventivo:</w:t>
      </w:r>
      <w:r>
        <w:rPr>
          <w:rFonts w:ascii="Arial" w:hAnsi="Arial" w:cs="Arial"/>
          <w:b w:val="0"/>
          <w:i w:val="0"/>
          <w:sz w:val="22"/>
        </w:rPr>
        <w:t xml:space="preserve"> suscripción mensual para la junta de propietarios, con revisiones programadas de áreas comunes y recordatorios a los vecinos.</w:t>
      </w:r>
    </w:p>
    <w:p>
      <w:pPr>
        <w:numPr>
          <w:ilvl w:val="0"/>
          <w:numId w:val="3"/>
        </w:numPr>
        <w:spacing w:after="60" w:before="0" w:line="240" w:lineRule="auto"/>
        <w:ind w:left="714" w:hanging="357"/>
        <w:jc w:val="both"/>
      </w:pPr>
      <w:r>
        <w:rPr>
          <w:rFonts w:ascii="Arial" w:hAnsi="Arial" w:cs="Arial"/>
          <w:b/>
          <w:i w:val="0"/>
          <w:sz w:val="22"/>
        </w:rPr>
        <w:t>Calificaciones y reseñas</w:t>
      </w:r>
      <w:r>
        <w:rPr>
          <w:rFonts w:ascii="Arial" w:hAnsi="Arial" w:cs="Arial"/>
          <w:b w:val="0"/>
          <w:i w:val="0"/>
          <w:sz w:val="22"/>
        </w:rPr>
        <w:t xml:space="preserve"> de los vecinos para cada técnico.</w:t>
      </w:r>
    </w:p>
    <w:p>
      <w:pPr>
        <w:spacing w:after="120" w:before="0" w:line="240" w:lineRule="auto"/>
        <w:jc w:val="both"/>
      </w:pPr>
      <w:r>
        <w:rPr>
          <w:rFonts w:ascii="Arial" w:hAnsi="Arial" w:cs="Arial"/>
          <w:b/>
          <w:i w:val="0"/>
          <w:sz w:val="22"/>
        </w:rPr>
        <w:t>Modelo de ingresos:</w:t>
      </w:r>
      <w:r>
        <w:rPr>
          <w:rFonts w:ascii="Arial" w:hAnsi="Arial" w:cs="Arial"/>
          <w:b w:val="0"/>
          <w:i w:val="0"/>
          <w:sz w:val="22"/>
        </w:rPr>
        <w:t xml:space="preserve"> comisión por cada servicio contratado, suscripción mensual de los condominios y, en una etapa posterior, posicionamiento destacado para técnicos.</w:t>
      </w:r>
    </w:p>
    <w:p>
      <w:pPr>
        <w:pStyle w:val="Ttulo2"/>
      </w:pPr>
      <w:r>
        <w:rPr>
          <w:rFonts w:ascii="Arial" w:hAnsi="Arial"/>
        </w:rPr>
        <w:t>1.4 Cifras generales de inversión y rentabilidad</w:t>
      </w:r>
    </w:p>
    <w:p>
      <w:pPr>
        <w:spacing w:after="120" w:before="0" w:line="240" w:lineRule="auto"/>
        <w:jc w:val="both"/>
      </w:pPr>
      <w:r>
        <w:rPr>
          <w:rFonts w:ascii="Arial" w:hAnsi="Arial" w:cs="Arial"/>
          <w:b w:val="0"/>
          <w:i w:val="0"/>
          <w:sz w:val="22"/>
        </w:rPr>
        <w:t xml:space="preserve">Las cifras de esta sección son </w:t>
      </w:r>
      <w:r>
        <w:rPr>
          <w:rFonts w:ascii="Arial" w:hAnsi="Arial" w:cs="Arial"/>
          <w:b/>
          <w:i w:val="0"/>
          <w:sz w:val="22"/>
        </w:rPr>
        <w:t>estimaciones referenciales del equipo</w:t>
      </w:r>
      <w:r>
        <w:rPr>
          <w:rFonts w:ascii="Arial" w:hAnsi="Arial" w:cs="Arial"/>
          <w:b w:val="0"/>
          <w:i w:val="0"/>
          <w:sz w:val="22"/>
        </w:rPr>
        <w:t xml:space="preserve"> basadas en supuestos que deberán validarse con cotizaciones reales y con los resultados de la investigación de mercado (Capítulo 5). Solo la tasa de registro de marca proviene de una fuente consultada.</w:t>
      </w:r>
    </w:p>
    <w:tbl>
      <w:tblPr>
        <w:tblW w:type="dxa" w:w="8505"/>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6520"/>
        <w:gridCol w:w="1984"/>
      </w:tblGrid>
      <w:tr>
        <w:trPr>
          <w:cantSplit/>
          <w:tblHeader/>
        </w:trPr>
        <w:tc>
          <w:tcPr>
            <w:tcW w:type="dxa" w:w="6520"/>
            <w:shd w:val="clear" w:color="auto" w:fill="D9E2F3"/>
          </w:tcPr>
          <w:p>
            <w:pPr>
              <w:spacing w:after="0" w:before="0" w:line="240" w:lineRule="auto"/>
              <w:jc w:val="left"/>
            </w:pPr>
            <w:r>
              <w:rPr>
                <w:rFonts w:ascii="Arial" w:hAnsi="Arial" w:cs="Arial"/>
                <w:b/>
                <w:i w:val="0"/>
                <w:sz w:val="19"/>
              </w:rPr>
              <w:t>Concepto</w:t>
            </w:r>
          </w:p>
        </w:tc>
        <w:tc>
          <w:tcPr>
            <w:tcW w:type="dxa" w:w="1984"/>
            <w:shd w:val="clear" w:color="auto" w:fill="D9E2F3"/>
          </w:tcPr>
          <w:p>
            <w:pPr>
              <w:spacing w:after="0" w:before="0" w:line="240" w:lineRule="auto"/>
              <w:jc w:val="left"/>
            </w:pPr>
            <w:r>
              <w:rPr>
                <w:rFonts w:ascii="Arial" w:hAnsi="Arial" w:cs="Arial"/>
                <w:b/>
                <w:i w:val="0"/>
                <w:sz w:val="19"/>
              </w:rPr>
              <w:t>Monto (S/)</w:t>
            </w:r>
          </w:p>
        </w:tc>
      </w:tr>
      <w:tr>
        <w:trPr>
          <w:cantSplit/>
        </w:trPr>
        <w:tc>
          <w:tcPr>
            <w:tcW w:type="dxa" w:w="6520"/>
          </w:tcPr>
          <w:p>
            <w:pPr>
              <w:spacing w:after="0" w:before="0" w:line="240" w:lineRule="auto"/>
              <w:jc w:val="left"/>
            </w:pPr>
            <w:r>
              <w:rPr>
                <w:rFonts w:ascii="Arial" w:hAnsi="Arial" w:cs="Arial"/>
                <w:b w:val="0"/>
                <w:i w:val="0"/>
                <w:sz w:val="19"/>
              </w:rPr>
              <w:t>Desarrollo del MVP (app usuario, app técnico y panel web)</w:t>
            </w:r>
          </w:p>
        </w:tc>
        <w:tc>
          <w:tcPr>
            <w:tcW w:type="dxa" w:w="1984"/>
          </w:tcPr>
          <w:p>
            <w:pPr>
              <w:spacing w:after="0" w:before="0" w:line="240" w:lineRule="auto"/>
              <w:jc w:val="left"/>
            </w:pPr>
            <w:r>
              <w:rPr>
                <w:rFonts w:ascii="Arial" w:hAnsi="Arial" w:cs="Arial"/>
                <w:b w:val="0"/>
                <w:i w:val="0"/>
                <w:sz w:val="19"/>
              </w:rPr>
              <w:t>35 000.00</w:t>
            </w:r>
          </w:p>
        </w:tc>
      </w:tr>
      <w:tr>
        <w:trPr>
          <w:cantSplit/>
        </w:trPr>
        <w:tc>
          <w:tcPr>
            <w:tcW w:type="dxa" w:w="6520"/>
          </w:tcPr>
          <w:p>
            <w:pPr>
              <w:spacing w:after="0" w:before="0" w:line="240" w:lineRule="auto"/>
              <w:jc w:val="left"/>
            </w:pPr>
            <w:r>
              <w:rPr>
                <w:rFonts w:ascii="Arial" w:hAnsi="Arial" w:cs="Arial"/>
                <w:b w:val="0"/>
                <w:i w:val="0"/>
                <w:sz w:val="19"/>
              </w:rPr>
              <w:t>Diseño UX/UI e identidad visual</w:t>
            </w:r>
          </w:p>
        </w:tc>
        <w:tc>
          <w:tcPr>
            <w:tcW w:type="dxa" w:w="1984"/>
          </w:tcPr>
          <w:p>
            <w:pPr>
              <w:spacing w:after="0" w:before="0" w:line="240" w:lineRule="auto"/>
              <w:jc w:val="left"/>
            </w:pPr>
            <w:r>
              <w:rPr>
                <w:rFonts w:ascii="Arial" w:hAnsi="Arial" w:cs="Arial"/>
                <w:b w:val="0"/>
                <w:i w:val="0"/>
                <w:sz w:val="19"/>
              </w:rPr>
              <w:t>4 000.00</w:t>
            </w:r>
          </w:p>
        </w:tc>
      </w:tr>
      <w:tr>
        <w:trPr>
          <w:cantSplit/>
        </w:trPr>
        <w:tc>
          <w:tcPr>
            <w:tcW w:type="dxa" w:w="6520"/>
          </w:tcPr>
          <w:p>
            <w:pPr>
              <w:spacing w:after="0" w:before="0" w:line="240" w:lineRule="auto"/>
              <w:jc w:val="left"/>
            </w:pPr>
            <w:r>
              <w:rPr>
                <w:rFonts w:ascii="Arial" w:hAnsi="Arial" w:cs="Arial"/>
                <w:b w:val="0"/>
                <w:i w:val="0"/>
                <w:sz w:val="19"/>
              </w:rPr>
              <w:t>Equipos (2 laptops y 1 smartphone de pruebas)</w:t>
            </w:r>
          </w:p>
        </w:tc>
        <w:tc>
          <w:tcPr>
            <w:tcW w:type="dxa" w:w="1984"/>
          </w:tcPr>
          <w:p>
            <w:pPr>
              <w:spacing w:after="0" w:before="0" w:line="240" w:lineRule="auto"/>
              <w:jc w:val="left"/>
            </w:pPr>
            <w:r>
              <w:rPr>
                <w:rFonts w:ascii="Arial" w:hAnsi="Arial" w:cs="Arial"/>
                <w:b w:val="0"/>
                <w:i w:val="0"/>
                <w:sz w:val="19"/>
              </w:rPr>
              <w:t>7 500.00</w:t>
            </w:r>
          </w:p>
        </w:tc>
      </w:tr>
      <w:tr>
        <w:trPr>
          <w:cantSplit/>
        </w:trPr>
        <w:tc>
          <w:tcPr>
            <w:tcW w:type="dxa" w:w="6520"/>
          </w:tcPr>
          <w:p>
            <w:pPr>
              <w:spacing w:after="0" w:before="0" w:line="240" w:lineRule="auto"/>
              <w:jc w:val="left"/>
            </w:pPr>
            <w:r>
              <w:rPr>
                <w:rFonts w:ascii="Arial" w:hAnsi="Arial" w:cs="Arial"/>
                <w:b w:val="0"/>
                <w:i w:val="0"/>
                <w:sz w:val="19"/>
              </w:rPr>
              <w:t>Constitución de la empresa (minuta, notaría, SUNARP)</w:t>
            </w:r>
          </w:p>
        </w:tc>
        <w:tc>
          <w:tcPr>
            <w:tcW w:type="dxa" w:w="1984"/>
          </w:tcPr>
          <w:p>
            <w:pPr>
              <w:spacing w:after="0" w:before="0" w:line="240" w:lineRule="auto"/>
              <w:jc w:val="left"/>
            </w:pPr>
            <w:r>
              <w:rPr>
                <w:rFonts w:ascii="Arial" w:hAnsi="Arial" w:cs="Arial"/>
                <w:b w:val="0"/>
                <w:i w:val="0"/>
                <w:sz w:val="19"/>
              </w:rPr>
              <w:t>1 200.00</w:t>
            </w:r>
          </w:p>
        </w:tc>
      </w:tr>
      <w:tr>
        <w:trPr>
          <w:cantSplit/>
        </w:trPr>
        <w:tc>
          <w:tcPr>
            <w:tcW w:type="dxa" w:w="6520"/>
          </w:tcPr>
          <w:p>
            <w:pPr>
              <w:spacing w:after="0" w:before="0" w:line="240" w:lineRule="auto"/>
              <w:jc w:val="left"/>
            </w:pPr>
            <w:r>
              <w:rPr>
                <w:rFonts w:ascii="Arial" w:hAnsi="Arial" w:cs="Arial"/>
                <w:b w:val="0"/>
                <w:i w:val="0"/>
                <w:sz w:val="19"/>
              </w:rPr>
              <w:t>Registro de marca en INDECOPI (2 clases)</w:t>
            </w:r>
            <w:r>
              <w:rPr>
                <w:rFonts w:ascii="Arial" w:hAnsi="Arial" w:cs="Arial"/>
                <w:b w:val="0"/>
                <w:i w:val="0"/>
                <w:sz w:val="22"/>
                <w:vertAlign w:val="superscript"/>
              </w:rPr>
              <w:footnoteReference w:id="19"/>
            </w:r>
          </w:p>
        </w:tc>
        <w:tc>
          <w:tcPr>
            <w:tcW w:type="dxa" w:w="1984"/>
          </w:tcPr>
          <w:p>
            <w:pPr>
              <w:spacing w:after="0" w:before="0" w:line="240" w:lineRule="auto"/>
              <w:jc w:val="left"/>
            </w:pPr>
            <w:r>
              <w:rPr>
                <w:rFonts w:ascii="Arial" w:hAnsi="Arial" w:cs="Arial"/>
                <w:b w:val="0"/>
                <w:i w:val="0"/>
                <w:sz w:val="19"/>
              </w:rPr>
              <w:t>1 068.20</w:t>
            </w:r>
          </w:p>
        </w:tc>
      </w:tr>
      <w:tr>
        <w:trPr>
          <w:cantSplit/>
        </w:trPr>
        <w:tc>
          <w:tcPr>
            <w:tcW w:type="dxa" w:w="6520"/>
          </w:tcPr>
          <w:p>
            <w:pPr>
              <w:spacing w:after="0" w:before="0" w:line="240" w:lineRule="auto"/>
              <w:jc w:val="left"/>
            </w:pPr>
            <w:r>
              <w:rPr>
                <w:rFonts w:ascii="Arial" w:hAnsi="Arial" w:cs="Arial"/>
                <w:b w:val="0"/>
                <w:i w:val="0"/>
                <w:sz w:val="19"/>
              </w:rPr>
              <w:t>Cuentas de desarrollador (Google Play y App Store)</w:t>
            </w:r>
          </w:p>
        </w:tc>
        <w:tc>
          <w:tcPr>
            <w:tcW w:type="dxa" w:w="1984"/>
          </w:tcPr>
          <w:p>
            <w:pPr>
              <w:spacing w:after="0" w:before="0" w:line="240" w:lineRule="auto"/>
              <w:jc w:val="left"/>
            </w:pPr>
            <w:r>
              <w:rPr>
                <w:rFonts w:ascii="Arial" w:hAnsi="Arial" w:cs="Arial"/>
                <w:b w:val="0"/>
                <w:i w:val="0"/>
                <w:sz w:val="19"/>
              </w:rPr>
              <w:t>500.00</w:t>
            </w:r>
          </w:p>
        </w:tc>
      </w:tr>
      <w:tr>
        <w:trPr>
          <w:cantSplit/>
        </w:trPr>
        <w:tc>
          <w:tcPr>
            <w:tcW w:type="dxa" w:w="6520"/>
          </w:tcPr>
          <w:p>
            <w:pPr>
              <w:spacing w:after="0" w:before="0" w:line="240" w:lineRule="auto"/>
              <w:jc w:val="left"/>
            </w:pPr>
            <w:r>
              <w:rPr>
                <w:rFonts w:ascii="Arial" w:hAnsi="Arial" w:cs="Arial"/>
                <w:b w:val="0"/>
                <w:i w:val="0"/>
                <w:sz w:val="19"/>
              </w:rPr>
              <w:t>Marketing de lanzamiento en condominios</w:t>
            </w:r>
          </w:p>
        </w:tc>
        <w:tc>
          <w:tcPr>
            <w:tcW w:type="dxa" w:w="1984"/>
          </w:tcPr>
          <w:p>
            <w:pPr>
              <w:spacing w:after="0" w:before="0" w:line="240" w:lineRule="auto"/>
              <w:jc w:val="left"/>
            </w:pPr>
            <w:r>
              <w:rPr>
                <w:rFonts w:ascii="Arial" w:hAnsi="Arial" w:cs="Arial"/>
                <w:b w:val="0"/>
                <w:i w:val="0"/>
                <w:sz w:val="19"/>
              </w:rPr>
              <w:t>8 000.00</w:t>
            </w:r>
          </w:p>
        </w:tc>
      </w:tr>
      <w:tr>
        <w:trPr>
          <w:cantSplit/>
        </w:trPr>
        <w:tc>
          <w:tcPr>
            <w:tcW w:type="dxa" w:w="6520"/>
          </w:tcPr>
          <w:p>
            <w:pPr>
              <w:spacing w:after="0" w:before="0" w:line="240" w:lineRule="auto"/>
              <w:jc w:val="left"/>
            </w:pPr>
            <w:r>
              <w:rPr>
                <w:rFonts w:ascii="Arial" w:hAnsi="Arial" w:cs="Arial"/>
                <w:b w:val="0"/>
                <w:i w:val="0"/>
                <w:sz w:val="19"/>
              </w:rPr>
              <w:t>Capital de trabajo (3 meses de gastos fijos)</w:t>
            </w:r>
          </w:p>
        </w:tc>
        <w:tc>
          <w:tcPr>
            <w:tcW w:type="dxa" w:w="1984"/>
          </w:tcPr>
          <w:p>
            <w:pPr>
              <w:spacing w:after="0" w:before="0" w:line="240" w:lineRule="auto"/>
              <w:jc w:val="left"/>
            </w:pPr>
            <w:r>
              <w:rPr>
                <w:rFonts w:ascii="Arial" w:hAnsi="Arial" w:cs="Arial"/>
                <w:b w:val="0"/>
                <w:i w:val="0"/>
                <w:sz w:val="19"/>
              </w:rPr>
              <w:t>32 400.00</w:t>
            </w:r>
          </w:p>
        </w:tc>
      </w:tr>
      <w:tr>
        <w:trPr>
          <w:cantSplit/>
        </w:trPr>
        <w:tc>
          <w:tcPr>
            <w:tcW w:type="dxa" w:w="6520"/>
          </w:tcPr>
          <w:p>
            <w:pPr>
              <w:spacing w:after="0" w:before="0" w:line="240" w:lineRule="auto"/>
              <w:jc w:val="left"/>
            </w:pPr>
            <w:r>
              <w:rPr>
                <w:rFonts w:ascii="Arial" w:hAnsi="Arial" w:cs="Arial"/>
                <w:b/>
                <w:i w:val="0"/>
                <w:sz w:val="19"/>
              </w:rPr>
              <w:t>Inversión inicial total</w:t>
            </w:r>
          </w:p>
        </w:tc>
        <w:tc>
          <w:tcPr>
            <w:tcW w:type="dxa" w:w="1984"/>
          </w:tcPr>
          <w:p>
            <w:pPr>
              <w:spacing w:after="0" w:before="0" w:line="240" w:lineRule="auto"/>
              <w:jc w:val="left"/>
            </w:pPr>
            <w:r>
              <w:rPr>
                <w:rFonts w:ascii="Arial" w:hAnsi="Arial" w:cs="Arial"/>
                <w:b/>
                <w:i w:val="0"/>
                <w:sz w:val="19"/>
              </w:rPr>
              <w:t>89 668.20</w:t>
            </w:r>
          </w:p>
        </w:tc>
      </w:tr>
    </w:tbl>
    <w:p>
      <w:pPr>
        <w:spacing w:after="80" w:before="0" w:line="240" w:lineRule="auto"/>
        <w:jc w:val="both"/>
      </w:pPr>
    </w:p>
    <w:p>
      <w:pPr>
        <w:spacing w:after="160" w:before="0" w:line="240" w:lineRule="auto"/>
        <w:jc w:val="center"/>
      </w:pPr>
      <w:r>
        <w:rPr>
          <w:rFonts w:ascii="Arial" w:hAnsi="Arial" w:cs="Arial"/>
          <w:b w:val="0"/>
          <w:i/>
          <w:sz w:val="18"/>
        </w:rPr>
        <w:t>Tabla. Inversión inicial estimada (supuestos del equipo).</w:t>
      </w:r>
    </w:p>
    <w:p>
      <w:pPr>
        <w:spacing w:after="120" w:before="0" w:line="240" w:lineRule="auto"/>
        <w:jc w:val="both"/>
      </w:pPr>
      <w:r>
        <w:rPr>
          <w:rFonts w:ascii="Arial" w:hAnsi="Arial" w:cs="Arial"/>
          <w:b/>
          <w:i w:val="0"/>
          <w:sz w:val="22"/>
        </w:rPr>
        <w:t>Supuestos principales de la proyección:</w:t>
      </w:r>
      <w:r>
        <w:rPr>
          <w:rFonts w:ascii="Arial" w:hAnsi="Arial" w:cs="Arial"/>
          <w:b w:val="0"/>
          <w:i w:val="0"/>
          <w:sz w:val="22"/>
        </w:rPr>
        <w:t xml:space="preserve"> ticket promedio de S/ 130 por servicio (mano de obra, sin materiales), estimado a partir de los precios publicados en Lima en 2026: trabajos de gasfitería desde S/ 120 a S/ 200, visita técnica de electricista de S/ 50 a S/ 80, limpieza de 4 horas de S/ 67 a S/ 75 y fumigación de departamento de S/ 150 a S/ 350</w:t>
      </w:r>
      <w:r>
        <w:rPr>
          <w:rFonts w:ascii="Arial" w:hAnsi="Arial" w:cs="Arial"/>
          <w:b w:val="0"/>
          <w:i w:val="0"/>
          <w:sz w:val="22"/>
          <w:vertAlign w:val="superscript"/>
        </w:rPr>
        <w:footnoteReference w:id="20"/>
      </w:r>
      <w:r>
        <w:rPr>
          <w:rFonts w:ascii="Arial" w:hAnsi="Arial" w:cs="Arial"/>
          <w:b w:val="0"/>
          <w:i w:val="0"/>
          <w:sz w:val="22"/>
        </w:rPr>
        <w:t xml:space="preserve">; el servicio formal de 4 horas citado en el diagnóstico (S/ 180) se toma como límite superior y no como promedio; comisión de 15 % por servicio; costo de pasarela de pago de 3,5 % del ticket; suscripción de S/ 200 mensuales por condominio; 3 600, 9 600 y 18 000 servicios en los años 1, 2 y 3; y 10, 30 y 60 condominios suscritos en promedio. Los gastos fijos mensuales (planilla de 2 personas, servidores, mantenimiento de la app, marketing digital, contador y verificación de técnicos) se estiman en S/ 10 800, S/ 15 000 y S/ 20 000 en cada año.</w:t>
      </w:r>
    </w:p>
    <w:tbl>
      <w:tblPr>
        <w:tblW w:type="dxa" w:w="8505"/>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3742"/>
        <w:gridCol w:w="1587"/>
        <w:gridCol w:w="1587"/>
        <w:gridCol w:w="1587"/>
      </w:tblGrid>
      <w:tr>
        <w:trPr>
          <w:cantSplit/>
          <w:tblHeader/>
        </w:trPr>
        <w:tc>
          <w:tcPr>
            <w:tcW w:type="dxa" w:w="3742"/>
            <w:shd w:val="clear" w:color="auto" w:fill="D9E2F3"/>
          </w:tcPr>
          <w:p>
            <w:pPr>
              <w:keepNext/>
              <w:spacing w:after="0" w:before="0" w:line="240" w:lineRule="auto"/>
              <w:jc w:val="left"/>
            </w:pPr>
            <w:r>
              <w:rPr>
                <w:rFonts w:ascii="Arial" w:hAnsi="Arial" w:cs="Arial"/>
                <w:b/>
                <w:i w:val="0"/>
                <w:sz w:val="19"/>
              </w:rPr>
              <w:t>Concepto (S/)</w:t>
            </w:r>
          </w:p>
        </w:tc>
        <w:tc>
          <w:tcPr>
            <w:tcW w:type="dxa" w:w="1587"/>
            <w:shd w:val="clear" w:color="auto" w:fill="D9E2F3"/>
          </w:tcPr>
          <w:p>
            <w:pPr>
              <w:keepNext/>
              <w:spacing w:after="0" w:before="0" w:line="240" w:lineRule="auto"/>
              <w:jc w:val="left"/>
            </w:pPr>
            <w:r>
              <w:rPr>
                <w:rFonts w:ascii="Arial" w:hAnsi="Arial" w:cs="Arial"/>
                <w:b/>
                <w:i w:val="0"/>
                <w:sz w:val="19"/>
              </w:rPr>
              <w:t>Año 1</w:t>
            </w:r>
          </w:p>
        </w:tc>
        <w:tc>
          <w:tcPr>
            <w:tcW w:type="dxa" w:w="1587"/>
            <w:shd w:val="clear" w:color="auto" w:fill="D9E2F3"/>
          </w:tcPr>
          <w:p>
            <w:pPr>
              <w:keepNext/>
              <w:spacing w:after="0" w:before="0" w:line="240" w:lineRule="auto"/>
              <w:jc w:val="left"/>
            </w:pPr>
            <w:r>
              <w:rPr>
                <w:rFonts w:ascii="Arial" w:hAnsi="Arial" w:cs="Arial"/>
                <w:b/>
                <w:i w:val="0"/>
                <w:sz w:val="19"/>
              </w:rPr>
              <w:t>Año 2</w:t>
            </w:r>
          </w:p>
        </w:tc>
        <w:tc>
          <w:tcPr>
            <w:tcW w:type="dxa" w:w="1587"/>
            <w:shd w:val="clear" w:color="auto" w:fill="D9E2F3"/>
          </w:tcPr>
          <w:p>
            <w:pPr>
              <w:keepNext/>
              <w:spacing w:after="0" w:before="0" w:line="240" w:lineRule="auto"/>
              <w:jc w:val="left"/>
            </w:pPr>
            <w:r>
              <w:rPr>
                <w:rFonts w:ascii="Arial" w:hAnsi="Arial" w:cs="Arial"/>
                <w:b/>
                <w:i w:val="0"/>
                <w:sz w:val="19"/>
              </w:rPr>
              <w:t>Año 3</w:t>
            </w:r>
          </w:p>
        </w:tc>
      </w:tr>
      <w:tr>
        <w:trPr>
          <w:cantSplit/>
        </w:trPr>
        <w:tc>
          <w:tcPr>
            <w:tcW w:type="dxa" w:w="3742"/>
          </w:tcPr>
          <w:p>
            <w:pPr>
              <w:keepNext/>
              <w:spacing w:after="0" w:before="0" w:line="240" w:lineRule="auto"/>
              <w:jc w:val="left"/>
            </w:pPr>
            <w:r>
              <w:rPr>
                <w:rFonts w:ascii="Arial" w:hAnsi="Arial" w:cs="Arial"/>
                <w:b w:val="0"/>
                <w:i w:val="0"/>
                <w:sz w:val="19"/>
              </w:rPr>
              <w:t>Ingresos por comisiones</w:t>
            </w:r>
          </w:p>
        </w:tc>
        <w:tc>
          <w:tcPr>
            <w:tcW w:type="dxa" w:w="1587"/>
          </w:tcPr>
          <w:p>
            <w:pPr>
              <w:keepNext/>
              <w:spacing w:after="0" w:before="0" w:line="240" w:lineRule="auto"/>
              <w:jc w:val="left"/>
            </w:pPr>
            <w:r>
              <w:rPr>
                <w:rFonts w:ascii="Arial" w:hAnsi="Arial" w:cs="Arial"/>
                <w:b w:val="0"/>
                <w:i w:val="0"/>
                <w:sz w:val="19"/>
              </w:rPr>
              <w:t>70 200</w:t>
            </w:r>
          </w:p>
        </w:tc>
        <w:tc>
          <w:tcPr>
            <w:tcW w:type="dxa" w:w="1587"/>
          </w:tcPr>
          <w:p>
            <w:pPr>
              <w:keepNext/>
              <w:spacing w:after="0" w:before="0" w:line="240" w:lineRule="auto"/>
              <w:jc w:val="left"/>
            </w:pPr>
            <w:r>
              <w:rPr>
                <w:rFonts w:ascii="Arial" w:hAnsi="Arial" w:cs="Arial"/>
                <w:b w:val="0"/>
                <w:i w:val="0"/>
                <w:sz w:val="19"/>
              </w:rPr>
              <w:t>187 200</w:t>
            </w:r>
          </w:p>
        </w:tc>
        <w:tc>
          <w:tcPr>
            <w:tcW w:type="dxa" w:w="1587"/>
          </w:tcPr>
          <w:p>
            <w:pPr>
              <w:keepNext/>
              <w:spacing w:after="0" w:before="0" w:line="240" w:lineRule="auto"/>
              <w:jc w:val="left"/>
            </w:pPr>
            <w:r>
              <w:rPr>
                <w:rFonts w:ascii="Arial" w:hAnsi="Arial" w:cs="Arial"/>
                <w:b w:val="0"/>
                <w:i w:val="0"/>
                <w:sz w:val="19"/>
              </w:rPr>
              <w:t>351 000</w:t>
            </w:r>
          </w:p>
        </w:tc>
      </w:tr>
      <w:tr>
        <w:trPr>
          <w:cantSplit/>
        </w:trPr>
        <w:tc>
          <w:tcPr>
            <w:tcW w:type="dxa" w:w="3742"/>
          </w:tcPr>
          <w:p>
            <w:pPr>
              <w:keepNext/>
              <w:spacing w:after="0" w:before="0" w:line="240" w:lineRule="auto"/>
              <w:jc w:val="left"/>
            </w:pPr>
            <w:r>
              <w:rPr>
                <w:rFonts w:ascii="Arial" w:hAnsi="Arial" w:cs="Arial"/>
                <w:b w:val="0"/>
                <w:i w:val="0"/>
                <w:sz w:val="19"/>
              </w:rPr>
              <w:t>Ingresos por suscripciones</w:t>
            </w:r>
          </w:p>
        </w:tc>
        <w:tc>
          <w:tcPr>
            <w:tcW w:type="dxa" w:w="1587"/>
          </w:tcPr>
          <w:p>
            <w:pPr>
              <w:keepNext/>
              <w:spacing w:after="0" w:before="0" w:line="240" w:lineRule="auto"/>
              <w:jc w:val="left"/>
            </w:pPr>
            <w:r>
              <w:rPr>
                <w:rFonts w:ascii="Arial" w:hAnsi="Arial" w:cs="Arial"/>
                <w:b w:val="0"/>
                <w:i w:val="0"/>
                <w:sz w:val="19"/>
              </w:rPr>
              <w:t>24 000</w:t>
            </w:r>
          </w:p>
        </w:tc>
        <w:tc>
          <w:tcPr>
            <w:tcW w:type="dxa" w:w="1587"/>
          </w:tcPr>
          <w:p>
            <w:pPr>
              <w:keepNext/>
              <w:spacing w:after="0" w:before="0" w:line="240" w:lineRule="auto"/>
              <w:jc w:val="left"/>
            </w:pPr>
            <w:r>
              <w:rPr>
                <w:rFonts w:ascii="Arial" w:hAnsi="Arial" w:cs="Arial"/>
                <w:b w:val="0"/>
                <w:i w:val="0"/>
                <w:sz w:val="19"/>
              </w:rPr>
              <w:t>72 000</w:t>
            </w:r>
          </w:p>
        </w:tc>
        <w:tc>
          <w:tcPr>
            <w:tcW w:type="dxa" w:w="1587"/>
          </w:tcPr>
          <w:p>
            <w:pPr>
              <w:keepNext/>
              <w:spacing w:after="0" w:before="0" w:line="240" w:lineRule="auto"/>
              <w:jc w:val="left"/>
            </w:pPr>
            <w:r>
              <w:rPr>
                <w:rFonts w:ascii="Arial" w:hAnsi="Arial" w:cs="Arial"/>
                <w:b w:val="0"/>
                <w:i w:val="0"/>
                <w:sz w:val="19"/>
              </w:rPr>
              <w:t>144 000</w:t>
            </w:r>
          </w:p>
        </w:tc>
      </w:tr>
      <w:tr>
        <w:trPr>
          <w:cantSplit/>
        </w:trPr>
        <w:tc>
          <w:tcPr>
            <w:tcW w:type="dxa" w:w="3742"/>
          </w:tcPr>
          <w:p>
            <w:pPr>
              <w:keepNext/>
              <w:spacing w:after="0" w:before="0" w:line="240" w:lineRule="auto"/>
              <w:jc w:val="left"/>
            </w:pPr>
            <w:r>
              <w:rPr>
                <w:rFonts w:ascii="Arial" w:hAnsi="Arial" w:cs="Arial"/>
                <w:b/>
                <w:i w:val="0"/>
                <w:sz w:val="19"/>
              </w:rPr>
              <w:t>Ingresos totales</w:t>
            </w:r>
          </w:p>
        </w:tc>
        <w:tc>
          <w:tcPr>
            <w:tcW w:type="dxa" w:w="1587"/>
          </w:tcPr>
          <w:p>
            <w:pPr>
              <w:keepNext/>
              <w:spacing w:after="0" w:before="0" w:line="240" w:lineRule="auto"/>
              <w:jc w:val="left"/>
            </w:pPr>
            <w:r>
              <w:rPr>
                <w:rFonts w:ascii="Arial" w:hAnsi="Arial" w:cs="Arial"/>
                <w:b/>
                <w:i w:val="0"/>
                <w:sz w:val="19"/>
              </w:rPr>
              <w:t>94 200</w:t>
            </w:r>
          </w:p>
        </w:tc>
        <w:tc>
          <w:tcPr>
            <w:tcW w:type="dxa" w:w="1587"/>
          </w:tcPr>
          <w:p>
            <w:pPr>
              <w:keepNext/>
              <w:spacing w:after="0" w:before="0" w:line="240" w:lineRule="auto"/>
              <w:jc w:val="left"/>
            </w:pPr>
            <w:r>
              <w:rPr>
                <w:rFonts w:ascii="Arial" w:hAnsi="Arial" w:cs="Arial"/>
                <w:b/>
                <w:i w:val="0"/>
                <w:sz w:val="19"/>
              </w:rPr>
              <w:t>259 200</w:t>
            </w:r>
          </w:p>
        </w:tc>
        <w:tc>
          <w:tcPr>
            <w:tcW w:type="dxa" w:w="1587"/>
          </w:tcPr>
          <w:p>
            <w:pPr>
              <w:keepNext/>
              <w:spacing w:after="0" w:before="0" w:line="240" w:lineRule="auto"/>
              <w:jc w:val="left"/>
            </w:pPr>
            <w:r>
              <w:rPr>
                <w:rFonts w:ascii="Arial" w:hAnsi="Arial" w:cs="Arial"/>
                <w:b/>
                <w:i w:val="0"/>
                <w:sz w:val="19"/>
              </w:rPr>
              <w:t>495 000</w:t>
            </w:r>
          </w:p>
        </w:tc>
      </w:tr>
      <w:tr>
        <w:trPr>
          <w:cantSplit/>
        </w:trPr>
        <w:tc>
          <w:tcPr>
            <w:tcW w:type="dxa" w:w="3742"/>
          </w:tcPr>
          <w:p>
            <w:pPr>
              <w:keepNext/>
              <w:spacing w:after="0" w:before="0" w:line="240" w:lineRule="auto"/>
              <w:jc w:val="left"/>
            </w:pPr>
            <w:r>
              <w:rPr>
                <w:rFonts w:ascii="Arial" w:hAnsi="Arial" w:cs="Arial"/>
                <w:b w:val="0"/>
                <w:i w:val="0"/>
                <w:sz w:val="19"/>
              </w:rPr>
              <w:t>(–) Costo de pasarela de pago</w:t>
            </w:r>
          </w:p>
        </w:tc>
        <w:tc>
          <w:tcPr>
            <w:tcW w:type="dxa" w:w="1587"/>
          </w:tcPr>
          <w:p>
            <w:pPr>
              <w:keepNext/>
              <w:spacing w:after="0" w:before="0" w:line="240" w:lineRule="auto"/>
              <w:jc w:val="left"/>
            </w:pPr>
            <w:r>
              <w:rPr>
                <w:rFonts w:ascii="Arial" w:hAnsi="Arial" w:cs="Arial"/>
                <w:b w:val="0"/>
                <w:i w:val="0"/>
                <w:sz w:val="19"/>
              </w:rPr>
              <w:t>16 380</w:t>
            </w:r>
          </w:p>
        </w:tc>
        <w:tc>
          <w:tcPr>
            <w:tcW w:type="dxa" w:w="1587"/>
          </w:tcPr>
          <w:p>
            <w:pPr>
              <w:keepNext/>
              <w:spacing w:after="0" w:before="0" w:line="240" w:lineRule="auto"/>
              <w:jc w:val="left"/>
            </w:pPr>
            <w:r>
              <w:rPr>
                <w:rFonts w:ascii="Arial" w:hAnsi="Arial" w:cs="Arial"/>
                <w:b w:val="0"/>
                <w:i w:val="0"/>
                <w:sz w:val="19"/>
              </w:rPr>
              <w:t>43 680</w:t>
            </w:r>
          </w:p>
        </w:tc>
        <w:tc>
          <w:tcPr>
            <w:tcW w:type="dxa" w:w="1587"/>
          </w:tcPr>
          <w:p>
            <w:pPr>
              <w:keepNext/>
              <w:spacing w:after="0" w:before="0" w:line="240" w:lineRule="auto"/>
              <w:jc w:val="left"/>
            </w:pPr>
            <w:r>
              <w:rPr>
                <w:rFonts w:ascii="Arial" w:hAnsi="Arial" w:cs="Arial"/>
                <w:b w:val="0"/>
                <w:i w:val="0"/>
                <w:sz w:val="19"/>
              </w:rPr>
              <w:t>81 900</w:t>
            </w:r>
          </w:p>
        </w:tc>
      </w:tr>
      <w:tr>
        <w:trPr>
          <w:cantSplit/>
        </w:trPr>
        <w:tc>
          <w:tcPr>
            <w:tcW w:type="dxa" w:w="3742"/>
          </w:tcPr>
          <w:p>
            <w:pPr>
              <w:keepNext/>
              <w:spacing w:after="0" w:before="0" w:line="240" w:lineRule="auto"/>
              <w:jc w:val="left"/>
            </w:pPr>
            <w:r>
              <w:rPr>
                <w:rFonts w:ascii="Arial" w:hAnsi="Arial" w:cs="Arial"/>
                <w:b w:val="0"/>
                <w:i w:val="0"/>
                <w:sz w:val="19"/>
              </w:rPr>
              <w:t>(–) Gastos fijos</w:t>
            </w:r>
          </w:p>
        </w:tc>
        <w:tc>
          <w:tcPr>
            <w:tcW w:type="dxa" w:w="1587"/>
          </w:tcPr>
          <w:p>
            <w:pPr>
              <w:keepNext/>
              <w:spacing w:after="0" w:before="0" w:line="240" w:lineRule="auto"/>
              <w:jc w:val="left"/>
            </w:pPr>
            <w:r>
              <w:rPr>
                <w:rFonts w:ascii="Arial" w:hAnsi="Arial" w:cs="Arial"/>
                <w:b w:val="0"/>
                <w:i w:val="0"/>
                <w:sz w:val="19"/>
              </w:rPr>
              <w:t>129 600</w:t>
            </w:r>
          </w:p>
        </w:tc>
        <w:tc>
          <w:tcPr>
            <w:tcW w:type="dxa" w:w="1587"/>
          </w:tcPr>
          <w:p>
            <w:pPr>
              <w:keepNext/>
              <w:spacing w:after="0" w:before="0" w:line="240" w:lineRule="auto"/>
              <w:jc w:val="left"/>
            </w:pPr>
            <w:r>
              <w:rPr>
                <w:rFonts w:ascii="Arial" w:hAnsi="Arial" w:cs="Arial"/>
                <w:b w:val="0"/>
                <w:i w:val="0"/>
                <w:sz w:val="19"/>
              </w:rPr>
              <w:t>180 000</w:t>
            </w:r>
          </w:p>
        </w:tc>
        <w:tc>
          <w:tcPr>
            <w:tcW w:type="dxa" w:w="1587"/>
          </w:tcPr>
          <w:p>
            <w:pPr>
              <w:keepNext/>
              <w:spacing w:after="0" w:before="0" w:line="240" w:lineRule="auto"/>
              <w:jc w:val="left"/>
            </w:pPr>
            <w:r>
              <w:rPr>
                <w:rFonts w:ascii="Arial" w:hAnsi="Arial" w:cs="Arial"/>
                <w:b w:val="0"/>
                <w:i w:val="0"/>
                <w:sz w:val="19"/>
              </w:rPr>
              <w:t>240 000</w:t>
            </w:r>
          </w:p>
        </w:tc>
      </w:tr>
      <w:tr>
        <w:trPr>
          <w:cantSplit/>
        </w:trPr>
        <w:tc>
          <w:tcPr>
            <w:tcW w:type="dxa" w:w="3742"/>
          </w:tcPr>
          <w:p>
            <w:pPr>
              <w:spacing w:after="0" w:before="0" w:line="240" w:lineRule="auto"/>
              <w:jc w:val="left"/>
            </w:pPr>
            <w:r>
              <w:rPr>
                <w:rFonts w:ascii="Arial" w:hAnsi="Arial" w:cs="Arial"/>
                <w:b/>
                <w:i w:val="0"/>
                <w:sz w:val="19"/>
              </w:rPr>
              <w:t>Resultado antes de impuestos</w:t>
            </w:r>
          </w:p>
        </w:tc>
        <w:tc>
          <w:tcPr>
            <w:tcW w:type="dxa" w:w="1587"/>
          </w:tcPr>
          <w:p>
            <w:pPr>
              <w:spacing w:after="0" w:before="0" w:line="240" w:lineRule="auto"/>
              <w:jc w:val="left"/>
            </w:pPr>
            <w:r>
              <w:rPr>
                <w:rFonts w:ascii="Arial" w:hAnsi="Arial" w:cs="Arial"/>
                <w:b/>
                <w:i w:val="0"/>
                <w:sz w:val="19"/>
              </w:rPr>
              <w:t>–51 780</w:t>
            </w:r>
          </w:p>
        </w:tc>
        <w:tc>
          <w:tcPr>
            <w:tcW w:type="dxa" w:w="1587"/>
          </w:tcPr>
          <w:p>
            <w:pPr>
              <w:spacing w:after="0" w:before="0" w:line="240" w:lineRule="auto"/>
              <w:jc w:val="left"/>
            </w:pPr>
            <w:r>
              <w:rPr>
                <w:rFonts w:ascii="Arial" w:hAnsi="Arial" w:cs="Arial"/>
                <w:b/>
                <w:i w:val="0"/>
                <w:sz w:val="19"/>
              </w:rPr>
              <w:t>35 520</w:t>
            </w:r>
          </w:p>
        </w:tc>
        <w:tc>
          <w:tcPr>
            <w:tcW w:type="dxa" w:w="1587"/>
          </w:tcPr>
          <w:p>
            <w:pPr>
              <w:spacing w:after="0" w:before="0" w:line="240" w:lineRule="auto"/>
              <w:jc w:val="left"/>
            </w:pPr>
            <w:r>
              <w:rPr>
                <w:rFonts w:ascii="Arial" w:hAnsi="Arial" w:cs="Arial"/>
                <w:b/>
                <w:i w:val="0"/>
                <w:sz w:val="19"/>
              </w:rPr>
              <w:t>173 100</w:t>
            </w:r>
          </w:p>
        </w:tc>
      </w:tr>
    </w:tbl>
    <w:p>
      <w:pPr>
        <w:spacing w:after="80" w:before="0" w:line="240" w:lineRule="auto"/>
        <w:jc w:val="both"/>
      </w:pPr>
    </w:p>
    <w:p>
      <w:pPr>
        <w:spacing w:after="160" w:before="0" w:line="240" w:lineRule="auto"/>
        <w:jc w:val="center"/>
      </w:pPr>
      <w:r>
        <w:rPr>
          <w:rFonts w:ascii="Arial" w:hAnsi="Arial" w:cs="Arial"/>
          <w:b w:val="0"/>
          <w:i/>
          <w:sz w:val="18"/>
        </w:rPr>
        <w:t>Tabla. Estado de resultados proyectado (simplificado, antes de impuestos).</w:t>
      </w:r>
    </w:p>
    <w:p>
      <w:pPr>
        <w:spacing w:after="120" w:before="0" w:line="240" w:lineRule="auto"/>
        <w:jc w:val="both"/>
      </w:pPr>
      <w:r>
        <w:rPr>
          <w:rFonts w:ascii="Arial" w:hAnsi="Arial" w:cs="Arial"/>
          <w:b w:val="0"/>
          <w:i w:val="0"/>
          <w:sz w:val="22"/>
        </w:rPr>
        <w:t xml:space="preserve">Considerando la inversión inicial y la recuperación del capital de trabajo al final del año 3, y una tasa de descuento referencial de 15 %, el proyecto obtendría un </w:t>
      </w:r>
      <w:r>
        <w:rPr>
          <w:rFonts w:ascii="Arial" w:hAnsi="Arial" w:cs="Arial"/>
          <w:b/>
          <w:i w:val="0"/>
          <w:sz w:val="22"/>
        </w:rPr>
        <w:t>VAN aproximado de S/ 27 300</w:t>
      </w:r>
      <w:r>
        <w:rPr>
          <w:rFonts w:ascii="Arial" w:hAnsi="Arial" w:cs="Arial"/>
          <w:b w:val="0"/>
          <w:i w:val="0"/>
          <w:sz w:val="22"/>
        </w:rPr>
        <w:t xml:space="preserve"> y una </w:t>
      </w:r>
      <w:r>
        <w:rPr>
          <w:rFonts w:ascii="Arial" w:hAnsi="Arial" w:cs="Arial"/>
          <w:b/>
          <w:i w:val="0"/>
          <w:sz w:val="22"/>
        </w:rPr>
        <w:t>TIR aproximada de 24 %</w:t>
      </w:r>
      <w:r>
        <w:rPr>
          <w:rFonts w:ascii="Arial" w:hAnsi="Arial" w:cs="Arial"/>
          <w:b w:val="0"/>
          <w:i w:val="0"/>
          <w:sz w:val="22"/>
        </w:rPr>
        <w:t>, con recuperación de la inversión durante el tercer año. El primer año presenta una pérdida mayor que el capital de trabajo previsto (aproximadamente S/ 19 400 adicionales), que debería cubrirse con aportes de los socios o con financiamiento. Análisis de sensibilidad del ticket promedio: con S/ 150 el VAN sería de S/ 78 400 (TIR de 39 %); con S/ 120, de S/ 1 700 (TIR de 16 %); y con S/ 110 sería negativo, de –S/ 23 800 (TIR de 7 %). Es decir, el proyecto solo es viable si el ticket promedio supera aproximadamente S/ 120, por lo que conviene validar los precios con técnicos y vecinos reales. Estos indicadores son preliminares y no incluyen impuestos ni depreciación; se recomienda recalcularlos con datos validados.</w:t>
      </w:r>
    </w:p>
    <w:p>
      <w:pPr>
        <w:pStyle w:val="Ttulo1"/>
        <w:pageBreakBefore/>
      </w:pPr>
      <w:r>
        <w:rPr>
          <w:rFonts w:ascii="Arial" w:hAnsi="Arial"/>
        </w:rPr>
        <w:t>CAPÍTULO 2: IDENTIFICACIÓN DE LA IDEA DE NEGOCIO</w:t>
      </w:r>
    </w:p>
    <w:p>
      <w:pPr>
        <w:pStyle w:val="Ttulo2"/>
      </w:pPr>
      <w:r>
        <w:rPr>
          <w:rFonts w:ascii="Arial" w:hAnsi="Arial"/>
        </w:rPr>
        <w:t>2.1 Identificación de la idea de negocio: lluvia de ideas</w:t>
      </w:r>
    </w:p>
    <w:p>
      <w:pPr>
        <w:spacing w:after="120" w:before="0" w:line="240" w:lineRule="auto"/>
        <w:jc w:val="both"/>
      </w:pPr>
      <w:r>
        <w:rPr>
          <w:rFonts w:ascii="Arial" w:hAnsi="Arial" w:cs="Arial"/>
          <w:b w:val="0"/>
          <w:i w:val="0"/>
          <w:sz w:val="22"/>
        </w:rPr>
        <w:t xml:space="preserve">Para identificar la idea se aplicó la técnica de </w:t>
      </w:r>
      <w:r>
        <w:rPr>
          <w:rFonts w:ascii="Arial" w:hAnsi="Arial" w:cs="Arial"/>
          <w:b/>
          <w:i w:val="0"/>
          <w:sz w:val="22"/>
        </w:rPr>
        <w:t>lluvia de ideas</w:t>
      </w:r>
      <w:r>
        <w:rPr>
          <w:rFonts w:ascii="Arial" w:hAnsi="Arial" w:cs="Arial"/>
          <w:b w:val="0"/>
          <w:i w:val="0"/>
          <w:sz w:val="22"/>
        </w:rPr>
        <w:t xml:space="preserve">, complementada con </w:t>
      </w:r>
      <w:r>
        <w:rPr>
          <w:rFonts w:ascii="Arial" w:hAnsi="Arial" w:cs="Arial"/>
          <w:b/>
          <w:i w:val="0"/>
          <w:sz w:val="22"/>
        </w:rPr>
        <w:t>preguntas detonantes</w:t>
      </w:r>
      <w:r>
        <w:rPr>
          <w:rFonts w:ascii="Arial" w:hAnsi="Arial" w:cs="Arial"/>
          <w:b w:val="0"/>
          <w:i w:val="0"/>
          <w:sz w:val="22"/>
        </w:rPr>
        <w:t xml:space="preserve"> sobre problemas cotidianos del equipo y su entorno: ¿qué servicio nos cuesta conseguir con confianza?, ¿qué problema se repite en nuestros edificios o barrios?, ¿qué pasaría si los vecinos pudieran contratar juntos? Las ideas generadas se evaluaron con cuatro criterios del curso, en una escala de 1 (bajo) a 5 (alto).</w:t>
      </w:r>
    </w:p>
    <w:tbl>
      <w:tblPr>
        <w:tblW w:type="dxa" w:w="8505"/>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2835"/>
        <w:gridCol w:w="1247"/>
        <w:gridCol w:w="1247"/>
        <w:gridCol w:w="1134"/>
        <w:gridCol w:w="1247"/>
        <w:gridCol w:w="793"/>
      </w:tblGrid>
      <w:tr>
        <w:trPr>
          <w:cantSplit/>
          <w:tblHeader/>
        </w:trPr>
        <w:tc>
          <w:tcPr>
            <w:tcW w:type="dxa" w:w="2835"/>
            <w:shd w:val="clear" w:color="auto" w:fill="D9E2F3"/>
          </w:tcPr>
          <w:p>
            <w:pPr>
              <w:keepNext/>
              <w:spacing w:after="0" w:before="0" w:line="240" w:lineRule="auto"/>
              <w:jc w:val="left"/>
            </w:pPr>
            <w:r>
              <w:rPr>
                <w:rFonts w:ascii="Arial" w:hAnsi="Arial" w:cs="Arial"/>
                <w:b/>
                <w:i w:val="0"/>
                <w:sz w:val="19"/>
              </w:rPr>
              <w:t>Idea</w:t>
            </w:r>
          </w:p>
        </w:tc>
        <w:tc>
          <w:tcPr>
            <w:tcW w:type="dxa" w:w="1247"/>
            <w:shd w:val="clear" w:color="auto" w:fill="D9E2F3"/>
          </w:tcPr>
          <w:p>
            <w:pPr>
              <w:keepNext/>
              <w:spacing w:after="0" w:before="0" w:line="240" w:lineRule="auto"/>
              <w:jc w:val="left"/>
            </w:pPr>
            <w:r>
              <w:rPr>
                <w:rFonts w:ascii="Arial" w:hAnsi="Arial" w:cs="Arial"/>
                <w:b/>
                <w:i w:val="0"/>
                <w:sz w:val="19"/>
              </w:rPr>
              <w:t>Contenido tecnológico y digital</w:t>
            </w:r>
          </w:p>
        </w:tc>
        <w:tc>
          <w:tcPr>
            <w:tcW w:type="dxa" w:w="1247"/>
            <w:shd w:val="clear" w:color="auto" w:fill="D9E2F3"/>
          </w:tcPr>
          <w:p>
            <w:pPr>
              <w:keepNext/>
              <w:spacing w:after="0" w:before="0" w:line="240" w:lineRule="auto"/>
              <w:jc w:val="left"/>
            </w:pPr>
            <w:r>
              <w:rPr>
                <w:rFonts w:ascii="Arial" w:hAnsi="Arial" w:cs="Arial"/>
                <w:b/>
                <w:i w:val="0"/>
                <w:sz w:val="19"/>
              </w:rPr>
              <w:t>Impacto social y ecológico</w:t>
            </w:r>
          </w:p>
        </w:tc>
        <w:tc>
          <w:tcPr>
            <w:tcW w:type="dxa" w:w="1134"/>
            <w:shd w:val="clear" w:color="auto" w:fill="D9E2F3"/>
          </w:tcPr>
          <w:p>
            <w:pPr>
              <w:keepNext/>
              <w:spacing w:after="0" w:before="0" w:line="240" w:lineRule="auto"/>
              <w:jc w:val="left"/>
            </w:pPr>
            <w:r>
              <w:rPr>
                <w:rFonts w:ascii="Arial" w:hAnsi="Arial" w:cs="Arial"/>
                <w:b/>
                <w:i w:val="0"/>
                <w:sz w:val="19"/>
              </w:rPr>
              <w:t>Tamaño de mercado</w:t>
            </w:r>
          </w:p>
        </w:tc>
        <w:tc>
          <w:tcPr>
            <w:tcW w:type="dxa" w:w="1247"/>
            <w:shd w:val="clear" w:color="auto" w:fill="D9E2F3"/>
          </w:tcPr>
          <w:p>
            <w:pPr>
              <w:keepNext/>
              <w:spacing w:after="0" w:before="0" w:line="240" w:lineRule="auto"/>
              <w:jc w:val="left"/>
            </w:pPr>
            <w:r>
              <w:rPr>
                <w:rFonts w:ascii="Arial" w:hAnsi="Arial" w:cs="Arial"/>
                <w:b/>
                <w:i w:val="0"/>
                <w:sz w:val="19"/>
              </w:rPr>
              <w:t>Viabilidad para el equipo</w:t>
            </w:r>
          </w:p>
        </w:tc>
        <w:tc>
          <w:tcPr>
            <w:tcW w:type="dxa" w:w="794"/>
            <w:shd w:val="clear" w:color="auto" w:fill="D9E2F3"/>
          </w:tcPr>
          <w:p>
            <w:pPr>
              <w:keepNext/>
              <w:spacing w:after="0" w:before="0" w:line="240" w:lineRule="auto"/>
              <w:jc w:val="left"/>
            </w:pPr>
            <w:r>
              <w:rPr>
                <w:rFonts w:ascii="Arial" w:hAnsi="Arial" w:cs="Arial"/>
                <w:b/>
                <w:i w:val="0"/>
                <w:sz w:val="19"/>
              </w:rPr>
              <w:t>Total</w:t>
            </w:r>
          </w:p>
        </w:tc>
      </w:tr>
      <w:tr>
        <w:trPr>
          <w:cantSplit/>
        </w:trPr>
        <w:tc>
          <w:tcPr>
            <w:tcW w:type="dxa" w:w="2835"/>
          </w:tcPr>
          <w:p>
            <w:pPr>
              <w:keepNext/>
              <w:spacing w:after="0" w:before="0" w:line="240" w:lineRule="auto"/>
              <w:jc w:val="left"/>
            </w:pPr>
            <w:r>
              <w:rPr>
                <w:rFonts w:ascii="Arial" w:hAnsi="Arial" w:cs="Arial"/>
                <w:b w:val="0"/>
                <w:i w:val="0"/>
                <w:sz w:val="19"/>
              </w:rPr>
              <w:t>App de servicios generales para condominios</w:t>
            </w:r>
          </w:p>
        </w:tc>
        <w:tc>
          <w:tcPr>
            <w:tcW w:type="dxa" w:w="1247"/>
          </w:tcPr>
          <w:p>
            <w:pPr>
              <w:keepNext/>
              <w:spacing w:after="0" w:before="0" w:line="240" w:lineRule="auto"/>
              <w:jc w:val="left"/>
            </w:pPr>
            <w:r>
              <w:rPr>
                <w:rFonts w:ascii="Arial" w:hAnsi="Arial" w:cs="Arial"/>
                <w:b w:val="0"/>
                <w:i w:val="0"/>
                <w:sz w:val="19"/>
              </w:rPr>
              <w:t>5</w:t>
            </w:r>
          </w:p>
        </w:tc>
        <w:tc>
          <w:tcPr>
            <w:tcW w:type="dxa" w:w="1247"/>
          </w:tcPr>
          <w:p>
            <w:pPr>
              <w:keepNext/>
              <w:spacing w:after="0" w:before="0" w:line="240" w:lineRule="auto"/>
              <w:jc w:val="left"/>
            </w:pPr>
            <w:r>
              <w:rPr>
                <w:rFonts w:ascii="Arial" w:hAnsi="Arial" w:cs="Arial"/>
                <w:b w:val="0"/>
                <w:i w:val="0"/>
                <w:sz w:val="19"/>
              </w:rPr>
              <w:t>5</w:t>
            </w:r>
          </w:p>
        </w:tc>
        <w:tc>
          <w:tcPr>
            <w:tcW w:type="dxa" w:w="1134"/>
          </w:tcPr>
          <w:p>
            <w:pPr>
              <w:keepNext/>
              <w:spacing w:after="0" w:before="0" w:line="240" w:lineRule="auto"/>
              <w:jc w:val="left"/>
            </w:pPr>
            <w:r>
              <w:rPr>
                <w:rFonts w:ascii="Arial" w:hAnsi="Arial" w:cs="Arial"/>
                <w:b w:val="0"/>
                <w:i w:val="0"/>
                <w:sz w:val="19"/>
              </w:rPr>
              <w:t>5</w:t>
            </w:r>
          </w:p>
        </w:tc>
        <w:tc>
          <w:tcPr>
            <w:tcW w:type="dxa" w:w="1247"/>
          </w:tcPr>
          <w:p>
            <w:pPr>
              <w:keepNext/>
              <w:spacing w:after="0" w:before="0" w:line="240" w:lineRule="auto"/>
              <w:jc w:val="left"/>
            </w:pPr>
            <w:r>
              <w:rPr>
                <w:rFonts w:ascii="Arial" w:hAnsi="Arial" w:cs="Arial"/>
                <w:b w:val="0"/>
                <w:i w:val="0"/>
                <w:sz w:val="19"/>
              </w:rPr>
              <w:t>4</w:t>
            </w:r>
          </w:p>
        </w:tc>
        <w:tc>
          <w:tcPr>
            <w:tcW w:type="dxa" w:w="794"/>
          </w:tcPr>
          <w:p>
            <w:pPr>
              <w:keepNext/>
              <w:spacing w:after="0" w:before="0" w:line="240" w:lineRule="auto"/>
              <w:jc w:val="left"/>
            </w:pPr>
            <w:r>
              <w:rPr>
                <w:rFonts w:ascii="Arial" w:hAnsi="Arial" w:cs="Arial"/>
                <w:b/>
                <w:i w:val="0"/>
                <w:sz w:val="19"/>
              </w:rPr>
              <w:t>19</w:t>
            </w:r>
          </w:p>
        </w:tc>
      </w:tr>
      <w:tr>
        <w:trPr>
          <w:cantSplit/>
        </w:trPr>
        <w:tc>
          <w:tcPr>
            <w:tcW w:type="dxa" w:w="2835"/>
          </w:tcPr>
          <w:p>
            <w:pPr>
              <w:keepNext/>
              <w:spacing w:after="0" w:before="0" w:line="240" w:lineRule="auto"/>
              <w:jc w:val="left"/>
            </w:pPr>
            <w:r>
              <w:rPr>
                <w:rFonts w:ascii="Arial" w:hAnsi="Arial" w:cs="Arial"/>
                <w:b w:val="0"/>
                <w:i w:val="0"/>
                <w:sz w:val="19"/>
              </w:rPr>
              <w:t>Lavandería ecológica a domicilio</w:t>
            </w:r>
          </w:p>
        </w:tc>
        <w:tc>
          <w:tcPr>
            <w:tcW w:type="dxa" w:w="1247"/>
          </w:tcPr>
          <w:p>
            <w:pPr>
              <w:keepNext/>
              <w:spacing w:after="0" w:before="0" w:line="240" w:lineRule="auto"/>
              <w:jc w:val="left"/>
            </w:pPr>
            <w:r>
              <w:rPr>
                <w:rFonts w:ascii="Arial" w:hAnsi="Arial" w:cs="Arial"/>
                <w:b w:val="0"/>
                <w:i w:val="0"/>
                <w:sz w:val="19"/>
              </w:rPr>
              <w:t>3</w:t>
            </w:r>
          </w:p>
        </w:tc>
        <w:tc>
          <w:tcPr>
            <w:tcW w:type="dxa" w:w="1247"/>
          </w:tcPr>
          <w:p>
            <w:pPr>
              <w:keepNext/>
              <w:spacing w:after="0" w:before="0" w:line="240" w:lineRule="auto"/>
              <w:jc w:val="left"/>
            </w:pPr>
            <w:r>
              <w:rPr>
                <w:rFonts w:ascii="Arial" w:hAnsi="Arial" w:cs="Arial"/>
                <w:b w:val="0"/>
                <w:i w:val="0"/>
                <w:sz w:val="19"/>
              </w:rPr>
              <w:t>4</w:t>
            </w:r>
          </w:p>
        </w:tc>
        <w:tc>
          <w:tcPr>
            <w:tcW w:type="dxa" w:w="1134"/>
          </w:tcPr>
          <w:p>
            <w:pPr>
              <w:keepNext/>
              <w:spacing w:after="0" w:before="0" w:line="240" w:lineRule="auto"/>
              <w:jc w:val="left"/>
            </w:pPr>
            <w:r>
              <w:rPr>
                <w:rFonts w:ascii="Arial" w:hAnsi="Arial" w:cs="Arial"/>
                <w:b w:val="0"/>
                <w:i w:val="0"/>
                <w:sz w:val="19"/>
              </w:rPr>
              <w:t>4</w:t>
            </w:r>
          </w:p>
        </w:tc>
        <w:tc>
          <w:tcPr>
            <w:tcW w:type="dxa" w:w="1247"/>
          </w:tcPr>
          <w:p>
            <w:pPr>
              <w:keepNext/>
              <w:spacing w:after="0" w:before="0" w:line="240" w:lineRule="auto"/>
              <w:jc w:val="left"/>
            </w:pPr>
            <w:r>
              <w:rPr>
                <w:rFonts w:ascii="Arial" w:hAnsi="Arial" w:cs="Arial"/>
                <w:b w:val="0"/>
                <w:i w:val="0"/>
                <w:sz w:val="19"/>
              </w:rPr>
              <w:t>3</w:t>
            </w:r>
          </w:p>
        </w:tc>
        <w:tc>
          <w:tcPr>
            <w:tcW w:type="dxa" w:w="794"/>
          </w:tcPr>
          <w:p>
            <w:pPr>
              <w:keepNext/>
              <w:spacing w:after="0" w:before="0" w:line="240" w:lineRule="auto"/>
              <w:jc w:val="left"/>
            </w:pPr>
            <w:r>
              <w:rPr>
                <w:rFonts w:ascii="Arial" w:hAnsi="Arial" w:cs="Arial"/>
                <w:b w:val="0"/>
                <w:i w:val="0"/>
                <w:sz w:val="19"/>
              </w:rPr>
              <w:t>14</w:t>
            </w:r>
          </w:p>
        </w:tc>
      </w:tr>
      <w:tr>
        <w:trPr>
          <w:cantSplit/>
        </w:trPr>
        <w:tc>
          <w:tcPr>
            <w:tcW w:type="dxa" w:w="2835"/>
          </w:tcPr>
          <w:p>
            <w:pPr>
              <w:keepNext/>
              <w:spacing w:after="0" w:before="0" w:line="240" w:lineRule="auto"/>
              <w:jc w:val="left"/>
            </w:pPr>
            <w:r>
              <w:rPr>
                <w:rFonts w:ascii="Arial" w:hAnsi="Arial" w:cs="Arial"/>
                <w:b w:val="0"/>
                <w:i w:val="0"/>
                <w:sz w:val="19"/>
              </w:rPr>
              <w:t>Plataforma de alquiler de herramientas entre vecinos</w:t>
            </w:r>
          </w:p>
        </w:tc>
        <w:tc>
          <w:tcPr>
            <w:tcW w:type="dxa" w:w="1247"/>
          </w:tcPr>
          <w:p>
            <w:pPr>
              <w:keepNext/>
              <w:spacing w:after="0" w:before="0" w:line="240" w:lineRule="auto"/>
              <w:jc w:val="left"/>
            </w:pPr>
            <w:r>
              <w:rPr>
                <w:rFonts w:ascii="Arial" w:hAnsi="Arial" w:cs="Arial"/>
                <w:b w:val="0"/>
                <w:i w:val="0"/>
                <w:sz w:val="19"/>
              </w:rPr>
              <w:t>4</w:t>
            </w:r>
          </w:p>
        </w:tc>
        <w:tc>
          <w:tcPr>
            <w:tcW w:type="dxa" w:w="1247"/>
          </w:tcPr>
          <w:p>
            <w:pPr>
              <w:keepNext/>
              <w:spacing w:after="0" w:before="0" w:line="240" w:lineRule="auto"/>
              <w:jc w:val="left"/>
            </w:pPr>
            <w:r>
              <w:rPr>
                <w:rFonts w:ascii="Arial" w:hAnsi="Arial" w:cs="Arial"/>
                <w:b w:val="0"/>
                <w:i w:val="0"/>
                <w:sz w:val="19"/>
              </w:rPr>
              <w:t>4</w:t>
            </w:r>
          </w:p>
        </w:tc>
        <w:tc>
          <w:tcPr>
            <w:tcW w:type="dxa" w:w="1134"/>
          </w:tcPr>
          <w:p>
            <w:pPr>
              <w:keepNext/>
              <w:spacing w:after="0" w:before="0" w:line="240" w:lineRule="auto"/>
              <w:jc w:val="left"/>
            </w:pPr>
            <w:r>
              <w:rPr>
                <w:rFonts w:ascii="Arial" w:hAnsi="Arial" w:cs="Arial"/>
                <w:b w:val="0"/>
                <w:i w:val="0"/>
                <w:sz w:val="19"/>
              </w:rPr>
              <w:t>3</w:t>
            </w:r>
          </w:p>
        </w:tc>
        <w:tc>
          <w:tcPr>
            <w:tcW w:type="dxa" w:w="1247"/>
          </w:tcPr>
          <w:p>
            <w:pPr>
              <w:keepNext/>
              <w:spacing w:after="0" w:before="0" w:line="240" w:lineRule="auto"/>
              <w:jc w:val="left"/>
            </w:pPr>
            <w:r>
              <w:rPr>
                <w:rFonts w:ascii="Arial" w:hAnsi="Arial" w:cs="Arial"/>
                <w:b w:val="0"/>
                <w:i w:val="0"/>
                <w:sz w:val="19"/>
              </w:rPr>
              <w:t>3</w:t>
            </w:r>
          </w:p>
        </w:tc>
        <w:tc>
          <w:tcPr>
            <w:tcW w:type="dxa" w:w="794"/>
          </w:tcPr>
          <w:p>
            <w:pPr>
              <w:keepNext/>
              <w:spacing w:after="0" w:before="0" w:line="240" w:lineRule="auto"/>
              <w:jc w:val="left"/>
            </w:pPr>
            <w:r>
              <w:rPr>
                <w:rFonts w:ascii="Arial" w:hAnsi="Arial" w:cs="Arial"/>
                <w:b w:val="0"/>
                <w:i w:val="0"/>
                <w:sz w:val="19"/>
              </w:rPr>
              <w:t>14</w:t>
            </w:r>
          </w:p>
        </w:tc>
      </w:tr>
      <w:tr>
        <w:trPr>
          <w:cantSplit/>
        </w:trPr>
        <w:tc>
          <w:tcPr>
            <w:tcW w:type="dxa" w:w="2835"/>
          </w:tcPr>
          <w:p>
            <w:pPr>
              <w:keepNext/>
              <w:spacing w:after="0" w:before="0" w:line="240" w:lineRule="auto"/>
              <w:jc w:val="left"/>
            </w:pPr>
            <w:r>
              <w:rPr>
                <w:rFonts w:ascii="Arial" w:hAnsi="Arial" w:cs="Arial"/>
                <w:b w:val="0"/>
                <w:i w:val="0"/>
                <w:sz w:val="19"/>
              </w:rPr>
              <w:t>Delivery de comida saludable para oficinas</w:t>
            </w:r>
          </w:p>
        </w:tc>
        <w:tc>
          <w:tcPr>
            <w:tcW w:type="dxa" w:w="1247"/>
          </w:tcPr>
          <w:p>
            <w:pPr>
              <w:keepNext/>
              <w:spacing w:after="0" w:before="0" w:line="240" w:lineRule="auto"/>
              <w:jc w:val="left"/>
            </w:pPr>
            <w:r>
              <w:rPr>
                <w:rFonts w:ascii="Arial" w:hAnsi="Arial" w:cs="Arial"/>
                <w:b w:val="0"/>
                <w:i w:val="0"/>
                <w:sz w:val="19"/>
              </w:rPr>
              <w:t>3</w:t>
            </w:r>
          </w:p>
        </w:tc>
        <w:tc>
          <w:tcPr>
            <w:tcW w:type="dxa" w:w="1247"/>
          </w:tcPr>
          <w:p>
            <w:pPr>
              <w:keepNext/>
              <w:spacing w:after="0" w:before="0" w:line="240" w:lineRule="auto"/>
              <w:jc w:val="left"/>
            </w:pPr>
            <w:r>
              <w:rPr>
                <w:rFonts w:ascii="Arial" w:hAnsi="Arial" w:cs="Arial"/>
                <w:b w:val="0"/>
                <w:i w:val="0"/>
                <w:sz w:val="19"/>
              </w:rPr>
              <w:t>3</w:t>
            </w:r>
          </w:p>
        </w:tc>
        <w:tc>
          <w:tcPr>
            <w:tcW w:type="dxa" w:w="1134"/>
          </w:tcPr>
          <w:p>
            <w:pPr>
              <w:keepNext/>
              <w:spacing w:after="0" w:before="0" w:line="240" w:lineRule="auto"/>
              <w:jc w:val="left"/>
            </w:pPr>
            <w:r>
              <w:rPr>
                <w:rFonts w:ascii="Arial" w:hAnsi="Arial" w:cs="Arial"/>
                <w:b w:val="0"/>
                <w:i w:val="0"/>
                <w:sz w:val="19"/>
              </w:rPr>
              <w:t>4</w:t>
            </w:r>
          </w:p>
        </w:tc>
        <w:tc>
          <w:tcPr>
            <w:tcW w:type="dxa" w:w="1247"/>
          </w:tcPr>
          <w:p>
            <w:pPr>
              <w:keepNext/>
              <w:spacing w:after="0" w:before="0" w:line="240" w:lineRule="auto"/>
              <w:jc w:val="left"/>
            </w:pPr>
            <w:r>
              <w:rPr>
                <w:rFonts w:ascii="Arial" w:hAnsi="Arial" w:cs="Arial"/>
                <w:b w:val="0"/>
                <w:i w:val="0"/>
                <w:sz w:val="19"/>
              </w:rPr>
              <w:t>3</w:t>
            </w:r>
          </w:p>
        </w:tc>
        <w:tc>
          <w:tcPr>
            <w:tcW w:type="dxa" w:w="794"/>
          </w:tcPr>
          <w:p>
            <w:pPr>
              <w:keepNext/>
              <w:spacing w:after="0" w:before="0" w:line="240" w:lineRule="auto"/>
              <w:jc w:val="left"/>
            </w:pPr>
            <w:r>
              <w:rPr>
                <w:rFonts w:ascii="Arial" w:hAnsi="Arial" w:cs="Arial"/>
                <w:b w:val="0"/>
                <w:i w:val="0"/>
                <w:sz w:val="19"/>
              </w:rPr>
              <w:t>13</w:t>
            </w:r>
          </w:p>
        </w:tc>
      </w:tr>
      <w:tr>
        <w:trPr>
          <w:cantSplit/>
        </w:trPr>
        <w:tc>
          <w:tcPr>
            <w:tcW w:type="dxa" w:w="2835"/>
          </w:tcPr>
          <w:p>
            <w:pPr>
              <w:spacing w:after="0" w:before="0" w:line="240" w:lineRule="auto"/>
              <w:jc w:val="left"/>
            </w:pPr>
            <w:r>
              <w:rPr>
                <w:rFonts w:ascii="Arial" w:hAnsi="Arial" w:cs="Arial"/>
                <w:b w:val="0"/>
                <w:i w:val="0"/>
                <w:sz w:val="19"/>
              </w:rPr>
              <w:t>Huertos urbanos en azoteas de edificios</w:t>
            </w:r>
          </w:p>
        </w:tc>
        <w:tc>
          <w:tcPr>
            <w:tcW w:type="dxa" w:w="1247"/>
          </w:tcPr>
          <w:p>
            <w:pPr>
              <w:spacing w:after="0" w:before="0" w:line="240" w:lineRule="auto"/>
              <w:jc w:val="left"/>
            </w:pPr>
            <w:r>
              <w:rPr>
                <w:rFonts w:ascii="Arial" w:hAnsi="Arial" w:cs="Arial"/>
                <w:b w:val="0"/>
                <w:i w:val="0"/>
                <w:sz w:val="19"/>
              </w:rPr>
              <w:t>2</w:t>
            </w:r>
          </w:p>
        </w:tc>
        <w:tc>
          <w:tcPr>
            <w:tcW w:type="dxa" w:w="1247"/>
          </w:tcPr>
          <w:p>
            <w:pPr>
              <w:spacing w:after="0" w:before="0" w:line="240" w:lineRule="auto"/>
              <w:jc w:val="left"/>
            </w:pPr>
            <w:r>
              <w:rPr>
                <w:rFonts w:ascii="Arial" w:hAnsi="Arial" w:cs="Arial"/>
                <w:b w:val="0"/>
                <w:i w:val="0"/>
                <w:sz w:val="19"/>
              </w:rPr>
              <w:t>5</w:t>
            </w:r>
          </w:p>
        </w:tc>
        <w:tc>
          <w:tcPr>
            <w:tcW w:type="dxa" w:w="1134"/>
          </w:tcPr>
          <w:p>
            <w:pPr>
              <w:spacing w:after="0" w:before="0" w:line="240" w:lineRule="auto"/>
              <w:jc w:val="left"/>
            </w:pPr>
            <w:r>
              <w:rPr>
                <w:rFonts w:ascii="Arial" w:hAnsi="Arial" w:cs="Arial"/>
                <w:b w:val="0"/>
                <w:i w:val="0"/>
                <w:sz w:val="19"/>
              </w:rPr>
              <w:t>2</w:t>
            </w:r>
          </w:p>
        </w:tc>
        <w:tc>
          <w:tcPr>
            <w:tcW w:type="dxa" w:w="1247"/>
          </w:tcPr>
          <w:p>
            <w:pPr>
              <w:spacing w:after="0" w:before="0" w:line="240" w:lineRule="auto"/>
              <w:jc w:val="left"/>
            </w:pPr>
            <w:r>
              <w:rPr>
                <w:rFonts w:ascii="Arial" w:hAnsi="Arial" w:cs="Arial"/>
                <w:b w:val="0"/>
                <w:i w:val="0"/>
                <w:sz w:val="19"/>
              </w:rPr>
              <w:t>3</w:t>
            </w:r>
          </w:p>
        </w:tc>
        <w:tc>
          <w:tcPr>
            <w:tcW w:type="dxa" w:w="794"/>
          </w:tcPr>
          <w:p>
            <w:pPr>
              <w:spacing w:after="0" w:before="0" w:line="240" w:lineRule="auto"/>
              <w:jc w:val="left"/>
            </w:pPr>
            <w:r>
              <w:rPr>
                <w:rFonts w:ascii="Arial" w:hAnsi="Arial" w:cs="Arial"/>
                <w:b w:val="0"/>
                <w:i w:val="0"/>
                <w:sz w:val="19"/>
              </w:rPr>
              <w:t>12</w:t>
            </w:r>
          </w:p>
        </w:tc>
      </w:tr>
    </w:tbl>
    <w:p>
      <w:pPr>
        <w:spacing w:after="80" w:before="0" w:line="240" w:lineRule="auto"/>
        <w:jc w:val="both"/>
      </w:pPr>
    </w:p>
    <w:p>
      <w:pPr>
        <w:spacing w:after="160" w:before="0" w:line="240" w:lineRule="auto"/>
        <w:jc w:val="center"/>
      </w:pPr>
      <w:r>
        <w:rPr>
          <w:rFonts w:ascii="Arial" w:hAnsi="Arial" w:cs="Arial"/>
          <w:b w:val="0"/>
          <w:i/>
          <w:sz w:val="18"/>
        </w:rPr>
        <w:t>Tabla. Matriz de evaluación de ideas (ajustar con las ideas y puntajes reales del equipo).</w:t>
      </w:r>
    </w:p>
    <w:p>
      <w:pPr>
        <w:spacing w:after="120" w:before="0" w:line="240" w:lineRule="auto"/>
        <w:jc w:val="both"/>
      </w:pPr>
      <w:r>
        <w:rPr>
          <w:rFonts w:ascii="Arial" w:hAnsi="Arial" w:cs="Arial"/>
          <w:b w:val="0"/>
          <w:i w:val="0"/>
          <w:sz w:val="22"/>
        </w:rPr>
        <w:t xml:space="preserve">La idea seleccionada fue la </w:t>
      </w:r>
      <w:r>
        <w:rPr>
          <w:rFonts w:ascii="Arial" w:hAnsi="Arial" w:cs="Arial"/>
          <w:b/>
          <w:i w:val="0"/>
          <w:sz w:val="22"/>
        </w:rPr>
        <w:t>aplicación de servicios generales para condominios</w:t>
      </w:r>
      <w:r>
        <w:rPr>
          <w:rFonts w:ascii="Arial" w:hAnsi="Arial" w:cs="Arial"/>
          <w:b w:val="0"/>
          <w:i w:val="0"/>
          <w:sz w:val="22"/>
        </w:rPr>
        <w:t>, propuesta por una integrante del equipo, porque obtuvo el mayor puntaje y responde a los requisitos del curso: alto contenido tecnológico y digital, impacto social (formalización de técnicos) e impacto ecológico (ahorro de agua mediante mantenimiento preventivo).</w:t>
      </w:r>
    </w:p>
    <w:p>
      <w:pPr>
        <w:pStyle w:val="Ttulo2"/>
      </w:pPr>
      <w:r>
        <w:rPr>
          <w:rFonts w:ascii="Arial" w:hAnsi="Arial"/>
        </w:rPr>
        <w:t>2.2 Descripción de la idea de negocio</w:t>
      </w:r>
    </w:p>
    <w:p>
      <w:pPr>
        <w:spacing w:after="120" w:before="0" w:line="240" w:lineRule="auto"/>
        <w:jc w:val="both"/>
      </w:pPr>
      <w:r>
        <w:rPr>
          <w:rFonts w:ascii="Arial" w:hAnsi="Arial" w:cs="Arial"/>
          <w:b w:val="0"/>
          <w:i w:val="0"/>
          <w:sz w:val="22"/>
        </w:rPr>
        <w:t>ServiListo es una plataforma digital que conecta a los residentes y juntas de propietarios de condominios de Lima Metropolitana con técnicos independientes verificados para servicios del hogar. El usuario describe lo que necesita, compara técnicos según calificación y precio referencial, agenda la visita, paga desde la aplicación y califica el servicio. La junta de propietarios, desde un panel web, gestiona el mantenimiento de las áreas comunes y organiza pedidos grupales para los vecinos.</w:t>
      </w:r>
    </w:p>
    <w:p>
      <w:pPr>
        <w:pStyle w:val="Ttulo3"/>
      </w:pPr>
      <w:r>
        <w:rPr>
          <w:rFonts w:ascii="Arial" w:hAnsi="Arial"/>
        </w:rPr>
        <w:t>2.2.1 Necesidades que satisface la idea de negocio</w:t>
      </w:r>
    </w:p>
    <w:p>
      <w:pPr>
        <w:numPr>
          <w:ilvl w:val="0"/>
          <w:numId w:val="3"/>
        </w:numPr>
        <w:spacing w:after="60" w:before="0" w:line="240" w:lineRule="auto"/>
        <w:ind w:left="714" w:hanging="357"/>
        <w:jc w:val="both"/>
      </w:pPr>
      <w:r>
        <w:rPr>
          <w:rFonts w:ascii="Arial" w:hAnsi="Arial" w:cs="Arial"/>
          <w:b/>
          <w:i w:val="0"/>
          <w:sz w:val="22"/>
        </w:rPr>
        <w:t>Seguridad:</w:t>
      </w:r>
      <w:r>
        <w:rPr>
          <w:rFonts w:ascii="Arial" w:hAnsi="Arial" w:cs="Arial"/>
          <w:b w:val="0"/>
          <w:i w:val="0"/>
          <w:sz w:val="22"/>
        </w:rPr>
        <w:t xml:space="preserve"> saber quién ingresa a la vivienda y contar con un respaldo si algo sale mal.</w:t>
      </w:r>
    </w:p>
    <w:p>
      <w:pPr>
        <w:numPr>
          <w:ilvl w:val="0"/>
          <w:numId w:val="3"/>
        </w:numPr>
        <w:spacing w:after="60" w:before="0" w:line="240" w:lineRule="auto"/>
        <w:ind w:left="714" w:hanging="357"/>
        <w:jc w:val="both"/>
      </w:pPr>
      <w:r>
        <w:rPr>
          <w:rFonts w:ascii="Arial" w:hAnsi="Arial" w:cs="Arial"/>
          <w:b/>
          <w:i w:val="0"/>
          <w:sz w:val="22"/>
        </w:rPr>
        <w:t>Rapidez y comodidad:</w:t>
      </w:r>
      <w:r>
        <w:rPr>
          <w:rFonts w:ascii="Arial" w:hAnsi="Arial" w:cs="Arial"/>
          <w:b w:val="0"/>
          <w:i w:val="0"/>
          <w:sz w:val="22"/>
        </w:rPr>
        <w:t xml:space="preserve"> encontrar un técnico disponible en pocos minutos, sin depender de recomendaciones.</w:t>
      </w:r>
    </w:p>
    <w:p>
      <w:pPr>
        <w:numPr>
          <w:ilvl w:val="0"/>
          <w:numId w:val="3"/>
        </w:numPr>
        <w:spacing w:after="60" w:before="0" w:line="240" w:lineRule="auto"/>
        <w:ind w:left="714" w:hanging="357"/>
        <w:jc w:val="both"/>
      </w:pPr>
      <w:r>
        <w:rPr>
          <w:rFonts w:ascii="Arial" w:hAnsi="Arial" w:cs="Arial"/>
          <w:b/>
          <w:i w:val="0"/>
          <w:sz w:val="22"/>
        </w:rPr>
        <w:t>Transparencia en el precio:</w:t>
      </w:r>
      <w:r>
        <w:rPr>
          <w:rFonts w:ascii="Arial" w:hAnsi="Arial" w:cs="Arial"/>
          <w:b w:val="0"/>
          <w:i w:val="0"/>
          <w:sz w:val="22"/>
        </w:rPr>
        <w:t xml:space="preserve"> conocer un precio referencial antes de contratar.</w:t>
      </w:r>
    </w:p>
    <w:p>
      <w:pPr>
        <w:numPr>
          <w:ilvl w:val="0"/>
          <w:numId w:val="3"/>
        </w:numPr>
        <w:spacing w:after="60" w:before="0" w:line="240" w:lineRule="auto"/>
        <w:ind w:left="714" w:hanging="357"/>
        <w:jc w:val="both"/>
      </w:pPr>
      <w:r>
        <w:rPr>
          <w:rFonts w:ascii="Arial" w:hAnsi="Arial" w:cs="Arial"/>
          <w:b/>
          <w:i w:val="0"/>
          <w:sz w:val="22"/>
        </w:rPr>
        <w:t>Calidad garantizada:</w:t>
      </w:r>
      <w:r>
        <w:rPr>
          <w:rFonts w:ascii="Arial" w:hAnsi="Arial" w:cs="Arial"/>
          <w:b w:val="0"/>
          <w:i w:val="0"/>
          <w:sz w:val="22"/>
        </w:rPr>
        <w:t xml:space="preserve"> tener a quién reclamar y una garantía del trabajo.</w:t>
      </w:r>
    </w:p>
    <w:p>
      <w:pPr>
        <w:numPr>
          <w:ilvl w:val="0"/>
          <w:numId w:val="3"/>
        </w:numPr>
        <w:spacing w:after="60" w:before="0" w:line="240" w:lineRule="auto"/>
        <w:ind w:left="714" w:hanging="357"/>
        <w:jc w:val="both"/>
      </w:pPr>
      <w:r>
        <w:rPr>
          <w:rFonts w:ascii="Arial" w:hAnsi="Arial" w:cs="Arial"/>
          <w:b/>
          <w:i w:val="0"/>
          <w:sz w:val="22"/>
        </w:rPr>
        <w:t>Gestión del mantenimiento del edificio:</w:t>
      </w:r>
      <w:r>
        <w:rPr>
          <w:rFonts w:ascii="Arial" w:hAnsi="Arial" w:cs="Arial"/>
          <w:b w:val="0"/>
          <w:i w:val="0"/>
          <w:sz w:val="22"/>
        </w:rPr>
        <w:t xml:space="preserve"> programar revisiones preventivas y llevar un historial de servicios.</w:t>
      </w:r>
    </w:p>
    <w:p>
      <w:pPr>
        <w:numPr>
          <w:ilvl w:val="0"/>
          <w:numId w:val="3"/>
        </w:numPr>
        <w:spacing w:after="60" w:before="0" w:line="240" w:lineRule="auto"/>
        <w:ind w:left="714" w:hanging="357"/>
        <w:jc w:val="both"/>
      </w:pPr>
      <w:r>
        <w:rPr>
          <w:rFonts w:ascii="Arial" w:hAnsi="Arial" w:cs="Arial"/>
          <w:b/>
          <w:i w:val="0"/>
          <w:sz w:val="22"/>
        </w:rPr>
        <w:t>Para los técnicos:</w:t>
      </w:r>
      <w:r>
        <w:rPr>
          <w:rFonts w:ascii="Arial" w:hAnsi="Arial" w:cs="Arial"/>
          <w:b w:val="0"/>
          <w:i w:val="0"/>
          <w:sz w:val="22"/>
        </w:rPr>
        <w:t xml:space="preserve"> conseguir clientes de manera constante y cobrar de forma segura.</w:t>
      </w:r>
    </w:p>
    <w:p>
      <w:pPr>
        <w:pStyle w:val="Ttulo3"/>
      </w:pPr>
      <w:r>
        <w:rPr>
          <w:rFonts w:ascii="Arial" w:hAnsi="Arial"/>
        </w:rPr>
        <w:t>2.2.2 Usos y soluciones que brinda el servicio</w:t>
      </w:r>
    </w:p>
    <w:tbl>
      <w:tblPr>
        <w:tblW w:type="dxa" w:w="8505"/>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4252"/>
        <w:gridCol w:w="4252"/>
      </w:tblGrid>
      <w:tr>
        <w:trPr>
          <w:cantSplit/>
          <w:tblHeader/>
        </w:trPr>
        <w:tc>
          <w:tcPr>
            <w:tcW w:type="dxa" w:w="4252"/>
            <w:shd w:val="clear" w:color="auto" w:fill="D9E2F3"/>
          </w:tcPr>
          <w:p>
            <w:pPr>
              <w:keepNext/>
              <w:spacing w:after="0" w:before="0" w:line="240" w:lineRule="auto"/>
              <w:jc w:val="left"/>
            </w:pPr>
            <w:r>
              <w:rPr>
                <w:rFonts w:ascii="Arial" w:hAnsi="Arial" w:cs="Arial"/>
                <w:b/>
                <w:i w:val="0"/>
                <w:sz w:val="19"/>
              </w:rPr>
              <w:t>Problema actual</w:t>
            </w:r>
          </w:p>
        </w:tc>
        <w:tc>
          <w:tcPr>
            <w:tcW w:type="dxa" w:w="4252"/>
            <w:shd w:val="clear" w:color="auto" w:fill="D9E2F3"/>
          </w:tcPr>
          <w:p>
            <w:pPr>
              <w:keepNext/>
              <w:spacing w:after="0" w:before="0" w:line="240" w:lineRule="auto"/>
              <w:jc w:val="left"/>
            </w:pPr>
            <w:r>
              <w:rPr>
                <w:rFonts w:ascii="Arial" w:hAnsi="Arial" w:cs="Arial"/>
                <w:b/>
                <w:i w:val="0"/>
                <w:sz w:val="19"/>
              </w:rPr>
              <w:t>Solución de ServiListo</w:t>
            </w:r>
          </w:p>
        </w:tc>
      </w:tr>
      <w:tr>
        <w:trPr>
          <w:cantSplit/>
        </w:trPr>
        <w:tc>
          <w:tcPr>
            <w:tcW w:type="dxa" w:w="4252"/>
          </w:tcPr>
          <w:p>
            <w:pPr>
              <w:keepNext/>
              <w:spacing w:after="0" w:before="0" w:line="240" w:lineRule="auto"/>
              <w:jc w:val="left"/>
            </w:pPr>
            <w:r>
              <w:rPr>
                <w:rFonts w:ascii="Arial" w:hAnsi="Arial" w:cs="Arial"/>
                <w:b w:val="0"/>
                <w:i w:val="0"/>
                <w:sz w:val="19"/>
              </w:rPr>
              <w:t>No se sabe a quién llamar ni si es confiable</w:t>
            </w:r>
          </w:p>
        </w:tc>
        <w:tc>
          <w:tcPr>
            <w:tcW w:type="dxa" w:w="4252"/>
          </w:tcPr>
          <w:p>
            <w:pPr>
              <w:keepNext/>
              <w:spacing w:after="0" w:before="0" w:line="240" w:lineRule="auto"/>
              <w:jc w:val="left"/>
            </w:pPr>
            <w:r>
              <w:rPr>
                <w:rFonts w:ascii="Arial" w:hAnsi="Arial" w:cs="Arial"/>
                <w:b w:val="0"/>
                <w:i w:val="0"/>
                <w:sz w:val="19"/>
              </w:rPr>
              <w:t>Técnicos verificados con calificaciones de otros vecinos</w:t>
            </w:r>
          </w:p>
        </w:tc>
      </w:tr>
      <w:tr>
        <w:trPr>
          <w:cantSplit/>
        </w:trPr>
        <w:tc>
          <w:tcPr>
            <w:tcW w:type="dxa" w:w="4252"/>
          </w:tcPr>
          <w:p>
            <w:pPr>
              <w:keepNext/>
              <w:spacing w:after="0" w:before="0" w:line="240" w:lineRule="auto"/>
              <w:jc w:val="left"/>
            </w:pPr>
            <w:r>
              <w:rPr>
                <w:rFonts w:ascii="Arial" w:hAnsi="Arial" w:cs="Arial"/>
                <w:b w:val="0"/>
                <w:i w:val="0"/>
                <w:sz w:val="19"/>
              </w:rPr>
              <w:t>El precio se negocia "a ojo" y suele variar</w:t>
            </w:r>
          </w:p>
        </w:tc>
        <w:tc>
          <w:tcPr>
            <w:tcW w:type="dxa" w:w="4252"/>
          </w:tcPr>
          <w:p>
            <w:pPr>
              <w:keepNext/>
              <w:spacing w:after="0" w:before="0" w:line="240" w:lineRule="auto"/>
              <w:jc w:val="left"/>
            </w:pPr>
            <w:r>
              <w:rPr>
                <w:rFonts w:ascii="Arial" w:hAnsi="Arial" w:cs="Arial"/>
                <w:b w:val="0"/>
                <w:i w:val="0"/>
                <w:sz w:val="19"/>
              </w:rPr>
              <w:t>Precio referencial visible y presupuesto confirmado en la app</w:t>
            </w:r>
          </w:p>
        </w:tc>
      </w:tr>
      <w:tr>
        <w:trPr>
          <w:cantSplit/>
        </w:trPr>
        <w:tc>
          <w:tcPr>
            <w:tcW w:type="dxa" w:w="4252"/>
          </w:tcPr>
          <w:p>
            <w:pPr>
              <w:keepNext/>
              <w:spacing w:after="0" w:before="0" w:line="240" w:lineRule="auto"/>
              <w:jc w:val="left"/>
            </w:pPr>
            <w:r>
              <w:rPr>
                <w:rFonts w:ascii="Arial" w:hAnsi="Arial" w:cs="Arial"/>
                <w:b w:val="0"/>
                <w:i w:val="0"/>
                <w:sz w:val="19"/>
              </w:rPr>
              <w:t>Si el trabajo falla, el técnico no responde</w:t>
            </w:r>
          </w:p>
        </w:tc>
        <w:tc>
          <w:tcPr>
            <w:tcW w:type="dxa" w:w="4252"/>
          </w:tcPr>
          <w:p>
            <w:pPr>
              <w:keepNext/>
              <w:spacing w:after="0" w:before="0" w:line="240" w:lineRule="auto"/>
              <w:jc w:val="left"/>
            </w:pPr>
            <w:r>
              <w:rPr>
                <w:rFonts w:ascii="Arial" w:hAnsi="Arial" w:cs="Arial"/>
                <w:b w:val="0"/>
                <w:i w:val="0"/>
                <w:sz w:val="19"/>
              </w:rPr>
              <w:t>Garantía de 30 días y pago liberado solo tras la conformidad</w:t>
            </w:r>
          </w:p>
        </w:tc>
      </w:tr>
      <w:tr>
        <w:trPr>
          <w:cantSplit/>
        </w:trPr>
        <w:tc>
          <w:tcPr>
            <w:tcW w:type="dxa" w:w="4252"/>
          </w:tcPr>
          <w:p>
            <w:pPr>
              <w:keepNext/>
              <w:spacing w:after="0" w:before="0" w:line="240" w:lineRule="auto"/>
              <w:jc w:val="left"/>
            </w:pPr>
            <w:r>
              <w:rPr>
                <w:rFonts w:ascii="Arial" w:hAnsi="Arial" w:cs="Arial"/>
                <w:b w:val="0"/>
                <w:i w:val="0"/>
                <w:sz w:val="19"/>
              </w:rPr>
              <w:t>Cada vecino contrata por separado y paga más</w:t>
            </w:r>
          </w:p>
        </w:tc>
        <w:tc>
          <w:tcPr>
            <w:tcW w:type="dxa" w:w="4252"/>
          </w:tcPr>
          <w:p>
            <w:pPr>
              <w:keepNext/>
              <w:spacing w:after="0" w:before="0" w:line="240" w:lineRule="auto"/>
              <w:jc w:val="left"/>
            </w:pPr>
            <w:r>
              <w:rPr>
                <w:rFonts w:ascii="Arial" w:hAnsi="Arial" w:cs="Arial"/>
                <w:b w:val="0"/>
                <w:i w:val="0"/>
                <w:sz w:val="19"/>
              </w:rPr>
              <w:t>Pedidos grupales con descuento dentro del condominio</w:t>
            </w:r>
          </w:p>
        </w:tc>
      </w:tr>
      <w:tr>
        <w:trPr>
          <w:cantSplit/>
        </w:trPr>
        <w:tc>
          <w:tcPr>
            <w:tcW w:type="dxa" w:w="4252"/>
          </w:tcPr>
          <w:p>
            <w:pPr>
              <w:keepNext/>
              <w:spacing w:after="0" w:before="0" w:line="240" w:lineRule="auto"/>
              <w:jc w:val="left"/>
            </w:pPr>
            <w:r>
              <w:rPr>
                <w:rFonts w:ascii="Arial" w:hAnsi="Arial" w:cs="Arial"/>
                <w:b w:val="0"/>
                <w:i w:val="0"/>
                <w:sz w:val="19"/>
              </w:rPr>
              <w:t>Las fugas se detectan tarde y elevan el recibo de agua</w:t>
            </w:r>
          </w:p>
        </w:tc>
        <w:tc>
          <w:tcPr>
            <w:tcW w:type="dxa" w:w="4252"/>
          </w:tcPr>
          <w:p>
            <w:pPr>
              <w:keepNext/>
              <w:spacing w:after="0" w:before="0" w:line="240" w:lineRule="auto"/>
              <w:jc w:val="left"/>
            </w:pPr>
            <w:r>
              <w:rPr>
                <w:rFonts w:ascii="Arial" w:hAnsi="Arial" w:cs="Arial"/>
                <w:b w:val="0"/>
                <w:i w:val="0"/>
                <w:sz w:val="19"/>
              </w:rPr>
              <w:t>Plan de mantenimiento preventivo y recordatorios</w:t>
            </w:r>
          </w:p>
        </w:tc>
      </w:tr>
      <w:tr>
        <w:trPr>
          <w:cantSplit/>
        </w:trPr>
        <w:tc>
          <w:tcPr>
            <w:tcW w:type="dxa" w:w="4252"/>
          </w:tcPr>
          <w:p>
            <w:pPr>
              <w:spacing w:after="0" w:before="0" w:line="240" w:lineRule="auto"/>
              <w:jc w:val="left"/>
            </w:pPr>
            <w:r>
              <w:rPr>
                <w:rFonts w:ascii="Arial" w:hAnsi="Arial" w:cs="Arial"/>
                <w:b w:val="0"/>
                <w:i w:val="0"/>
                <w:sz w:val="19"/>
              </w:rPr>
              <w:t>Pago en efectivo y sin comprobante</w:t>
            </w:r>
          </w:p>
        </w:tc>
        <w:tc>
          <w:tcPr>
            <w:tcW w:type="dxa" w:w="4252"/>
          </w:tcPr>
          <w:p>
            <w:pPr>
              <w:spacing w:after="0" w:before="0" w:line="240" w:lineRule="auto"/>
              <w:jc w:val="left"/>
            </w:pPr>
            <w:r>
              <w:rPr>
                <w:rFonts w:ascii="Arial" w:hAnsi="Arial" w:cs="Arial"/>
                <w:b w:val="0"/>
                <w:i w:val="0"/>
                <w:sz w:val="19"/>
              </w:rPr>
              <w:t>Pago con Yape, Plin o tarjeta y comprobante electrónico</w:t>
            </w:r>
          </w:p>
        </w:tc>
      </w:tr>
    </w:tbl>
    <w:p>
      <w:pPr>
        <w:spacing w:after="80" w:before="0" w:line="240" w:lineRule="auto"/>
        <w:jc w:val="both"/>
      </w:pPr>
    </w:p>
    <w:p>
      <w:pPr>
        <w:pStyle w:val="Ttulo1"/>
        <w:pageBreakBefore/>
      </w:pPr>
      <w:r>
        <w:rPr>
          <w:rFonts w:ascii="Arial" w:hAnsi="Arial"/>
        </w:rPr>
        <w:t>CAPÍTULO 3: VIABILIDAD TÉCNICA</w:t>
      </w:r>
    </w:p>
    <w:p>
      <w:pPr>
        <w:pStyle w:val="Ttulo2"/>
      </w:pPr>
      <w:r>
        <w:rPr>
          <w:rFonts w:ascii="Arial" w:hAnsi="Arial"/>
        </w:rPr>
        <w:t>3.1 Presentación del prototipo de la idea de negocio</w:t>
      </w:r>
    </w:p>
    <w:p>
      <w:pPr>
        <w:spacing w:after="120" w:before="0" w:line="240" w:lineRule="auto"/>
        <w:jc w:val="both"/>
      </w:pPr>
      <w:r>
        <w:rPr>
          <w:rFonts w:ascii="Arial" w:hAnsi="Arial" w:cs="Arial"/>
          <w:b w:val="0"/>
          <w:i w:val="0"/>
          <w:sz w:val="22"/>
        </w:rPr>
        <w:t>El prototipo de baja fidelidad muestra las tres pantallas principales de la aplicación para el usuario residente:</w:t>
      </w:r>
    </w:p>
    <w:p>
      <w:pPr>
        <w:spacing w:after="80" w:before="0" w:line="240" w:lineRule="auto"/>
        <w:jc w:val="center"/>
      </w:pPr>
      <w:r>
        <w:drawing>
          <wp:inline xmlns:a="http://schemas.openxmlformats.org/drawingml/2006/main" xmlns:pic="http://schemas.openxmlformats.org/drawingml/2006/picture">
            <wp:extent cx="5580000" cy="3720000"/>
            <wp:docPr id="269616327" name="Picture 269616327"/>
            <wp:cNvGraphicFramePr>
              <a:graphicFrameLocks noChangeAspect="1"/>
            </wp:cNvGraphicFramePr>
            <a:graphic>
              <a:graphicData uri="http://schemas.openxmlformats.org/drawingml/2006/picture">
                <pic:pic>
                  <pic:nvPicPr>
                    <pic:cNvPr id="0" name="prototipo.png"/>
                    <pic:cNvPicPr/>
                  </pic:nvPicPr>
                  <pic:blipFill>
                    <a:blip r:embed="rId12"/>
                    <a:stretch>
                      <a:fillRect/>
                    </a:stretch>
                  </pic:blipFill>
                  <pic:spPr>
                    <a:xfrm>
                      <a:off x="0" y="0"/>
                      <a:ext cx="5580000" cy="3720000"/>
                    </a:xfrm>
                    <a:prstGeom prst="rect"/>
                  </pic:spPr>
                </pic:pic>
              </a:graphicData>
            </a:graphic>
          </wp:inline>
        </w:drawing>
      </w:r>
    </w:p>
    <w:p>
      <w:pPr>
        <w:spacing w:after="160" w:before="0" w:line="240" w:lineRule="auto"/>
        <w:jc w:val="center"/>
      </w:pPr>
      <w:r>
        <w:rPr>
          <w:rFonts w:ascii="Arial" w:hAnsi="Arial" w:cs="Arial"/>
          <w:b w:val="0"/>
          <w:i/>
          <w:sz w:val="18"/>
        </w:rPr>
        <w:t>Figura 1. Prototipo de las pantallas principales de ServiListo. Elaboración propia. Los datos mostrados son ilustrativos.</w:t>
      </w:r>
    </w:p>
    <w:p>
      <w:pPr>
        <w:spacing w:after="120" w:before="0" w:line="240" w:lineRule="auto"/>
        <w:jc w:val="both"/>
      </w:pPr>
      <w:r>
        <w:rPr>
          <w:rFonts w:ascii="Arial" w:hAnsi="Arial" w:cs="Arial"/>
          <w:b w:val="0"/>
          <w:i w:val="0"/>
          <w:sz w:val="22"/>
        </w:rPr>
        <w:t>El flujo de uso del prototipo es el siguiente:</w:t>
      </w:r>
    </w:p>
    <w:p>
      <w:pPr>
        <w:numPr>
          <w:ilvl w:val="0"/>
          <w:numId w:val="3"/>
        </w:numPr>
        <w:spacing w:after="60" w:before="0" w:line="240" w:lineRule="auto"/>
        <w:ind w:left="714" w:hanging="357"/>
        <w:jc w:val="both"/>
      </w:pPr>
      <w:r>
        <w:rPr>
          <w:rFonts w:ascii="Arial" w:hAnsi="Arial" w:cs="Arial"/>
          <w:b/>
          <w:i w:val="0"/>
          <w:sz w:val="22"/>
        </w:rPr>
        <w:t>Paso 1 – Registro:</w:t>
      </w:r>
      <w:r>
        <w:rPr>
          <w:rFonts w:ascii="Arial" w:hAnsi="Arial" w:cs="Arial"/>
          <w:b w:val="0"/>
          <w:i w:val="0"/>
          <w:sz w:val="22"/>
        </w:rPr>
        <w:t xml:space="preserve"> el usuario se registra con su número de celular y DNI e indica su condominio y departamento.</w:t>
      </w:r>
    </w:p>
    <w:p>
      <w:pPr>
        <w:numPr>
          <w:ilvl w:val="0"/>
          <w:numId w:val="3"/>
        </w:numPr>
        <w:spacing w:after="60" w:before="0" w:line="240" w:lineRule="auto"/>
        <w:ind w:left="714" w:hanging="357"/>
        <w:jc w:val="both"/>
      </w:pPr>
      <w:r>
        <w:rPr>
          <w:rFonts w:ascii="Arial" w:hAnsi="Arial" w:cs="Arial"/>
          <w:b/>
          <w:i w:val="0"/>
          <w:sz w:val="22"/>
        </w:rPr>
        <w:t>Paso 2 – Búsqueda:</w:t>
      </w:r>
      <w:r>
        <w:rPr>
          <w:rFonts w:ascii="Arial" w:hAnsi="Arial" w:cs="Arial"/>
          <w:b w:val="0"/>
          <w:i w:val="0"/>
          <w:sz w:val="22"/>
        </w:rPr>
        <w:t xml:space="preserve"> elige una categoría o escribe lo que necesita (pantalla 1).</w:t>
      </w:r>
    </w:p>
    <w:p>
      <w:pPr>
        <w:numPr>
          <w:ilvl w:val="0"/>
          <w:numId w:val="3"/>
        </w:numPr>
        <w:spacing w:after="60" w:before="0" w:line="240" w:lineRule="auto"/>
        <w:ind w:left="714" w:hanging="357"/>
        <w:jc w:val="both"/>
      </w:pPr>
      <w:r>
        <w:rPr>
          <w:rFonts w:ascii="Arial" w:hAnsi="Arial" w:cs="Arial"/>
          <w:b/>
          <w:i w:val="0"/>
          <w:sz w:val="22"/>
        </w:rPr>
        <w:t>Paso 3 – Elección:</w:t>
      </w:r>
      <w:r>
        <w:rPr>
          <w:rFonts w:ascii="Arial" w:hAnsi="Arial" w:cs="Arial"/>
          <w:b w:val="0"/>
          <w:i w:val="0"/>
          <w:sz w:val="22"/>
        </w:rPr>
        <w:t xml:space="preserve"> revisa el perfil del técnico: verificación, calificación, precio referencial, garantía y reseñas (pantalla 2).</w:t>
      </w:r>
    </w:p>
    <w:p>
      <w:pPr>
        <w:numPr>
          <w:ilvl w:val="0"/>
          <w:numId w:val="3"/>
        </w:numPr>
        <w:spacing w:after="60" w:before="0" w:line="240" w:lineRule="auto"/>
        <w:ind w:left="714" w:hanging="357"/>
        <w:jc w:val="both"/>
      </w:pPr>
      <w:r>
        <w:rPr>
          <w:rFonts w:ascii="Arial" w:hAnsi="Arial" w:cs="Arial"/>
          <w:b/>
          <w:i w:val="0"/>
          <w:sz w:val="22"/>
        </w:rPr>
        <w:t>Paso 4 – Agenda y pago:</w:t>
      </w:r>
      <w:r>
        <w:rPr>
          <w:rFonts w:ascii="Arial" w:hAnsi="Arial" w:cs="Arial"/>
          <w:b w:val="0"/>
          <w:i w:val="0"/>
          <w:sz w:val="22"/>
        </w:rPr>
        <w:t xml:space="preserve"> elige fecha y hora, y paga con Yape, Plin o tarjeta; el pago queda retenido (pantalla 3).</w:t>
      </w:r>
    </w:p>
    <w:p>
      <w:pPr>
        <w:numPr>
          <w:ilvl w:val="0"/>
          <w:numId w:val="3"/>
        </w:numPr>
        <w:spacing w:after="60" w:before="0" w:line="240" w:lineRule="auto"/>
        <w:ind w:left="714" w:hanging="357"/>
        <w:jc w:val="both"/>
      </w:pPr>
      <w:r>
        <w:rPr>
          <w:rFonts w:ascii="Arial" w:hAnsi="Arial" w:cs="Arial"/>
          <w:b/>
          <w:i w:val="0"/>
          <w:sz w:val="22"/>
        </w:rPr>
        <w:t>Paso 5 – Seguimiento:</w:t>
      </w:r>
      <w:r>
        <w:rPr>
          <w:rFonts w:ascii="Arial" w:hAnsi="Arial" w:cs="Arial"/>
          <w:b w:val="0"/>
          <w:i w:val="0"/>
          <w:sz w:val="22"/>
        </w:rPr>
        <w:t xml:space="preserve"> recibe el estado del servicio y puede chatear con el técnico.</w:t>
      </w:r>
    </w:p>
    <w:p>
      <w:pPr>
        <w:numPr>
          <w:ilvl w:val="0"/>
          <w:numId w:val="3"/>
        </w:numPr>
        <w:spacing w:after="60" w:before="0" w:line="240" w:lineRule="auto"/>
        <w:ind w:left="714" w:hanging="357"/>
        <w:jc w:val="both"/>
      </w:pPr>
      <w:r>
        <w:rPr>
          <w:rFonts w:ascii="Arial" w:hAnsi="Arial" w:cs="Arial"/>
          <w:b/>
          <w:i w:val="0"/>
          <w:sz w:val="22"/>
        </w:rPr>
        <w:t>Paso 6 – Conformidad:</w:t>
      </w:r>
      <w:r>
        <w:rPr>
          <w:rFonts w:ascii="Arial" w:hAnsi="Arial" w:cs="Arial"/>
          <w:b w:val="0"/>
          <w:i w:val="0"/>
          <w:sz w:val="22"/>
        </w:rPr>
        <w:t xml:space="preserve"> confirma que el trabajo terminó, se libera el pago al técnico y califica el servicio.</w:t>
      </w:r>
    </w:p>
    <w:p>
      <w:pPr>
        <w:spacing w:after="120" w:before="0" w:line="240" w:lineRule="auto"/>
        <w:jc w:val="both"/>
      </w:pPr>
      <w:r>
        <w:rPr>
          <w:rFonts w:ascii="Arial" w:hAnsi="Arial" w:cs="Arial"/>
          <w:b w:val="0"/>
          <w:i w:val="0"/>
          <w:sz w:val="22"/>
        </w:rPr>
        <w:t>Para cumplir el OBJ 2, este prototipo se convertirá en una versión navegable con una herramienta de prototipado y se probará con usuarios potenciales.</w:t>
      </w:r>
    </w:p>
    <w:p>
      <w:pPr>
        <w:pStyle w:val="Ttulo2"/>
      </w:pPr>
      <w:r>
        <w:rPr>
          <w:rFonts w:ascii="Arial" w:hAnsi="Arial"/>
        </w:rPr>
        <w:t>3.2 Especificaciones técnicas del servicio</w:t>
      </w:r>
    </w:p>
    <w:p>
      <w:pPr>
        <w:pStyle w:val="Ttulo3"/>
      </w:pPr>
      <w:r>
        <w:rPr>
          <w:rFonts w:ascii="Arial" w:hAnsi="Arial"/>
        </w:rPr>
        <w:t>3.2.1 Lista de equipos requeridos para brindar el servicio</w:t>
      </w:r>
    </w:p>
    <w:tbl>
      <w:tblPr>
        <w:tblW w:type="dxa" w:w="8505"/>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3118"/>
        <w:gridCol w:w="1417"/>
        <w:gridCol w:w="3969"/>
      </w:tblGrid>
      <w:tr>
        <w:trPr>
          <w:cantSplit/>
          <w:tblHeader/>
        </w:trPr>
        <w:tc>
          <w:tcPr>
            <w:tcW w:type="dxa" w:w="3118"/>
            <w:shd w:val="clear" w:color="auto" w:fill="D9E2F3"/>
          </w:tcPr>
          <w:p>
            <w:pPr>
              <w:keepNext/>
              <w:spacing w:after="0" w:before="0" w:line="240" w:lineRule="auto"/>
              <w:jc w:val="left"/>
            </w:pPr>
            <w:r>
              <w:rPr>
                <w:rFonts w:ascii="Arial" w:hAnsi="Arial" w:cs="Arial"/>
                <w:b/>
                <w:i w:val="0"/>
                <w:sz w:val="19"/>
              </w:rPr>
              <w:t>Equipo</w:t>
            </w:r>
          </w:p>
        </w:tc>
        <w:tc>
          <w:tcPr>
            <w:tcW w:type="dxa" w:w="1417"/>
            <w:shd w:val="clear" w:color="auto" w:fill="D9E2F3"/>
          </w:tcPr>
          <w:p>
            <w:pPr>
              <w:keepNext/>
              <w:spacing w:after="0" w:before="0" w:line="240" w:lineRule="auto"/>
              <w:jc w:val="left"/>
            </w:pPr>
            <w:r>
              <w:rPr>
                <w:rFonts w:ascii="Arial" w:hAnsi="Arial" w:cs="Arial"/>
                <w:b/>
                <w:i w:val="0"/>
                <w:sz w:val="19"/>
              </w:rPr>
              <w:t>Cantidad</w:t>
            </w:r>
          </w:p>
        </w:tc>
        <w:tc>
          <w:tcPr>
            <w:tcW w:type="dxa" w:w="3969"/>
            <w:shd w:val="clear" w:color="auto" w:fill="D9E2F3"/>
          </w:tcPr>
          <w:p>
            <w:pPr>
              <w:keepNext/>
              <w:spacing w:after="0" w:before="0" w:line="240" w:lineRule="auto"/>
              <w:jc w:val="left"/>
            </w:pPr>
            <w:r>
              <w:rPr>
                <w:rFonts w:ascii="Arial" w:hAnsi="Arial" w:cs="Arial"/>
                <w:b/>
                <w:i w:val="0"/>
                <w:sz w:val="19"/>
              </w:rPr>
              <w:t>Uso</w:t>
            </w:r>
          </w:p>
        </w:tc>
      </w:tr>
      <w:tr>
        <w:trPr>
          <w:cantSplit/>
        </w:trPr>
        <w:tc>
          <w:tcPr>
            <w:tcW w:type="dxa" w:w="3118"/>
          </w:tcPr>
          <w:p>
            <w:pPr>
              <w:keepNext/>
              <w:spacing w:after="0" w:before="0" w:line="240" w:lineRule="auto"/>
              <w:jc w:val="left"/>
            </w:pPr>
            <w:r>
              <w:rPr>
                <w:rFonts w:ascii="Arial" w:hAnsi="Arial" w:cs="Arial"/>
                <w:b w:val="0"/>
                <w:i w:val="0"/>
                <w:sz w:val="19"/>
              </w:rPr>
              <w:t>Laptop de gama media</w:t>
            </w:r>
          </w:p>
        </w:tc>
        <w:tc>
          <w:tcPr>
            <w:tcW w:type="dxa" w:w="1417"/>
          </w:tcPr>
          <w:p>
            <w:pPr>
              <w:keepNext/>
              <w:spacing w:after="0" w:before="0" w:line="240" w:lineRule="auto"/>
              <w:jc w:val="left"/>
            </w:pPr>
            <w:r>
              <w:rPr>
                <w:rFonts w:ascii="Arial" w:hAnsi="Arial" w:cs="Arial"/>
                <w:b w:val="0"/>
                <w:i w:val="0"/>
                <w:sz w:val="19"/>
              </w:rPr>
              <w:t>2</w:t>
            </w:r>
          </w:p>
        </w:tc>
        <w:tc>
          <w:tcPr>
            <w:tcW w:type="dxa" w:w="3969"/>
          </w:tcPr>
          <w:p>
            <w:pPr>
              <w:keepNext/>
              <w:spacing w:after="0" w:before="0" w:line="240" w:lineRule="auto"/>
              <w:jc w:val="left"/>
            </w:pPr>
            <w:r>
              <w:rPr>
                <w:rFonts w:ascii="Arial" w:hAnsi="Arial" w:cs="Arial"/>
                <w:b w:val="0"/>
                <w:i w:val="0"/>
                <w:sz w:val="19"/>
              </w:rPr>
              <w:t>Gestión administrativa, atención de usuarios y coordinación con desarrolladores</w:t>
            </w:r>
          </w:p>
        </w:tc>
      </w:tr>
      <w:tr>
        <w:trPr>
          <w:cantSplit/>
        </w:trPr>
        <w:tc>
          <w:tcPr>
            <w:tcW w:type="dxa" w:w="3118"/>
          </w:tcPr>
          <w:p>
            <w:pPr>
              <w:keepNext/>
              <w:spacing w:after="0" w:before="0" w:line="240" w:lineRule="auto"/>
              <w:jc w:val="left"/>
            </w:pPr>
            <w:r>
              <w:rPr>
                <w:rFonts w:ascii="Arial" w:hAnsi="Arial" w:cs="Arial"/>
                <w:b w:val="0"/>
                <w:i w:val="0"/>
                <w:sz w:val="19"/>
              </w:rPr>
              <w:t>Smartphone Android y acceso a un iPhone</w:t>
            </w:r>
          </w:p>
        </w:tc>
        <w:tc>
          <w:tcPr>
            <w:tcW w:type="dxa" w:w="1417"/>
          </w:tcPr>
          <w:p>
            <w:pPr>
              <w:keepNext/>
              <w:spacing w:after="0" w:before="0" w:line="240" w:lineRule="auto"/>
              <w:jc w:val="left"/>
            </w:pPr>
            <w:r>
              <w:rPr>
                <w:rFonts w:ascii="Arial" w:hAnsi="Arial" w:cs="Arial"/>
                <w:b w:val="0"/>
                <w:i w:val="0"/>
                <w:sz w:val="19"/>
              </w:rPr>
              <w:t>1 + acceso</w:t>
            </w:r>
          </w:p>
        </w:tc>
        <w:tc>
          <w:tcPr>
            <w:tcW w:type="dxa" w:w="3969"/>
          </w:tcPr>
          <w:p>
            <w:pPr>
              <w:keepNext/>
              <w:spacing w:after="0" w:before="0" w:line="240" w:lineRule="auto"/>
              <w:jc w:val="left"/>
            </w:pPr>
            <w:r>
              <w:rPr>
                <w:rFonts w:ascii="Arial" w:hAnsi="Arial" w:cs="Arial"/>
                <w:b w:val="0"/>
                <w:i w:val="0"/>
                <w:sz w:val="19"/>
              </w:rPr>
              <w:t>Pruebas de la aplicación en ambos sistemas operativos</w:t>
            </w:r>
          </w:p>
        </w:tc>
      </w:tr>
      <w:tr>
        <w:trPr>
          <w:cantSplit/>
        </w:trPr>
        <w:tc>
          <w:tcPr>
            <w:tcW w:type="dxa" w:w="3118"/>
          </w:tcPr>
          <w:p>
            <w:pPr>
              <w:keepNext/>
              <w:spacing w:after="0" w:before="0" w:line="240" w:lineRule="auto"/>
              <w:jc w:val="left"/>
            </w:pPr>
            <w:r>
              <w:rPr>
                <w:rFonts w:ascii="Arial" w:hAnsi="Arial" w:cs="Arial"/>
                <w:b w:val="0"/>
                <w:i w:val="0"/>
                <w:sz w:val="19"/>
              </w:rPr>
              <w:t>Servidor en la nube (servicio contratado)</w:t>
            </w:r>
          </w:p>
        </w:tc>
        <w:tc>
          <w:tcPr>
            <w:tcW w:type="dxa" w:w="1417"/>
          </w:tcPr>
          <w:p>
            <w:pPr>
              <w:keepNext/>
              <w:spacing w:after="0" w:before="0" w:line="240" w:lineRule="auto"/>
              <w:jc w:val="left"/>
            </w:pPr>
            <w:r>
              <w:rPr>
                <w:rFonts w:ascii="Arial" w:hAnsi="Arial" w:cs="Arial"/>
                <w:b w:val="0"/>
                <w:i w:val="0"/>
                <w:sz w:val="19"/>
              </w:rPr>
              <w:t>1 plan</w:t>
            </w:r>
          </w:p>
        </w:tc>
        <w:tc>
          <w:tcPr>
            <w:tcW w:type="dxa" w:w="3969"/>
          </w:tcPr>
          <w:p>
            <w:pPr>
              <w:keepNext/>
              <w:spacing w:after="0" w:before="0" w:line="240" w:lineRule="auto"/>
              <w:jc w:val="left"/>
            </w:pPr>
            <w:r>
              <w:rPr>
                <w:rFonts w:ascii="Arial" w:hAnsi="Arial" w:cs="Arial"/>
                <w:b w:val="0"/>
                <w:i w:val="0"/>
                <w:sz w:val="19"/>
              </w:rPr>
              <w:t>Alojamiento de la app, base de datos y panel web</w:t>
            </w:r>
          </w:p>
        </w:tc>
      </w:tr>
      <w:tr>
        <w:trPr>
          <w:cantSplit/>
        </w:trPr>
        <w:tc>
          <w:tcPr>
            <w:tcW w:type="dxa" w:w="3118"/>
          </w:tcPr>
          <w:p>
            <w:pPr>
              <w:spacing w:after="0" w:before="0" w:line="240" w:lineRule="auto"/>
              <w:jc w:val="left"/>
            </w:pPr>
            <w:r>
              <w:rPr>
                <w:rFonts w:ascii="Arial" w:hAnsi="Arial" w:cs="Arial"/>
                <w:b w:val="0"/>
                <w:i w:val="0"/>
                <w:sz w:val="19"/>
              </w:rPr>
              <w:t>Conexión a internet de banda ancha</w:t>
            </w:r>
          </w:p>
        </w:tc>
        <w:tc>
          <w:tcPr>
            <w:tcW w:type="dxa" w:w="1417"/>
          </w:tcPr>
          <w:p>
            <w:pPr>
              <w:spacing w:after="0" w:before="0" w:line="240" w:lineRule="auto"/>
              <w:jc w:val="left"/>
            </w:pPr>
            <w:r>
              <w:rPr>
                <w:rFonts w:ascii="Arial" w:hAnsi="Arial" w:cs="Arial"/>
                <w:b w:val="0"/>
                <w:i w:val="0"/>
                <w:sz w:val="19"/>
              </w:rPr>
              <w:t>1</w:t>
            </w:r>
          </w:p>
        </w:tc>
        <w:tc>
          <w:tcPr>
            <w:tcW w:type="dxa" w:w="3969"/>
          </w:tcPr>
          <w:p>
            <w:pPr>
              <w:spacing w:after="0" w:before="0" w:line="240" w:lineRule="auto"/>
              <w:jc w:val="left"/>
            </w:pPr>
            <w:r>
              <w:rPr>
                <w:rFonts w:ascii="Arial" w:hAnsi="Arial" w:cs="Arial"/>
                <w:b w:val="0"/>
                <w:i w:val="0"/>
                <w:sz w:val="19"/>
              </w:rPr>
              <w:t>Operación diaria del equipo</w:t>
            </w:r>
          </w:p>
        </w:tc>
      </w:tr>
    </w:tbl>
    <w:p>
      <w:pPr>
        <w:spacing w:after="80" w:before="0" w:line="240" w:lineRule="auto"/>
        <w:jc w:val="both"/>
      </w:pPr>
    </w:p>
    <w:p>
      <w:pPr>
        <w:spacing w:after="120" w:before="0" w:line="240" w:lineRule="auto"/>
        <w:jc w:val="both"/>
      </w:pPr>
      <w:r>
        <w:rPr>
          <w:rFonts w:ascii="Arial" w:hAnsi="Arial" w:cs="Arial"/>
          <w:b w:val="0"/>
          <w:i w:val="0"/>
          <w:sz w:val="22"/>
        </w:rPr>
        <w:t>Los técnicos utilizan sus propias herramientas de trabajo y su smartphone para recibir pedidos mediante la app del técnico.</w:t>
      </w:r>
    </w:p>
    <w:p>
      <w:pPr>
        <w:pStyle w:val="Ttulo3"/>
      </w:pPr>
      <w:r>
        <w:rPr>
          <w:rFonts w:ascii="Arial" w:hAnsi="Arial"/>
        </w:rPr>
        <w:t>3.2.2 Lista de insumos y/o materias primas</w:t>
      </w:r>
    </w:p>
    <w:p>
      <w:pPr>
        <w:spacing w:after="120" w:before="0" w:line="240" w:lineRule="auto"/>
        <w:jc w:val="both"/>
      </w:pPr>
      <w:r>
        <w:rPr>
          <w:rFonts w:ascii="Arial" w:hAnsi="Arial" w:cs="Arial"/>
          <w:b w:val="0"/>
          <w:i w:val="0"/>
          <w:sz w:val="22"/>
        </w:rPr>
        <w:t>Al ser un servicio digital, los insumos son principalmente servicios tecnológicos y operativos:</w:t>
      </w:r>
    </w:p>
    <w:p>
      <w:pPr>
        <w:numPr>
          <w:ilvl w:val="0"/>
          <w:numId w:val="3"/>
        </w:numPr>
        <w:spacing w:after="60" w:before="0" w:line="240" w:lineRule="auto"/>
        <w:ind w:left="714" w:hanging="357"/>
        <w:jc w:val="both"/>
      </w:pPr>
      <w:r>
        <w:rPr>
          <w:rFonts w:ascii="Arial" w:hAnsi="Arial" w:cs="Arial"/>
          <w:b w:val="0"/>
          <w:i w:val="0"/>
          <w:sz w:val="22"/>
        </w:rPr>
        <w:t>Desarrollo de software: aplicación multiplataforma (por ejemplo, con frameworks como Flutter o React Native) y panel web.</w:t>
      </w:r>
    </w:p>
    <w:p>
      <w:pPr>
        <w:numPr>
          <w:ilvl w:val="0"/>
          <w:numId w:val="3"/>
        </w:numPr>
        <w:spacing w:after="60" w:before="0" w:line="240" w:lineRule="auto"/>
        <w:ind w:left="714" w:hanging="357"/>
        <w:jc w:val="both"/>
      </w:pPr>
      <w:r>
        <w:rPr>
          <w:rFonts w:ascii="Arial" w:hAnsi="Arial" w:cs="Arial"/>
          <w:b w:val="0"/>
          <w:i w:val="0"/>
          <w:sz w:val="22"/>
        </w:rPr>
        <w:t>Servicios en la nube: hosting, base de datos y almacenamiento de documentos de verificación.</w:t>
      </w:r>
    </w:p>
    <w:p>
      <w:pPr>
        <w:numPr>
          <w:ilvl w:val="0"/>
          <w:numId w:val="3"/>
        </w:numPr>
        <w:spacing w:after="60" w:before="0" w:line="240" w:lineRule="auto"/>
        <w:ind w:left="714" w:hanging="357"/>
        <w:jc w:val="both"/>
      </w:pPr>
      <w:r>
        <w:rPr>
          <w:rFonts w:ascii="Arial" w:hAnsi="Arial" w:cs="Arial"/>
          <w:b w:val="0"/>
          <w:i w:val="0"/>
          <w:sz w:val="22"/>
        </w:rPr>
        <w:t>Pasarela de pagos local que permita cobros con tarjeta y billeteras digitales (a evaluar entre los proveedores disponibles en el Perú).</w:t>
      </w:r>
    </w:p>
    <w:p>
      <w:pPr>
        <w:numPr>
          <w:ilvl w:val="0"/>
          <w:numId w:val="3"/>
        </w:numPr>
        <w:spacing w:after="60" w:before="0" w:line="240" w:lineRule="auto"/>
        <w:ind w:left="714" w:hanging="357"/>
        <w:jc w:val="both"/>
      </w:pPr>
      <w:r>
        <w:rPr>
          <w:rFonts w:ascii="Arial" w:hAnsi="Arial" w:cs="Arial"/>
          <w:b w:val="0"/>
          <w:i w:val="0"/>
          <w:sz w:val="22"/>
        </w:rPr>
        <w:t>Servicio de mapas y geolocalización, notificaciones y mensajería dentro de la app.</w:t>
      </w:r>
    </w:p>
    <w:p>
      <w:pPr>
        <w:numPr>
          <w:ilvl w:val="0"/>
          <w:numId w:val="3"/>
        </w:numPr>
        <w:spacing w:after="60" w:before="0" w:line="240" w:lineRule="auto"/>
        <w:ind w:left="714" w:hanging="357"/>
        <w:jc w:val="both"/>
      </w:pPr>
      <w:r>
        <w:rPr>
          <w:rFonts w:ascii="Arial" w:hAnsi="Arial" w:cs="Arial"/>
          <w:b w:val="0"/>
          <w:i w:val="0"/>
          <w:sz w:val="22"/>
        </w:rPr>
        <w:t>Cuentas de desarrollador en Google Play y App Store.</w:t>
      </w:r>
    </w:p>
    <w:p>
      <w:pPr>
        <w:numPr>
          <w:ilvl w:val="0"/>
          <w:numId w:val="3"/>
        </w:numPr>
        <w:spacing w:after="60" w:before="0" w:line="240" w:lineRule="auto"/>
        <w:ind w:left="714" w:hanging="357"/>
        <w:jc w:val="both"/>
      </w:pPr>
      <w:r>
        <w:rPr>
          <w:rFonts w:ascii="Arial" w:hAnsi="Arial" w:cs="Arial"/>
          <w:b w:val="0"/>
          <w:i w:val="0"/>
          <w:sz w:val="22"/>
        </w:rPr>
        <w:t>Servicio de facturación electrónica para emitir comprobantes por las comisiones.</w:t>
      </w:r>
    </w:p>
    <w:p>
      <w:pPr>
        <w:numPr>
          <w:ilvl w:val="0"/>
          <w:numId w:val="3"/>
        </w:numPr>
        <w:spacing w:after="60" w:before="0" w:line="240" w:lineRule="auto"/>
        <w:ind w:left="714" w:hanging="357"/>
        <w:jc w:val="both"/>
      </w:pPr>
      <w:r>
        <w:rPr>
          <w:rFonts w:ascii="Arial" w:hAnsi="Arial" w:cs="Arial"/>
          <w:b w:val="0"/>
          <w:i w:val="0"/>
          <w:sz w:val="22"/>
        </w:rPr>
        <w:t>Material de identificación para técnicos (fotocheck y polo con la marca) y material de difusión para condominios.</w:t>
      </w:r>
    </w:p>
    <w:p>
      <w:pPr>
        <w:pStyle w:val="Ttulo3"/>
      </w:pPr>
      <w:r>
        <w:rPr>
          <w:rFonts w:ascii="Arial" w:hAnsi="Arial"/>
        </w:rPr>
        <w:t>3.2.3 Tamaño, dimensiones, formas, descripción y presentación del servicio</w:t>
      </w:r>
    </w:p>
    <w:p>
      <w:pPr>
        <w:spacing w:after="120" w:before="0" w:line="240" w:lineRule="auto"/>
        <w:jc w:val="both"/>
      </w:pPr>
      <w:r>
        <w:rPr>
          <w:rFonts w:ascii="Arial" w:hAnsi="Arial" w:cs="Arial"/>
          <w:b w:val="0"/>
          <w:i w:val="0"/>
          <w:sz w:val="22"/>
        </w:rPr>
        <w:t>ServiListo se presenta en tres componentes:</w:t>
      </w:r>
    </w:p>
    <w:tbl>
      <w:tblPr>
        <w:tblW w:type="dxa" w:w="8505"/>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2551"/>
        <w:gridCol w:w="2268"/>
        <w:gridCol w:w="3685"/>
      </w:tblGrid>
      <w:tr>
        <w:trPr>
          <w:cantSplit/>
          <w:tblHeader/>
        </w:trPr>
        <w:tc>
          <w:tcPr>
            <w:tcW w:type="dxa" w:w="2551"/>
            <w:shd w:val="clear" w:color="auto" w:fill="D9E2F3"/>
          </w:tcPr>
          <w:p>
            <w:pPr>
              <w:keepNext/>
              <w:spacing w:after="0" w:before="0" w:line="240" w:lineRule="auto"/>
              <w:jc w:val="left"/>
            </w:pPr>
            <w:r>
              <w:rPr>
                <w:rFonts w:ascii="Arial" w:hAnsi="Arial" w:cs="Arial"/>
                <w:b/>
                <w:i w:val="0"/>
                <w:sz w:val="19"/>
              </w:rPr>
              <w:t>Componente</w:t>
            </w:r>
          </w:p>
        </w:tc>
        <w:tc>
          <w:tcPr>
            <w:tcW w:type="dxa" w:w="2268"/>
            <w:shd w:val="clear" w:color="auto" w:fill="D9E2F3"/>
          </w:tcPr>
          <w:p>
            <w:pPr>
              <w:keepNext/>
              <w:spacing w:after="0" w:before="0" w:line="240" w:lineRule="auto"/>
              <w:jc w:val="left"/>
            </w:pPr>
            <w:r>
              <w:rPr>
                <w:rFonts w:ascii="Arial" w:hAnsi="Arial" w:cs="Arial"/>
                <w:b/>
                <w:i w:val="0"/>
                <w:sz w:val="19"/>
              </w:rPr>
              <w:t>Usuario</w:t>
            </w:r>
          </w:p>
        </w:tc>
        <w:tc>
          <w:tcPr>
            <w:tcW w:type="dxa" w:w="3685"/>
            <w:shd w:val="clear" w:color="auto" w:fill="D9E2F3"/>
          </w:tcPr>
          <w:p>
            <w:pPr>
              <w:keepNext/>
              <w:spacing w:after="0" w:before="0" w:line="240" w:lineRule="auto"/>
              <w:jc w:val="left"/>
            </w:pPr>
            <w:r>
              <w:rPr>
                <w:rFonts w:ascii="Arial" w:hAnsi="Arial" w:cs="Arial"/>
                <w:b/>
                <w:i w:val="0"/>
                <w:sz w:val="19"/>
              </w:rPr>
              <w:t>Funciones principales</w:t>
            </w:r>
          </w:p>
        </w:tc>
      </w:tr>
      <w:tr>
        <w:trPr>
          <w:cantSplit/>
        </w:trPr>
        <w:tc>
          <w:tcPr>
            <w:tcW w:type="dxa" w:w="2551"/>
          </w:tcPr>
          <w:p>
            <w:pPr>
              <w:keepNext/>
              <w:spacing w:after="0" w:before="0" w:line="240" w:lineRule="auto"/>
              <w:jc w:val="left"/>
            </w:pPr>
            <w:r>
              <w:rPr>
                <w:rFonts w:ascii="Arial" w:hAnsi="Arial" w:cs="Arial"/>
                <w:b w:val="0"/>
                <w:i w:val="0"/>
                <w:sz w:val="19"/>
              </w:rPr>
              <w:t>App del residente (Android/iOS)</w:t>
            </w:r>
          </w:p>
        </w:tc>
        <w:tc>
          <w:tcPr>
            <w:tcW w:type="dxa" w:w="2268"/>
          </w:tcPr>
          <w:p>
            <w:pPr>
              <w:keepNext/>
              <w:spacing w:after="0" w:before="0" w:line="240" w:lineRule="auto"/>
              <w:jc w:val="left"/>
            </w:pPr>
            <w:r>
              <w:rPr>
                <w:rFonts w:ascii="Arial" w:hAnsi="Arial" w:cs="Arial"/>
                <w:b w:val="0"/>
                <w:i w:val="0"/>
                <w:sz w:val="19"/>
              </w:rPr>
              <w:t>Propietarios e inquilinos</w:t>
            </w:r>
          </w:p>
        </w:tc>
        <w:tc>
          <w:tcPr>
            <w:tcW w:type="dxa" w:w="3685"/>
          </w:tcPr>
          <w:p>
            <w:pPr>
              <w:keepNext/>
              <w:spacing w:after="0" w:before="0" w:line="240" w:lineRule="auto"/>
              <w:jc w:val="left"/>
            </w:pPr>
            <w:r>
              <w:rPr>
                <w:rFonts w:ascii="Arial" w:hAnsi="Arial" w:cs="Arial"/>
                <w:b w:val="0"/>
                <w:i w:val="0"/>
                <w:sz w:val="19"/>
              </w:rPr>
              <w:t>Búsqueda, perfiles, agenda, pago, seguimiento, garantía, calificación y pedidos grupales</w:t>
            </w:r>
          </w:p>
        </w:tc>
      </w:tr>
      <w:tr>
        <w:trPr>
          <w:cantSplit/>
        </w:trPr>
        <w:tc>
          <w:tcPr>
            <w:tcW w:type="dxa" w:w="2551"/>
          </w:tcPr>
          <w:p>
            <w:pPr>
              <w:keepNext/>
              <w:spacing w:after="0" w:before="0" w:line="240" w:lineRule="auto"/>
              <w:jc w:val="left"/>
            </w:pPr>
            <w:r>
              <w:rPr>
                <w:rFonts w:ascii="Arial" w:hAnsi="Arial" w:cs="Arial"/>
                <w:b w:val="0"/>
                <w:i w:val="0"/>
                <w:sz w:val="19"/>
              </w:rPr>
              <w:t>App del técnico (Android/iOS)</w:t>
            </w:r>
          </w:p>
        </w:tc>
        <w:tc>
          <w:tcPr>
            <w:tcW w:type="dxa" w:w="2268"/>
          </w:tcPr>
          <w:p>
            <w:pPr>
              <w:keepNext/>
              <w:spacing w:after="0" w:before="0" w:line="240" w:lineRule="auto"/>
              <w:jc w:val="left"/>
            </w:pPr>
            <w:r>
              <w:rPr>
                <w:rFonts w:ascii="Arial" w:hAnsi="Arial" w:cs="Arial"/>
                <w:b w:val="0"/>
                <w:i w:val="0"/>
                <w:sz w:val="19"/>
              </w:rPr>
              <w:t>Técnicos verificados</w:t>
            </w:r>
          </w:p>
        </w:tc>
        <w:tc>
          <w:tcPr>
            <w:tcW w:type="dxa" w:w="3685"/>
          </w:tcPr>
          <w:p>
            <w:pPr>
              <w:keepNext/>
              <w:spacing w:after="0" w:before="0" w:line="240" w:lineRule="auto"/>
              <w:jc w:val="left"/>
            </w:pPr>
            <w:r>
              <w:rPr>
                <w:rFonts w:ascii="Arial" w:hAnsi="Arial" w:cs="Arial"/>
                <w:b w:val="0"/>
                <w:i w:val="0"/>
                <w:sz w:val="19"/>
              </w:rPr>
              <w:t>Recepción y aceptación de pedidos, agenda, presupuestos, cobros e historial de calificaciones</w:t>
            </w:r>
          </w:p>
        </w:tc>
      </w:tr>
      <w:tr>
        <w:trPr>
          <w:cantSplit/>
        </w:trPr>
        <w:tc>
          <w:tcPr>
            <w:tcW w:type="dxa" w:w="2551"/>
          </w:tcPr>
          <w:p>
            <w:pPr>
              <w:spacing w:after="0" w:before="0" w:line="240" w:lineRule="auto"/>
              <w:jc w:val="left"/>
            </w:pPr>
            <w:r>
              <w:rPr>
                <w:rFonts w:ascii="Arial" w:hAnsi="Arial" w:cs="Arial"/>
                <w:b w:val="0"/>
                <w:i w:val="0"/>
                <w:sz w:val="19"/>
              </w:rPr>
              <w:t>Panel web del condominio</w:t>
            </w:r>
          </w:p>
        </w:tc>
        <w:tc>
          <w:tcPr>
            <w:tcW w:type="dxa" w:w="2268"/>
          </w:tcPr>
          <w:p>
            <w:pPr>
              <w:spacing w:after="0" w:before="0" w:line="240" w:lineRule="auto"/>
              <w:jc w:val="left"/>
            </w:pPr>
            <w:r>
              <w:rPr>
                <w:rFonts w:ascii="Arial" w:hAnsi="Arial" w:cs="Arial"/>
                <w:b w:val="0"/>
                <w:i w:val="0"/>
                <w:sz w:val="19"/>
              </w:rPr>
              <w:t>Junta de propietarios o administradora</w:t>
            </w:r>
          </w:p>
        </w:tc>
        <w:tc>
          <w:tcPr>
            <w:tcW w:type="dxa" w:w="3685"/>
          </w:tcPr>
          <w:p>
            <w:pPr>
              <w:spacing w:after="0" w:before="0" w:line="240" w:lineRule="auto"/>
              <w:jc w:val="left"/>
            </w:pPr>
            <w:r>
              <w:rPr>
                <w:rFonts w:ascii="Arial" w:hAnsi="Arial" w:cs="Arial"/>
                <w:b w:val="0"/>
                <w:i w:val="0"/>
                <w:sz w:val="19"/>
              </w:rPr>
              <w:t>Plan de mantenimiento, historial de servicios, pedidos grupales y reportes</w:t>
            </w:r>
          </w:p>
        </w:tc>
      </w:tr>
    </w:tbl>
    <w:p>
      <w:pPr>
        <w:spacing w:after="80" w:before="0" w:line="240" w:lineRule="auto"/>
        <w:jc w:val="both"/>
      </w:pPr>
    </w:p>
    <w:p>
      <w:pPr>
        <w:spacing w:after="120" w:before="0" w:line="240" w:lineRule="auto"/>
        <w:jc w:val="both"/>
      </w:pPr>
      <w:r>
        <w:rPr>
          <w:rFonts w:ascii="Arial" w:hAnsi="Arial" w:cs="Arial"/>
          <w:b/>
          <w:i w:val="0"/>
          <w:sz w:val="22"/>
        </w:rPr>
        <w:t>Presentación visual:</w:t>
      </w:r>
      <w:r>
        <w:rPr>
          <w:rFonts w:ascii="Arial" w:hAnsi="Arial" w:cs="Arial"/>
          <w:b w:val="0"/>
          <w:i w:val="0"/>
          <w:sz w:val="22"/>
        </w:rPr>
        <w:t xml:space="preserve"> interfaz sencilla, con color principal verde azulado (asociado a confianza y limpieza), íconos grandes por categoría y botones de acción claros, pensada para usuarios de distintas edades.</w:t>
      </w:r>
    </w:p>
    <w:p>
      <w:pPr>
        <w:pStyle w:val="Ttulo3"/>
      </w:pPr>
      <w:r>
        <w:rPr>
          <w:rFonts w:ascii="Arial" w:hAnsi="Arial"/>
        </w:rPr>
        <w:t>3.2.4 Especificaciones para su aplicación y/o uso</w:t>
      </w:r>
    </w:p>
    <w:p>
      <w:pPr>
        <w:spacing w:after="120" w:before="0" w:line="240" w:lineRule="auto"/>
        <w:jc w:val="both"/>
      </w:pPr>
      <w:r>
        <w:rPr>
          <w:rFonts w:ascii="Arial" w:hAnsi="Arial" w:cs="Arial"/>
          <w:b/>
          <w:i w:val="0"/>
          <w:sz w:val="22"/>
        </w:rPr>
        <w:t>Requisitos para el residente:</w:t>
      </w:r>
      <w:r>
        <w:rPr>
          <w:rFonts w:ascii="Arial" w:hAnsi="Arial" w:cs="Arial"/>
          <w:b w:val="0"/>
          <w:i w:val="0"/>
          <w:sz w:val="22"/>
        </w:rPr>
        <w:t xml:space="preserve"> smartphone con conexión a internet, número de celular, DNI y dirección dentro de un condominio o edificio afiliado o registrado.</w:t>
      </w:r>
    </w:p>
    <w:p>
      <w:pPr>
        <w:spacing w:after="120" w:before="0" w:line="240" w:lineRule="auto"/>
        <w:jc w:val="both"/>
      </w:pPr>
      <w:r>
        <w:rPr>
          <w:rFonts w:ascii="Arial" w:hAnsi="Arial" w:cs="Arial"/>
          <w:b/>
          <w:i w:val="0"/>
          <w:sz w:val="22"/>
        </w:rPr>
        <w:t>Requisitos para el técnico:</w:t>
      </w:r>
      <w:r>
        <w:rPr>
          <w:rFonts w:ascii="Arial" w:hAnsi="Arial" w:cs="Arial"/>
          <w:b w:val="0"/>
          <w:i w:val="0"/>
          <w:sz w:val="22"/>
        </w:rPr>
        <w:t xml:space="preserve"> DNI vigente, certificado de antecedentes, experiencia comprobable en su oficio, entrevista y prueba de validación, y de preferencia RUC. Para mantenerse activo deberá conservar una calificación promedio mínima de 4 sobre 5.</w:t>
      </w:r>
    </w:p>
    <w:p>
      <w:pPr>
        <w:spacing w:after="120" w:before="0" w:line="240" w:lineRule="auto"/>
        <w:jc w:val="both"/>
      </w:pPr>
      <w:r>
        <w:rPr>
          <w:rFonts w:ascii="Arial" w:hAnsi="Arial" w:cs="Arial"/>
          <w:b/>
          <w:i w:val="0"/>
          <w:sz w:val="22"/>
        </w:rPr>
        <w:t>Políticas de uso:</w:t>
      </w:r>
      <w:r>
        <w:rPr>
          <w:rFonts w:ascii="Arial" w:hAnsi="Arial" w:cs="Arial"/>
          <w:b w:val="0"/>
          <w:i w:val="0"/>
          <w:sz w:val="22"/>
        </w:rPr>
        <w:t xml:space="preserve"> cancelación sin costo hasta un plazo previo definido a la visita, garantía de 30 días sobre la mano de obra, libro de reclamaciones virtual y tratamiento de datos personales conforme a la Ley N.° 29733.</w:t>
      </w:r>
    </w:p>
    <w:p>
      <w:pPr>
        <w:pStyle w:val="Ttulo2"/>
      </w:pPr>
      <w:r>
        <w:rPr>
          <w:rFonts w:ascii="Arial" w:hAnsi="Arial"/>
        </w:rPr>
        <w:t>3.3 Investigación de la propiedad intelectual</w:t>
      </w:r>
    </w:p>
    <w:p>
      <w:pPr>
        <w:pStyle w:val="Ttulo3"/>
      </w:pPr>
      <w:r>
        <w:rPr>
          <w:rFonts w:ascii="Arial" w:hAnsi="Arial"/>
        </w:rPr>
        <w:t>3.3.1 Marca y logo del servicio</w:t>
      </w:r>
    </w:p>
    <w:p>
      <w:pPr>
        <w:spacing w:after="120" w:before="0" w:line="240" w:lineRule="auto"/>
        <w:jc w:val="both"/>
      </w:pPr>
      <w:r>
        <w:rPr>
          <w:rFonts w:ascii="Arial" w:hAnsi="Arial" w:cs="Arial"/>
          <w:b/>
          <w:i w:val="0"/>
          <w:sz w:val="22"/>
        </w:rPr>
        <w:t>Nombre de la marca:</w:t>
      </w:r>
      <w:r>
        <w:rPr>
          <w:rFonts w:ascii="Arial" w:hAnsi="Arial" w:cs="Arial"/>
          <w:b w:val="0"/>
          <w:i w:val="0"/>
          <w:sz w:val="22"/>
        </w:rPr>
        <w:t xml:space="preserve"> ServiListo. Transmite rapidez ("listo") y servicio. Antes de registrarlo, se verificará en el buscador de marcas del INDECOPI que no exista una marca igual o parecida, y que no haya otra aplicación con el mismo nombre en Google Play o App Store.</w:t>
      </w:r>
    </w:p>
    <w:p>
      <w:pPr>
        <w:spacing w:after="120" w:before="0" w:line="240" w:lineRule="auto"/>
        <w:jc w:val="both"/>
      </w:pPr>
      <w:r>
        <w:rPr>
          <w:rFonts w:ascii="Arial" w:hAnsi="Arial" w:cs="Arial"/>
          <w:b/>
          <w:i w:val="0"/>
          <w:sz w:val="22"/>
        </w:rPr>
        <w:t>Concepto del logo:</w:t>
      </w:r>
      <w:r>
        <w:rPr>
          <w:rFonts w:ascii="Arial" w:hAnsi="Arial" w:cs="Arial"/>
          <w:b w:val="0"/>
          <w:i w:val="0"/>
          <w:sz w:val="22"/>
        </w:rPr>
        <w:t xml:space="preserve"> una casa con una llave inglesa integrada, en color verde azulado, acompañada del nombre de la marca en tipografía redondeada. Comunica hogar, mantenimiento y confianza.</w:t>
      </w:r>
    </w:p>
    <w:p>
      <w:pPr>
        <w:spacing w:after="120" w:before="0" w:line="240" w:lineRule="auto"/>
        <w:jc w:val="center"/>
      </w:pPr>
      <w:r>
        <w:rPr>
          <w:rFonts w:ascii="Arial" w:hAnsi="Arial" w:cs="Arial"/>
          <w:b w:val="0"/>
          <w:i/>
          <w:sz w:val="22"/>
        </w:rPr>
        <w:t>[Insertar aquí el logo de la marca]</w:t>
      </w:r>
    </w:p>
    <w:p>
      <w:pPr>
        <w:pStyle w:val="Ttulo3"/>
      </w:pPr>
      <w:r>
        <w:rPr>
          <w:rFonts w:ascii="Arial" w:hAnsi="Arial"/>
        </w:rPr>
        <w:t>3.3.2 Proceso de registro de la marca</w:t>
      </w:r>
    </w:p>
    <w:p>
      <w:pPr>
        <w:spacing w:after="120" w:before="0" w:line="240" w:lineRule="auto"/>
        <w:jc w:val="both"/>
      </w:pPr>
      <w:r>
        <w:rPr>
          <w:rFonts w:ascii="Arial" w:hAnsi="Arial" w:cs="Arial"/>
          <w:b w:val="0"/>
          <w:i w:val="0"/>
          <w:sz w:val="22"/>
        </w:rPr>
        <w:t>El registro de la marca se realizará ante la Dirección de Signos Distintivos del INDECOPI, preferentemente de manera virtual:</w:t>
      </w:r>
    </w:p>
    <w:p>
      <w:pPr>
        <w:numPr>
          <w:ilvl w:val="0"/>
          <w:numId w:val="3"/>
        </w:numPr>
        <w:spacing w:after="60" w:before="0" w:line="240" w:lineRule="auto"/>
        <w:ind w:left="714" w:hanging="357"/>
        <w:jc w:val="both"/>
      </w:pPr>
      <w:r>
        <w:rPr>
          <w:rFonts w:ascii="Arial" w:hAnsi="Arial" w:cs="Arial"/>
          <w:b/>
          <w:i w:val="0"/>
          <w:sz w:val="22"/>
        </w:rPr>
        <w:t>Búsqueda de antecedentes:</w:t>
      </w:r>
      <w:r>
        <w:rPr>
          <w:rFonts w:ascii="Arial" w:hAnsi="Arial" w:cs="Arial"/>
          <w:b w:val="0"/>
          <w:i w:val="0"/>
          <w:sz w:val="22"/>
        </w:rPr>
        <w:t xml:space="preserve"> verificar que no exista una marca igual o parecida en el buscador de marcas del INDECOPI y usar su asesoría gratuita.</w:t>
      </w:r>
    </w:p>
    <w:p>
      <w:pPr>
        <w:numPr>
          <w:ilvl w:val="0"/>
          <w:numId w:val="3"/>
        </w:numPr>
        <w:spacing w:after="60" w:before="0" w:line="240" w:lineRule="auto"/>
        <w:ind w:left="714" w:hanging="357"/>
        <w:jc w:val="both"/>
      </w:pPr>
      <w:r>
        <w:rPr>
          <w:rFonts w:ascii="Arial" w:hAnsi="Arial" w:cs="Arial"/>
          <w:b/>
          <w:i w:val="0"/>
          <w:sz w:val="22"/>
        </w:rPr>
        <w:t>Definición de clases de la Clasificación de Niza:</w:t>
      </w:r>
      <w:r>
        <w:rPr>
          <w:rFonts w:ascii="Arial" w:hAnsi="Arial" w:cs="Arial"/>
          <w:b w:val="0"/>
          <w:i w:val="0"/>
          <w:sz w:val="22"/>
        </w:rPr>
        <w:t xml:space="preserve"> se propone registrar la marca en la clase 9 (software y aplicaciones descargables) y en una clase de servicios, como la 37 (servicios de reparación e instalación); la clase exacta debe confirmarse con la asesoría del INDECOPI.</w:t>
      </w:r>
    </w:p>
    <w:p>
      <w:pPr>
        <w:numPr>
          <w:ilvl w:val="0"/>
          <w:numId w:val="3"/>
        </w:numPr>
        <w:spacing w:after="60" w:before="0" w:line="240" w:lineRule="auto"/>
        <w:ind w:left="714" w:hanging="357"/>
        <w:jc w:val="both"/>
      </w:pPr>
      <w:r>
        <w:rPr>
          <w:rFonts w:ascii="Arial" w:hAnsi="Arial" w:cs="Arial"/>
          <w:b/>
          <w:i w:val="0"/>
          <w:sz w:val="22"/>
        </w:rPr>
        <w:t>Pago de la tasa:</w:t>
      </w:r>
      <w:r>
        <w:rPr>
          <w:rFonts w:ascii="Arial" w:hAnsi="Arial" w:cs="Arial"/>
          <w:b w:val="0"/>
          <w:i w:val="0"/>
          <w:sz w:val="22"/>
        </w:rPr>
        <w:t xml:space="preserve"> aproximadamente S/ 534.90 por la primera clase y S/ 533.30 por cada clase adicional; algunas fuentes mencionan un costo reducido para MYPE</w:t>
      </w:r>
      <w:r>
        <w:rPr>
          <w:rFonts w:ascii="Arial" w:hAnsi="Arial" w:cs="Arial"/>
          <w:b w:val="0"/>
          <w:i w:val="0"/>
          <w:sz w:val="22"/>
          <w:vertAlign w:val="superscript"/>
        </w:rPr>
        <w:footnoteReference w:id="21"/>
      </w:r>
      <w:r>
        <w:rPr>
          <w:rFonts w:ascii="Arial" w:hAnsi="Arial" w:cs="Arial"/>
          <w:b w:val="0"/>
          <w:i w:val="0"/>
          <w:sz w:val="22"/>
        </w:rPr>
        <w:t>.</w:t>
      </w:r>
    </w:p>
    <w:p>
      <w:pPr>
        <w:numPr>
          <w:ilvl w:val="0"/>
          <w:numId w:val="3"/>
        </w:numPr>
        <w:spacing w:after="60" w:before="0" w:line="240" w:lineRule="auto"/>
        <w:ind w:left="714" w:hanging="357"/>
        <w:jc w:val="both"/>
      </w:pPr>
      <w:r>
        <w:rPr>
          <w:rFonts w:ascii="Arial" w:hAnsi="Arial" w:cs="Arial"/>
          <w:b/>
          <w:i w:val="0"/>
          <w:sz w:val="22"/>
        </w:rPr>
        <w:t>Presentación de la solicitud</w:t>
      </w:r>
      <w:r>
        <w:rPr>
          <w:rFonts w:ascii="Arial" w:hAnsi="Arial" w:cs="Arial"/>
          <w:b w:val="0"/>
          <w:i w:val="0"/>
          <w:sz w:val="22"/>
        </w:rPr>
        <w:t xml:space="preserve"> con el formulario y el comprobante de pago.</w:t>
      </w:r>
    </w:p>
    <w:p>
      <w:pPr>
        <w:numPr>
          <w:ilvl w:val="0"/>
          <w:numId w:val="3"/>
        </w:numPr>
        <w:spacing w:after="60" w:before="0" w:line="240" w:lineRule="auto"/>
        <w:ind w:left="714" w:hanging="357"/>
        <w:jc w:val="both"/>
      </w:pPr>
      <w:r>
        <w:rPr>
          <w:rFonts w:ascii="Arial" w:hAnsi="Arial" w:cs="Arial"/>
          <w:b/>
          <w:i w:val="0"/>
          <w:sz w:val="22"/>
        </w:rPr>
        <w:t>Examen de forma, publicación y plazo de oposición</w:t>
      </w:r>
      <w:r>
        <w:rPr>
          <w:rFonts w:ascii="Arial" w:hAnsi="Arial" w:cs="Arial"/>
          <w:b w:val="0"/>
          <w:i w:val="0"/>
          <w:sz w:val="22"/>
        </w:rPr>
        <w:t xml:space="preserve"> de terceros.</w:t>
      </w:r>
    </w:p>
    <w:p>
      <w:pPr>
        <w:numPr>
          <w:ilvl w:val="0"/>
          <w:numId w:val="3"/>
        </w:numPr>
        <w:spacing w:after="60" w:before="0" w:line="240" w:lineRule="auto"/>
        <w:ind w:left="714" w:hanging="357"/>
        <w:jc w:val="both"/>
      </w:pPr>
      <w:r>
        <w:rPr>
          <w:rFonts w:ascii="Arial" w:hAnsi="Arial" w:cs="Arial"/>
          <w:b/>
          <w:i w:val="0"/>
          <w:sz w:val="22"/>
        </w:rPr>
        <w:t>Resolución y certificado:</w:t>
      </w:r>
      <w:r>
        <w:rPr>
          <w:rFonts w:ascii="Arial" w:hAnsi="Arial" w:cs="Arial"/>
          <w:b w:val="0"/>
          <w:i w:val="0"/>
          <w:sz w:val="22"/>
        </w:rPr>
        <w:t xml:space="preserve"> si no hay oposiciones o se resuelven a favor, se emite el certificado con vigencia de 10 años renovables.</w:t>
      </w:r>
    </w:p>
    <w:p>
      <w:pPr>
        <w:pStyle w:val="Ttulo3"/>
      </w:pPr>
      <w:r>
        <w:rPr>
          <w:rFonts w:ascii="Arial" w:hAnsi="Arial"/>
        </w:rPr>
        <w:t>3.3.3 Proceso de patentar el servicio</w:t>
      </w:r>
    </w:p>
    <w:p>
      <w:pPr>
        <w:spacing w:after="120" w:before="0" w:line="240" w:lineRule="auto"/>
        <w:jc w:val="both"/>
      </w:pPr>
      <w:r>
        <w:rPr>
          <w:rFonts w:ascii="Arial" w:hAnsi="Arial" w:cs="Arial"/>
          <w:b w:val="0"/>
          <w:i w:val="0"/>
          <w:sz w:val="22"/>
        </w:rPr>
        <w:t xml:space="preserve">ServiListo </w:t>
      </w:r>
      <w:r>
        <w:rPr>
          <w:rFonts w:ascii="Arial" w:hAnsi="Arial" w:cs="Arial"/>
          <w:b/>
          <w:i w:val="0"/>
          <w:sz w:val="22"/>
        </w:rPr>
        <w:t>no requiere patente</w:t>
      </w:r>
      <w:r>
        <w:rPr>
          <w:rFonts w:ascii="Arial" w:hAnsi="Arial" w:cs="Arial"/>
          <w:b w:val="0"/>
          <w:i w:val="0"/>
          <w:sz w:val="22"/>
        </w:rPr>
        <w:t>. En la Comunidad Andina, a la que pertenece el Perú, los programas de ordenador como tales no se consideran invenciones patentables</w:t>
      </w:r>
      <w:r>
        <w:rPr>
          <w:rFonts w:ascii="Arial" w:hAnsi="Arial" w:cs="Arial"/>
          <w:b w:val="0"/>
          <w:i w:val="0"/>
          <w:sz w:val="22"/>
          <w:vertAlign w:val="superscript"/>
        </w:rPr>
        <w:footnoteReference w:id="22"/>
      </w:r>
      <w:r>
        <w:rPr>
          <w:rFonts w:ascii="Arial" w:hAnsi="Arial" w:cs="Arial"/>
          <w:b w:val="0"/>
          <w:i w:val="0"/>
          <w:sz w:val="22"/>
        </w:rPr>
        <w:t xml:space="preserve">, y los modelos de negocio tampoco son patentables. El software de la aplicación se protege mediante el </w:t>
      </w:r>
      <w:r>
        <w:rPr>
          <w:rFonts w:ascii="Arial" w:hAnsi="Arial" w:cs="Arial"/>
          <w:b/>
          <w:i w:val="0"/>
          <w:sz w:val="22"/>
        </w:rPr>
        <w:t>derecho de autor</w:t>
      </w:r>
      <w:r>
        <w:rPr>
          <w:rFonts w:ascii="Arial" w:hAnsi="Arial" w:cs="Arial"/>
          <w:b w:val="0"/>
          <w:i w:val="0"/>
          <w:sz w:val="22"/>
        </w:rPr>
        <w:t>, y su registro ante la Dirección de Derecho de Autor del INDECOPI es opcional, aunque recomendable como prueba de titularidad. Adicionalmente, se recomienda firmar contratos de cesión de derechos con los desarrolladores y acuerdos de confidencialidad.</w:t>
      </w:r>
    </w:p>
    <w:p>
      <w:pPr>
        <w:pStyle w:val="Ttulo1"/>
        <w:pageBreakBefore/>
      </w:pPr>
      <w:r>
        <w:rPr>
          <w:rFonts w:ascii="Arial" w:hAnsi="Arial"/>
        </w:rPr>
        <w:t>CAPÍTULO 4: PLAN ESTRATÉGICO</w:t>
      </w:r>
    </w:p>
    <w:p>
      <w:pPr>
        <w:pStyle w:val="Ttulo2"/>
      </w:pPr>
      <w:r>
        <w:rPr>
          <w:rFonts w:ascii="Arial" w:hAnsi="Arial"/>
        </w:rPr>
        <w:t>4.1 Misión</w:t>
      </w:r>
    </w:p>
    <w:p>
      <w:pPr>
        <w:spacing w:after="120" w:before="0" w:line="240" w:lineRule="auto"/>
        <w:jc w:val="both"/>
      </w:pPr>
      <w:r>
        <w:rPr>
          <w:rFonts w:ascii="Arial" w:hAnsi="Arial" w:cs="Arial"/>
          <w:b w:val="0"/>
          <w:i/>
          <w:sz w:val="22"/>
        </w:rPr>
        <w:t>Facilitar a las familias que viven en condominios de Lima el acceso seguro, rápido y transparente a servicios para el hogar, conectándolas con técnicos verificados a quienes brindamos más oportunidades de trabajo formal y digno.</w:t>
      </w:r>
    </w:p>
    <w:p>
      <w:pPr>
        <w:pStyle w:val="Ttulo2"/>
      </w:pPr>
      <w:r>
        <w:rPr>
          <w:rFonts w:ascii="Arial" w:hAnsi="Arial"/>
        </w:rPr>
        <w:t>4.2 Visión</w:t>
      </w:r>
    </w:p>
    <w:p>
      <w:pPr>
        <w:spacing w:after="120" w:before="0" w:line="240" w:lineRule="auto"/>
        <w:jc w:val="both"/>
      </w:pPr>
      <w:r>
        <w:rPr>
          <w:rFonts w:ascii="Arial" w:hAnsi="Arial" w:cs="Arial"/>
          <w:b w:val="0"/>
          <w:i/>
          <w:sz w:val="22"/>
        </w:rPr>
        <w:t>Ser, al año 2031, la plataforma de referencia para el mantenimiento de viviendas multifamiliares en Lima Metropolitana, reconocida por la confianza de los vecinos, el impulso a la formalización de los técnicos independientes y el cuidado del agua.</w:t>
      </w:r>
    </w:p>
    <w:p>
      <w:pPr>
        <w:pStyle w:val="Ttulo2"/>
      </w:pPr>
      <w:r>
        <w:rPr>
          <w:rFonts w:ascii="Arial" w:hAnsi="Arial"/>
        </w:rPr>
        <w:t>4.3 Factores críticos de éxito</w:t>
      </w:r>
    </w:p>
    <w:p>
      <w:pPr>
        <w:numPr>
          <w:ilvl w:val="0"/>
          <w:numId w:val="3"/>
        </w:numPr>
        <w:spacing w:after="60" w:before="0" w:line="240" w:lineRule="auto"/>
        <w:ind w:left="714" w:hanging="357"/>
        <w:jc w:val="both"/>
      </w:pPr>
      <w:r>
        <w:rPr>
          <w:rFonts w:ascii="Arial" w:hAnsi="Arial" w:cs="Arial"/>
          <w:b/>
          <w:i w:val="0"/>
          <w:sz w:val="22"/>
        </w:rPr>
        <w:t>Confianza:</w:t>
      </w:r>
      <w:r>
        <w:rPr>
          <w:rFonts w:ascii="Arial" w:hAnsi="Arial" w:cs="Arial"/>
          <w:b w:val="0"/>
          <w:i w:val="0"/>
          <w:sz w:val="22"/>
        </w:rPr>
        <w:t xml:space="preserve"> un proceso riguroso de verificación de técnicos y una garantía que se cumpla.</w:t>
      </w:r>
    </w:p>
    <w:p>
      <w:pPr>
        <w:numPr>
          <w:ilvl w:val="0"/>
          <w:numId w:val="3"/>
        </w:numPr>
        <w:spacing w:after="60" w:before="0" w:line="240" w:lineRule="auto"/>
        <w:ind w:left="714" w:hanging="357"/>
        <w:jc w:val="both"/>
      </w:pPr>
      <w:r>
        <w:rPr>
          <w:rFonts w:ascii="Arial" w:hAnsi="Arial" w:cs="Arial"/>
          <w:b/>
          <w:i w:val="0"/>
          <w:sz w:val="22"/>
        </w:rPr>
        <w:t>Masa crítica de técnicos por zona:</w:t>
      </w:r>
      <w:r>
        <w:rPr>
          <w:rFonts w:ascii="Arial" w:hAnsi="Arial" w:cs="Arial"/>
          <w:b w:val="0"/>
          <w:i w:val="0"/>
          <w:sz w:val="22"/>
        </w:rPr>
        <w:t xml:space="preserve"> contar con suficientes técnicos disponibles en los distritos donde se lance la app.</w:t>
      </w:r>
    </w:p>
    <w:p>
      <w:pPr>
        <w:numPr>
          <w:ilvl w:val="0"/>
          <w:numId w:val="3"/>
        </w:numPr>
        <w:spacing w:after="60" w:before="0" w:line="240" w:lineRule="auto"/>
        <w:ind w:left="714" w:hanging="357"/>
        <w:jc w:val="both"/>
      </w:pPr>
      <w:r>
        <w:rPr>
          <w:rFonts w:ascii="Arial" w:hAnsi="Arial" w:cs="Arial"/>
          <w:b/>
          <w:i w:val="0"/>
          <w:sz w:val="22"/>
        </w:rPr>
        <w:t>Alianzas con juntas de propietarios, administradoras e inmobiliarias</w:t>
      </w:r>
      <w:r>
        <w:rPr>
          <w:rFonts w:ascii="Arial" w:hAnsi="Arial" w:cs="Arial"/>
          <w:b w:val="0"/>
          <w:i w:val="0"/>
          <w:sz w:val="22"/>
        </w:rPr>
        <w:t xml:space="preserve"> para ingresar a varios edificios a la vez.</w:t>
      </w:r>
    </w:p>
    <w:p>
      <w:pPr>
        <w:numPr>
          <w:ilvl w:val="0"/>
          <w:numId w:val="3"/>
        </w:numPr>
        <w:spacing w:after="60" w:before="0" w:line="240" w:lineRule="auto"/>
        <w:ind w:left="714" w:hanging="357"/>
        <w:jc w:val="both"/>
      </w:pPr>
      <w:r>
        <w:rPr>
          <w:rFonts w:ascii="Arial" w:hAnsi="Arial" w:cs="Arial"/>
          <w:b/>
          <w:i w:val="0"/>
          <w:sz w:val="22"/>
        </w:rPr>
        <w:t>Experiencia de usuario simple:</w:t>
      </w:r>
      <w:r>
        <w:rPr>
          <w:rFonts w:ascii="Arial" w:hAnsi="Arial" w:cs="Arial"/>
          <w:b w:val="0"/>
          <w:i w:val="0"/>
          <w:sz w:val="22"/>
        </w:rPr>
        <w:t xml:space="preserve"> contratar un servicio en pocos pasos.</w:t>
      </w:r>
    </w:p>
    <w:p>
      <w:pPr>
        <w:numPr>
          <w:ilvl w:val="0"/>
          <w:numId w:val="3"/>
        </w:numPr>
        <w:spacing w:after="60" w:before="0" w:line="240" w:lineRule="auto"/>
        <w:ind w:left="714" w:hanging="357"/>
        <w:jc w:val="both"/>
      </w:pPr>
      <w:r>
        <w:rPr>
          <w:rFonts w:ascii="Arial" w:hAnsi="Arial" w:cs="Arial"/>
          <w:b/>
          <w:i w:val="0"/>
          <w:sz w:val="22"/>
        </w:rPr>
        <w:t>Retención dentro de la plataforma:</w:t>
      </w:r>
      <w:r>
        <w:rPr>
          <w:rFonts w:ascii="Arial" w:hAnsi="Arial" w:cs="Arial"/>
          <w:b w:val="0"/>
          <w:i w:val="0"/>
          <w:sz w:val="22"/>
        </w:rPr>
        <w:t xml:space="preserve"> beneficios (garantía, pago protegido, historial, pedidos grupales) que eviten que cliente y técnico sigan tratando por fuera de la app.</w:t>
      </w:r>
    </w:p>
    <w:p>
      <w:pPr>
        <w:numPr>
          <w:ilvl w:val="0"/>
          <w:numId w:val="3"/>
        </w:numPr>
        <w:spacing w:after="60" w:before="0" w:line="240" w:lineRule="auto"/>
        <w:ind w:left="714" w:hanging="357"/>
        <w:jc w:val="both"/>
      </w:pPr>
      <w:r>
        <w:rPr>
          <w:rFonts w:ascii="Arial" w:hAnsi="Arial" w:cs="Arial"/>
          <w:b/>
          <w:i w:val="0"/>
          <w:sz w:val="22"/>
        </w:rPr>
        <w:t>Gestión de la reputación:</w:t>
      </w:r>
      <w:r>
        <w:rPr>
          <w:rFonts w:ascii="Arial" w:hAnsi="Arial" w:cs="Arial"/>
          <w:b w:val="0"/>
          <w:i w:val="0"/>
          <w:sz w:val="22"/>
        </w:rPr>
        <w:t xml:space="preserve"> sistema de calificaciones confiable y atención rápida de reclamos.</w:t>
      </w:r>
    </w:p>
    <w:p>
      <w:pPr>
        <w:numPr>
          <w:ilvl w:val="0"/>
          <w:numId w:val="3"/>
        </w:numPr>
        <w:spacing w:after="60" w:before="0" w:line="240" w:lineRule="auto"/>
        <w:ind w:left="714" w:hanging="357"/>
        <w:jc w:val="both"/>
      </w:pPr>
      <w:r>
        <w:rPr>
          <w:rFonts w:ascii="Arial" w:hAnsi="Arial" w:cs="Arial"/>
          <w:b/>
          <w:i w:val="0"/>
          <w:sz w:val="22"/>
        </w:rPr>
        <w:t>Control del costo de adquisición de clientes</w:t>
      </w:r>
      <w:r>
        <w:rPr>
          <w:rFonts w:ascii="Arial" w:hAnsi="Arial" w:cs="Arial"/>
          <w:b w:val="0"/>
          <w:i w:val="0"/>
          <w:sz w:val="22"/>
        </w:rPr>
        <w:t xml:space="preserve"> mediante captación por condominio y no casa por casa.</w:t>
      </w:r>
    </w:p>
    <w:p>
      <w:pPr>
        <w:spacing w:after="120" w:before="0" w:line="240" w:lineRule="auto"/>
        <w:jc w:val="both"/>
      </w:pPr>
      <w:r>
        <w:rPr>
          <w:rFonts w:ascii="Arial" w:hAnsi="Arial" w:cs="Arial"/>
          <w:b/>
          <w:i w:val="0"/>
          <w:sz w:val="22"/>
        </w:rPr>
        <w:t>Ventajas competitivas:</w:t>
      </w:r>
      <w:r>
        <w:rPr>
          <w:rFonts w:ascii="Arial" w:hAnsi="Arial" w:cs="Arial"/>
          <w:b w:val="0"/>
          <w:i w:val="0"/>
          <w:sz w:val="22"/>
        </w:rPr>
        <w:t xml:space="preserve"> el enfoque en el condominio como comunidad, los pedidos grupales con descuento, el plan de mantenimiento preventivo para la junta de propietarios y el pago protegido con garantía.</w:t>
      </w:r>
    </w:p>
    <w:p>
      <w:pPr>
        <w:pStyle w:val="Ttulo2"/>
      </w:pPr>
      <w:r>
        <w:rPr>
          <w:rFonts w:ascii="Arial" w:hAnsi="Arial"/>
        </w:rPr>
        <w:t>4.4 Objetivos estratégicos</w:t>
      </w:r>
    </w:p>
    <w:tbl>
      <w:tblPr>
        <w:tblW w:type="dxa" w:w="8505"/>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530"/>
        <w:gridCol w:w="2608"/>
        <w:gridCol w:w="2211"/>
        <w:gridCol w:w="2154"/>
      </w:tblGrid>
      <w:tr>
        <w:trPr>
          <w:cantSplit/>
          <w:tblHeader/>
        </w:trPr>
        <w:tc>
          <w:tcPr>
            <w:tcW w:type="dxa" w:w="1531"/>
            <w:shd w:val="clear" w:color="auto" w:fill="D9E2F3"/>
          </w:tcPr>
          <w:p>
            <w:pPr>
              <w:keepNext/>
              <w:spacing w:after="0" w:before="0" w:line="240" w:lineRule="auto"/>
              <w:jc w:val="left"/>
            </w:pPr>
            <w:r>
              <w:rPr>
                <w:rFonts w:ascii="Arial" w:hAnsi="Arial" w:cs="Arial"/>
                <w:b/>
                <w:i w:val="0"/>
                <w:sz w:val="19"/>
              </w:rPr>
              <w:t>Perspectiva</w:t>
            </w:r>
          </w:p>
        </w:tc>
        <w:tc>
          <w:tcPr>
            <w:tcW w:type="dxa" w:w="2608"/>
            <w:shd w:val="clear" w:color="auto" w:fill="D9E2F3"/>
          </w:tcPr>
          <w:p>
            <w:pPr>
              <w:keepNext/>
              <w:spacing w:after="0" w:before="0" w:line="240" w:lineRule="auto"/>
              <w:jc w:val="left"/>
            </w:pPr>
            <w:r>
              <w:rPr>
                <w:rFonts w:ascii="Arial" w:hAnsi="Arial" w:cs="Arial"/>
                <w:b/>
                <w:i w:val="0"/>
                <w:sz w:val="19"/>
              </w:rPr>
              <w:t>Objetivo estratégico</w:t>
            </w:r>
          </w:p>
        </w:tc>
        <w:tc>
          <w:tcPr>
            <w:tcW w:type="dxa" w:w="2211"/>
            <w:shd w:val="clear" w:color="auto" w:fill="D9E2F3"/>
          </w:tcPr>
          <w:p>
            <w:pPr>
              <w:keepNext/>
              <w:spacing w:after="0" w:before="0" w:line="240" w:lineRule="auto"/>
              <w:jc w:val="left"/>
            </w:pPr>
            <w:r>
              <w:rPr>
                <w:rFonts w:ascii="Arial" w:hAnsi="Arial" w:cs="Arial"/>
                <w:b/>
                <w:i w:val="0"/>
                <w:sz w:val="19"/>
              </w:rPr>
              <w:t>Indicador</w:t>
            </w:r>
          </w:p>
        </w:tc>
        <w:tc>
          <w:tcPr>
            <w:tcW w:type="dxa" w:w="2154"/>
            <w:shd w:val="clear" w:color="auto" w:fill="D9E2F3"/>
          </w:tcPr>
          <w:p>
            <w:pPr>
              <w:keepNext/>
              <w:spacing w:after="0" w:before="0" w:line="240" w:lineRule="auto"/>
              <w:jc w:val="left"/>
            </w:pPr>
            <w:r>
              <w:rPr>
                <w:rFonts w:ascii="Arial" w:hAnsi="Arial" w:cs="Arial"/>
                <w:b/>
                <w:i w:val="0"/>
                <w:sz w:val="19"/>
              </w:rPr>
              <w:t>Meta y plazo</w:t>
            </w:r>
          </w:p>
        </w:tc>
      </w:tr>
      <w:tr>
        <w:trPr>
          <w:cantSplit/>
        </w:trPr>
        <w:tc>
          <w:tcPr>
            <w:tcW w:type="dxa" w:w="1531"/>
          </w:tcPr>
          <w:p>
            <w:pPr>
              <w:keepNext/>
              <w:spacing w:after="0" w:before="0" w:line="240" w:lineRule="auto"/>
              <w:jc w:val="left"/>
            </w:pPr>
            <w:r>
              <w:rPr>
                <w:rFonts w:ascii="Arial" w:hAnsi="Arial" w:cs="Arial"/>
                <w:b w:val="0"/>
                <w:i w:val="0"/>
                <w:sz w:val="19"/>
              </w:rPr>
              <w:t>Financiera</w:t>
            </w:r>
          </w:p>
        </w:tc>
        <w:tc>
          <w:tcPr>
            <w:tcW w:type="dxa" w:w="2608"/>
          </w:tcPr>
          <w:p>
            <w:pPr>
              <w:keepNext/>
              <w:spacing w:after="0" w:before="0" w:line="240" w:lineRule="auto"/>
              <w:jc w:val="left"/>
            </w:pPr>
            <w:r>
              <w:rPr>
                <w:rFonts w:ascii="Arial" w:hAnsi="Arial" w:cs="Arial"/>
                <w:b w:val="0"/>
                <w:i w:val="0"/>
                <w:sz w:val="19"/>
              </w:rPr>
              <w:t>Alcanzar el punto de equilibrio operativo</w:t>
            </w:r>
          </w:p>
        </w:tc>
        <w:tc>
          <w:tcPr>
            <w:tcW w:type="dxa" w:w="2211"/>
          </w:tcPr>
          <w:p>
            <w:pPr>
              <w:keepNext/>
              <w:spacing w:after="0" w:before="0" w:line="240" w:lineRule="auto"/>
              <w:jc w:val="left"/>
            </w:pPr>
            <w:r>
              <w:rPr>
                <w:rFonts w:ascii="Arial" w:hAnsi="Arial" w:cs="Arial"/>
                <w:b w:val="0"/>
                <w:i w:val="0"/>
                <w:sz w:val="19"/>
              </w:rPr>
              <w:t>Resultado antes de impuestos</w:t>
            </w:r>
          </w:p>
        </w:tc>
        <w:tc>
          <w:tcPr>
            <w:tcW w:type="dxa" w:w="2154"/>
          </w:tcPr>
          <w:p>
            <w:pPr>
              <w:keepNext/>
              <w:spacing w:after="0" w:before="0" w:line="240" w:lineRule="auto"/>
              <w:jc w:val="left"/>
            </w:pPr>
            <w:r>
              <w:rPr>
                <w:rFonts w:ascii="Arial" w:hAnsi="Arial" w:cs="Arial"/>
                <w:b w:val="0"/>
                <w:i w:val="0"/>
                <w:sz w:val="19"/>
              </w:rPr>
              <w:t>Positivo en el año 2</w:t>
            </w:r>
          </w:p>
        </w:tc>
      </w:tr>
      <w:tr>
        <w:trPr>
          <w:cantSplit/>
        </w:trPr>
        <w:tc>
          <w:tcPr>
            <w:tcW w:type="dxa" w:w="1531"/>
          </w:tcPr>
          <w:p>
            <w:pPr>
              <w:keepNext/>
              <w:spacing w:after="0" w:before="0" w:line="240" w:lineRule="auto"/>
              <w:jc w:val="left"/>
            </w:pPr>
            <w:r>
              <w:rPr>
                <w:rFonts w:ascii="Arial" w:hAnsi="Arial" w:cs="Arial"/>
                <w:b w:val="0"/>
                <w:i w:val="0"/>
                <w:sz w:val="19"/>
              </w:rPr>
              <w:t>Clientes</w:t>
            </w:r>
          </w:p>
        </w:tc>
        <w:tc>
          <w:tcPr>
            <w:tcW w:type="dxa" w:w="2608"/>
          </w:tcPr>
          <w:p>
            <w:pPr>
              <w:keepNext/>
              <w:spacing w:after="0" w:before="0" w:line="240" w:lineRule="auto"/>
              <w:jc w:val="left"/>
            </w:pPr>
            <w:r>
              <w:rPr>
                <w:rFonts w:ascii="Arial" w:hAnsi="Arial" w:cs="Arial"/>
                <w:b w:val="0"/>
                <w:i w:val="0"/>
                <w:sz w:val="19"/>
              </w:rPr>
              <w:t>Construir una base de condominios afiliados</w:t>
            </w:r>
          </w:p>
        </w:tc>
        <w:tc>
          <w:tcPr>
            <w:tcW w:type="dxa" w:w="2211"/>
          </w:tcPr>
          <w:p>
            <w:pPr>
              <w:keepNext/>
              <w:spacing w:after="0" w:before="0" w:line="240" w:lineRule="auto"/>
              <w:jc w:val="left"/>
            </w:pPr>
            <w:r>
              <w:rPr>
                <w:rFonts w:ascii="Arial" w:hAnsi="Arial" w:cs="Arial"/>
                <w:b w:val="0"/>
                <w:i w:val="0"/>
                <w:sz w:val="19"/>
              </w:rPr>
              <w:t>Condominios suscritos</w:t>
            </w:r>
          </w:p>
        </w:tc>
        <w:tc>
          <w:tcPr>
            <w:tcW w:type="dxa" w:w="2154"/>
          </w:tcPr>
          <w:p>
            <w:pPr>
              <w:keepNext/>
              <w:spacing w:after="0" w:before="0" w:line="240" w:lineRule="auto"/>
              <w:jc w:val="left"/>
            </w:pPr>
            <w:r>
              <w:rPr>
                <w:rFonts w:ascii="Arial" w:hAnsi="Arial" w:cs="Arial"/>
                <w:b w:val="0"/>
                <w:i w:val="0"/>
                <w:sz w:val="19"/>
              </w:rPr>
              <w:t>10 en el año 1; 60 en el año 3</w:t>
            </w:r>
          </w:p>
        </w:tc>
      </w:tr>
      <w:tr>
        <w:trPr>
          <w:cantSplit/>
        </w:trPr>
        <w:tc>
          <w:tcPr>
            <w:tcW w:type="dxa" w:w="1531"/>
          </w:tcPr>
          <w:p>
            <w:pPr>
              <w:keepNext/>
              <w:spacing w:after="0" w:before="0" w:line="240" w:lineRule="auto"/>
              <w:jc w:val="left"/>
            </w:pPr>
            <w:r>
              <w:rPr>
                <w:rFonts w:ascii="Arial" w:hAnsi="Arial" w:cs="Arial"/>
                <w:b w:val="0"/>
                <w:i w:val="0"/>
                <w:sz w:val="19"/>
              </w:rPr>
              <w:t>Clientes</w:t>
            </w:r>
          </w:p>
        </w:tc>
        <w:tc>
          <w:tcPr>
            <w:tcW w:type="dxa" w:w="2608"/>
          </w:tcPr>
          <w:p>
            <w:pPr>
              <w:keepNext/>
              <w:spacing w:after="0" w:before="0" w:line="240" w:lineRule="auto"/>
              <w:jc w:val="left"/>
            </w:pPr>
            <w:r>
              <w:rPr>
                <w:rFonts w:ascii="Arial" w:hAnsi="Arial" w:cs="Arial"/>
                <w:b w:val="0"/>
                <w:i w:val="0"/>
                <w:sz w:val="19"/>
              </w:rPr>
              <w:t>Lograr alta satisfacción de los usuarios</w:t>
            </w:r>
          </w:p>
        </w:tc>
        <w:tc>
          <w:tcPr>
            <w:tcW w:type="dxa" w:w="2211"/>
          </w:tcPr>
          <w:p>
            <w:pPr>
              <w:keepNext/>
              <w:spacing w:after="0" w:before="0" w:line="240" w:lineRule="auto"/>
              <w:jc w:val="left"/>
            </w:pPr>
            <w:r>
              <w:rPr>
                <w:rFonts w:ascii="Arial" w:hAnsi="Arial" w:cs="Arial"/>
                <w:b w:val="0"/>
                <w:i w:val="0"/>
                <w:sz w:val="19"/>
              </w:rPr>
              <w:t>Calificación promedio de servicios</w:t>
            </w:r>
          </w:p>
        </w:tc>
        <w:tc>
          <w:tcPr>
            <w:tcW w:type="dxa" w:w="2154"/>
          </w:tcPr>
          <w:p>
            <w:pPr>
              <w:keepNext/>
              <w:spacing w:after="0" w:before="0" w:line="240" w:lineRule="auto"/>
              <w:jc w:val="left"/>
            </w:pPr>
            <w:r>
              <w:rPr>
                <w:rFonts w:ascii="Arial" w:hAnsi="Arial" w:cs="Arial"/>
                <w:b w:val="0"/>
                <w:i w:val="0"/>
                <w:sz w:val="19"/>
              </w:rPr>
              <w:t>4,5 / 5 o más desde el año 1</w:t>
            </w:r>
          </w:p>
        </w:tc>
      </w:tr>
      <w:tr>
        <w:trPr>
          <w:cantSplit/>
        </w:trPr>
        <w:tc>
          <w:tcPr>
            <w:tcW w:type="dxa" w:w="1531"/>
          </w:tcPr>
          <w:p>
            <w:pPr>
              <w:keepNext/>
              <w:spacing w:after="0" w:before="0" w:line="240" w:lineRule="auto"/>
              <w:jc w:val="left"/>
            </w:pPr>
            <w:r>
              <w:rPr>
                <w:rFonts w:ascii="Arial" w:hAnsi="Arial" w:cs="Arial"/>
                <w:b w:val="0"/>
                <w:i w:val="0"/>
                <w:sz w:val="19"/>
              </w:rPr>
              <w:t>Procesos</w:t>
            </w:r>
          </w:p>
        </w:tc>
        <w:tc>
          <w:tcPr>
            <w:tcW w:type="dxa" w:w="2608"/>
          </w:tcPr>
          <w:p>
            <w:pPr>
              <w:keepNext/>
              <w:spacing w:after="0" w:before="0" w:line="240" w:lineRule="auto"/>
              <w:jc w:val="left"/>
            </w:pPr>
            <w:r>
              <w:rPr>
                <w:rFonts w:ascii="Arial" w:hAnsi="Arial" w:cs="Arial"/>
                <w:b w:val="0"/>
                <w:i w:val="0"/>
                <w:sz w:val="19"/>
              </w:rPr>
              <w:t>Asegurar la calidad del servicio</w:t>
            </w:r>
          </w:p>
        </w:tc>
        <w:tc>
          <w:tcPr>
            <w:tcW w:type="dxa" w:w="2211"/>
          </w:tcPr>
          <w:p>
            <w:pPr>
              <w:keepNext/>
              <w:spacing w:after="0" w:before="0" w:line="240" w:lineRule="auto"/>
              <w:jc w:val="left"/>
            </w:pPr>
            <w:r>
              <w:rPr>
                <w:rFonts w:ascii="Arial" w:hAnsi="Arial" w:cs="Arial"/>
                <w:b w:val="0"/>
                <w:i w:val="0"/>
                <w:sz w:val="19"/>
              </w:rPr>
              <w:t>Servicios con reclamo por garantía</w:t>
            </w:r>
          </w:p>
        </w:tc>
        <w:tc>
          <w:tcPr>
            <w:tcW w:type="dxa" w:w="2154"/>
          </w:tcPr>
          <w:p>
            <w:pPr>
              <w:keepNext/>
              <w:spacing w:after="0" w:before="0" w:line="240" w:lineRule="auto"/>
              <w:jc w:val="left"/>
            </w:pPr>
            <w:r>
              <w:rPr>
                <w:rFonts w:ascii="Arial" w:hAnsi="Arial" w:cs="Arial"/>
                <w:b w:val="0"/>
                <w:i w:val="0"/>
                <w:sz w:val="19"/>
              </w:rPr>
              <w:t>Menos de 5 % de los servicios</w:t>
            </w:r>
          </w:p>
        </w:tc>
      </w:tr>
      <w:tr>
        <w:trPr>
          <w:cantSplit/>
        </w:trPr>
        <w:tc>
          <w:tcPr>
            <w:tcW w:type="dxa" w:w="1531"/>
          </w:tcPr>
          <w:p>
            <w:pPr>
              <w:keepNext/>
              <w:spacing w:after="0" w:before="0" w:line="240" w:lineRule="auto"/>
              <w:jc w:val="left"/>
            </w:pPr>
            <w:r>
              <w:rPr>
                <w:rFonts w:ascii="Arial" w:hAnsi="Arial" w:cs="Arial"/>
                <w:b w:val="0"/>
                <w:i w:val="0"/>
                <w:sz w:val="19"/>
              </w:rPr>
              <w:t>Aprendizaje</w:t>
            </w:r>
          </w:p>
        </w:tc>
        <w:tc>
          <w:tcPr>
            <w:tcW w:type="dxa" w:w="2608"/>
          </w:tcPr>
          <w:p>
            <w:pPr>
              <w:keepNext/>
              <w:spacing w:after="0" w:before="0" w:line="240" w:lineRule="auto"/>
              <w:jc w:val="left"/>
            </w:pPr>
            <w:r>
              <w:rPr>
                <w:rFonts w:ascii="Arial" w:hAnsi="Arial" w:cs="Arial"/>
                <w:b w:val="0"/>
                <w:i w:val="0"/>
                <w:sz w:val="19"/>
              </w:rPr>
              <w:t>Fortalecer la red de técnicos verificados</w:t>
            </w:r>
          </w:p>
        </w:tc>
        <w:tc>
          <w:tcPr>
            <w:tcW w:type="dxa" w:w="2211"/>
          </w:tcPr>
          <w:p>
            <w:pPr>
              <w:keepNext/>
              <w:spacing w:after="0" w:before="0" w:line="240" w:lineRule="auto"/>
              <w:jc w:val="left"/>
            </w:pPr>
            <w:r>
              <w:rPr>
                <w:rFonts w:ascii="Arial" w:hAnsi="Arial" w:cs="Arial"/>
                <w:b w:val="0"/>
                <w:i w:val="0"/>
                <w:sz w:val="19"/>
              </w:rPr>
              <w:t>Técnicos activos y capacitados</w:t>
            </w:r>
          </w:p>
        </w:tc>
        <w:tc>
          <w:tcPr>
            <w:tcW w:type="dxa" w:w="2154"/>
          </w:tcPr>
          <w:p>
            <w:pPr>
              <w:keepNext/>
              <w:spacing w:after="0" w:before="0" w:line="240" w:lineRule="auto"/>
              <w:jc w:val="left"/>
            </w:pPr>
            <w:r>
              <w:rPr>
                <w:rFonts w:ascii="Arial" w:hAnsi="Arial" w:cs="Arial"/>
                <w:b w:val="0"/>
                <w:i w:val="0"/>
                <w:sz w:val="19"/>
              </w:rPr>
              <w:t>50 en el año 1 (meta a validar)</w:t>
            </w:r>
          </w:p>
        </w:tc>
      </w:tr>
      <w:tr>
        <w:trPr>
          <w:cantSplit/>
        </w:trPr>
        <w:tc>
          <w:tcPr>
            <w:tcW w:type="dxa" w:w="1531"/>
          </w:tcPr>
          <w:p>
            <w:pPr>
              <w:spacing w:after="0" w:before="0" w:line="240" w:lineRule="auto"/>
              <w:jc w:val="left"/>
            </w:pPr>
            <w:r>
              <w:rPr>
                <w:rFonts w:ascii="Arial" w:hAnsi="Arial" w:cs="Arial"/>
                <w:b w:val="0"/>
                <w:i w:val="0"/>
                <w:sz w:val="19"/>
              </w:rPr>
              <w:t>Social y ambiental</w:t>
            </w:r>
          </w:p>
        </w:tc>
        <w:tc>
          <w:tcPr>
            <w:tcW w:type="dxa" w:w="2608"/>
          </w:tcPr>
          <w:p>
            <w:pPr>
              <w:spacing w:after="0" w:before="0" w:line="240" w:lineRule="auto"/>
              <w:jc w:val="left"/>
            </w:pPr>
            <w:r>
              <w:rPr>
                <w:rFonts w:ascii="Arial" w:hAnsi="Arial" w:cs="Arial"/>
                <w:b w:val="0"/>
                <w:i w:val="0"/>
                <w:sz w:val="19"/>
              </w:rPr>
              <w:t>Promover la formalización y el cuidado del agua</w:t>
            </w:r>
          </w:p>
        </w:tc>
        <w:tc>
          <w:tcPr>
            <w:tcW w:type="dxa" w:w="2211"/>
          </w:tcPr>
          <w:p>
            <w:pPr>
              <w:spacing w:after="0" w:before="0" w:line="240" w:lineRule="auto"/>
              <w:jc w:val="left"/>
            </w:pPr>
            <w:r>
              <w:rPr>
                <w:rFonts w:ascii="Arial" w:hAnsi="Arial" w:cs="Arial"/>
                <w:b w:val="0"/>
                <w:i w:val="0"/>
                <w:sz w:val="19"/>
              </w:rPr>
              <w:t>% de técnicos con RUC; servicios preventivos de fugas</w:t>
            </w:r>
          </w:p>
        </w:tc>
        <w:tc>
          <w:tcPr>
            <w:tcW w:type="dxa" w:w="2154"/>
          </w:tcPr>
          <w:p>
            <w:pPr>
              <w:spacing w:after="0" w:before="0" w:line="240" w:lineRule="auto"/>
              <w:jc w:val="left"/>
            </w:pPr>
            <w:r>
              <w:rPr>
                <w:rFonts w:ascii="Arial" w:hAnsi="Arial" w:cs="Arial"/>
                <w:b w:val="0"/>
                <w:i w:val="0"/>
                <w:sz w:val="19"/>
              </w:rPr>
              <w:t>50 % de técnicos con RUC al año 2</w:t>
            </w:r>
          </w:p>
        </w:tc>
      </w:tr>
    </w:tbl>
    <w:p>
      <w:pPr>
        <w:spacing w:after="80" w:before="0" w:line="240" w:lineRule="auto"/>
        <w:jc w:val="both"/>
      </w:pPr>
    </w:p>
    <w:p>
      <w:pPr>
        <w:spacing w:after="160" w:before="0" w:line="240" w:lineRule="auto"/>
        <w:jc w:val="center"/>
      </w:pPr>
      <w:r>
        <w:rPr>
          <w:rFonts w:ascii="Arial" w:hAnsi="Arial" w:cs="Arial"/>
          <w:b w:val="0"/>
          <w:i/>
          <w:sz w:val="18"/>
        </w:rPr>
        <w:t>Tabla. Objetivos estratégicos (metas referenciales coherentes con la proyección del capítulo 1).</w:t>
      </w:r>
    </w:p>
    <w:p>
      <w:pPr>
        <w:pStyle w:val="Ttulo2"/>
      </w:pPr>
      <w:r>
        <w:rPr>
          <w:rFonts w:ascii="Arial" w:hAnsi="Arial"/>
        </w:rPr>
        <w:t>4.5 Valores</w:t>
      </w:r>
    </w:p>
    <w:p>
      <w:pPr>
        <w:numPr>
          <w:ilvl w:val="0"/>
          <w:numId w:val="3"/>
        </w:numPr>
        <w:spacing w:after="60" w:before="0" w:line="240" w:lineRule="auto"/>
        <w:ind w:left="714" w:hanging="357"/>
        <w:jc w:val="both"/>
      </w:pPr>
      <w:r>
        <w:rPr>
          <w:rFonts w:ascii="Arial" w:hAnsi="Arial" w:cs="Arial"/>
          <w:b/>
          <w:i w:val="0"/>
          <w:sz w:val="22"/>
        </w:rPr>
        <w:t>Confianza:</w:t>
      </w:r>
      <w:r>
        <w:rPr>
          <w:rFonts w:ascii="Arial" w:hAnsi="Arial" w:cs="Arial"/>
          <w:b w:val="0"/>
          <w:i w:val="0"/>
          <w:sz w:val="22"/>
        </w:rPr>
        <w:t xml:space="preserve"> cumplimos lo que ofrecemos a vecinos y técnicos.</w:t>
      </w:r>
    </w:p>
    <w:p>
      <w:pPr>
        <w:numPr>
          <w:ilvl w:val="0"/>
          <w:numId w:val="3"/>
        </w:numPr>
        <w:spacing w:after="60" w:before="0" w:line="240" w:lineRule="auto"/>
        <w:ind w:left="714" w:hanging="357"/>
        <w:jc w:val="both"/>
      </w:pPr>
      <w:r>
        <w:rPr>
          <w:rFonts w:ascii="Arial" w:hAnsi="Arial" w:cs="Arial"/>
          <w:b/>
          <w:i w:val="0"/>
          <w:sz w:val="22"/>
        </w:rPr>
        <w:t>Transparencia:</w:t>
      </w:r>
      <w:r>
        <w:rPr>
          <w:rFonts w:ascii="Arial" w:hAnsi="Arial" w:cs="Arial"/>
          <w:b w:val="0"/>
          <w:i w:val="0"/>
          <w:sz w:val="22"/>
        </w:rPr>
        <w:t xml:space="preserve"> precios, condiciones y calificaciones claras para todos.</w:t>
      </w:r>
    </w:p>
    <w:p>
      <w:pPr>
        <w:numPr>
          <w:ilvl w:val="0"/>
          <w:numId w:val="3"/>
        </w:numPr>
        <w:spacing w:after="60" w:before="0" w:line="240" w:lineRule="auto"/>
        <w:ind w:left="714" w:hanging="357"/>
        <w:jc w:val="both"/>
      </w:pPr>
      <w:r>
        <w:rPr>
          <w:rFonts w:ascii="Arial" w:hAnsi="Arial" w:cs="Arial"/>
          <w:b/>
          <w:i w:val="0"/>
          <w:sz w:val="22"/>
        </w:rPr>
        <w:t>Responsabilidad:</w:t>
      </w:r>
      <w:r>
        <w:rPr>
          <w:rFonts w:ascii="Arial" w:hAnsi="Arial" w:cs="Arial"/>
          <w:b w:val="0"/>
          <w:i w:val="0"/>
          <w:sz w:val="22"/>
        </w:rPr>
        <w:t xml:space="preserve"> respondemos por la calidad de cada servicio mediante la garantía.</w:t>
      </w:r>
    </w:p>
    <w:p>
      <w:pPr>
        <w:numPr>
          <w:ilvl w:val="0"/>
          <w:numId w:val="3"/>
        </w:numPr>
        <w:spacing w:after="60" w:before="0" w:line="240" w:lineRule="auto"/>
        <w:ind w:left="714" w:hanging="357"/>
        <w:jc w:val="both"/>
      </w:pPr>
      <w:r>
        <w:rPr>
          <w:rFonts w:ascii="Arial" w:hAnsi="Arial" w:cs="Arial"/>
          <w:b/>
          <w:i w:val="0"/>
          <w:sz w:val="22"/>
        </w:rPr>
        <w:t>Respeto:</w:t>
      </w:r>
      <w:r>
        <w:rPr>
          <w:rFonts w:ascii="Arial" w:hAnsi="Arial" w:cs="Arial"/>
          <w:b w:val="0"/>
          <w:i w:val="0"/>
          <w:sz w:val="22"/>
        </w:rPr>
        <w:t xml:space="preserve"> trato justo y digno a los técnicos y a los clientes.</w:t>
      </w:r>
    </w:p>
    <w:p>
      <w:pPr>
        <w:numPr>
          <w:ilvl w:val="0"/>
          <w:numId w:val="3"/>
        </w:numPr>
        <w:spacing w:after="60" w:before="0" w:line="240" w:lineRule="auto"/>
        <w:ind w:left="714" w:hanging="357"/>
        <w:jc w:val="both"/>
      </w:pPr>
      <w:r>
        <w:rPr>
          <w:rFonts w:ascii="Arial" w:hAnsi="Arial" w:cs="Arial"/>
          <w:b/>
          <w:i w:val="0"/>
          <w:sz w:val="22"/>
        </w:rPr>
        <w:t>Compromiso ambiental:</w:t>
      </w:r>
      <w:r>
        <w:rPr>
          <w:rFonts w:ascii="Arial" w:hAnsi="Arial" w:cs="Arial"/>
          <w:b w:val="0"/>
          <w:i w:val="0"/>
          <w:sz w:val="22"/>
        </w:rPr>
        <w:t xml:space="preserve"> promovemos el uso responsable del agua y la eficiencia en los traslados.</w:t>
      </w:r>
    </w:p>
    <w:p>
      <w:pPr>
        <w:numPr>
          <w:ilvl w:val="0"/>
          <w:numId w:val="3"/>
        </w:numPr>
        <w:spacing w:after="60" w:before="0" w:line="240" w:lineRule="auto"/>
        <w:ind w:left="714" w:hanging="357"/>
        <w:jc w:val="both"/>
      </w:pPr>
      <w:r>
        <w:rPr>
          <w:rFonts w:ascii="Arial" w:hAnsi="Arial" w:cs="Arial"/>
          <w:b/>
          <w:i w:val="0"/>
          <w:sz w:val="22"/>
        </w:rPr>
        <w:t>Innovación:</w:t>
      </w:r>
      <w:r>
        <w:rPr>
          <w:rFonts w:ascii="Arial" w:hAnsi="Arial" w:cs="Arial"/>
          <w:b w:val="0"/>
          <w:i w:val="0"/>
          <w:sz w:val="22"/>
        </w:rPr>
        <w:t xml:space="preserve"> mejoramos continuamente la plataforma a partir de la opinión de los usuarios.</w:t>
      </w:r>
    </w:p>
    <w:p>
      <w:pPr>
        <w:pStyle w:val="Ttulo1"/>
        <w:pageBreakBefore/>
      </w:pPr>
      <w:r>
        <w:rPr>
          <w:rFonts w:ascii="Arial" w:hAnsi="Arial"/>
        </w:rPr>
        <w:t>REFERENCIAS CONSULTADAS</w:t>
      </w:r>
    </w:p>
    <w:p>
      <w:pPr>
        <w:spacing w:after="120" w:before="0" w:line="240" w:lineRule="auto"/>
        <w:jc w:val="both"/>
      </w:pPr>
      <w:r>
        <w:rPr>
          <w:rFonts w:ascii="Arial" w:hAnsi="Arial" w:cs="Arial"/>
          <w:b w:val="0"/>
          <w:i w:val="0"/>
          <w:sz w:val="22"/>
        </w:rPr>
        <w:t>Fuentes citadas en esta entrega (servirán de base para la sección de Bibliografía del informe final):</w:t>
      </w:r>
    </w:p>
    <w:p>
      <w:pPr>
        <w:spacing w:after="80" w:before="0" w:line="240" w:lineRule="auto"/>
        <w:jc w:val="left"/>
      </w:pPr>
      <w:r>
        <w:rPr>
          <w:rFonts w:ascii="Arial" w:hAnsi="Arial" w:cs="Arial"/>
          <w:b w:val="0"/>
          <w:i w:val="0"/>
          <w:sz w:val="19"/>
        </w:rPr>
        <w:t>Revista Economía (2026). "Mercado de vivienda en Lima alcanza récord histórico en 2025 y refuerza el rol clave de Mivivienda" (con datos del Informe Económico de la Construcción N.° 98 de CAPECO). https://www.revistaeconomia.com/mercado-de-vivienda-en-lima-alcanza-record-historico-en-2025-y-refuerza-el-rol-clave-de-mivivienda/ (consultado en octubre de 2026).</w:t>
      </w:r>
    </w:p>
    <w:p>
      <w:pPr>
        <w:spacing w:after="80" w:before="0" w:line="240" w:lineRule="auto"/>
        <w:jc w:val="left"/>
      </w:pPr>
      <w:r>
        <w:rPr>
          <w:rFonts w:ascii="Arial" w:hAnsi="Arial" w:cs="Arial"/>
          <w:b w:val="0"/>
          <w:i w:val="0"/>
          <w:sz w:val="19"/>
        </w:rPr>
        <w:t>Agencia Andina (2026). "Ventas de viviendas nuevas en Lima crecen 25% hasta julio" (con datos de CODIP). https://andina.pe/agencia/noticia-ventas-viviendas-nuevas-lima-crecen-25-hasta-julio-1090597.aspx (consultado en octubre de 2026).</w:t>
      </w:r>
    </w:p>
    <w:p>
      <w:pPr>
        <w:spacing w:after="80" w:before="0" w:line="240" w:lineRule="auto"/>
        <w:jc w:val="left"/>
      </w:pPr>
      <w:r>
        <w:rPr>
          <w:rFonts w:ascii="Arial" w:hAnsi="Arial" w:cs="Arial"/>
          <w:b w:val="0"/>
          <w:i w:val="0"/>
          <w:sz w:val="19"/>
        </w:rPr>
        <w:t>Cámara de Comercio de Lima, CCL Conectados. "Disi App, la aplicación que te conecta con electricistas, gasfiteros y hasta arquitectos". https://lacamara.pe/?p=3275 (consultado en octubre de 2026). Fecha de publicación no indicada en la fuente consultada.</w:t>
      </w:r>
    </w:p>
    <w:p>
      <w:pPr>
        <w:spacing w:after="80" w:before="0" w:line="240" w:lineRule="auto"/>
        <w:jc w:val="left"/>
      </w:pPr>
      <w:r>
        <w:rPr>
          <w:rFonts w:ascii="Arial" w:hAnsi="Arial" w:cs="Arial"/>
          <w:b w:val="0"/>
          <w:i w:val="0"/>
          <w:sz w:val="19"/>
        </w:rPr>
        <w:t>Diario Gestión (2026). "El empleo crece pero no es sostenible", que cita el informe técnico del INEI "Perú: Comportamiento de los indicadores del mercado laboral a nivel nacional y en 27 ciudades". https://gestion.pe/opinion/el-empleo-crece-pero-no-es-sostenible-noticia/ (consultado en octubre de 2026).</w:t>
      </w:r>
    </w:p>
    <w:p>
      <w:pPr>
        <w:spacing w:after="80" w:before="0" w:line="240" w:lineRule="auto"/>
        <w:jc w:val="left"/>
      </w:pPr>
      <w:r>
        <w:rPr>
          <w:rFonts w:ascii="Arial" w:hAnsi="Arial" w:cs="Arial"/>
          <w:b w:val="0"/>
          <w:i w:val="0"/>
          <w:sz w:val="19"/>
        </w:rPr>
        <w:t>Infomercado (2026). "Informalidad laboral en Perú llega al 70% según el INEI" (periodo abril 2025 – marzo 2026, EPEN). https://infomercado.pe/informalidad-laboral-en-peru-llega-al-70-segun-el-inei/ (consultado en octubre de 2026).</w:t>
      </w:r>
    </w:p>
    <w:p>
      <w:pPr>
        <w:spacing w:after="80" w:before="0" w:line="240" w:lineRule="auto"/>
        <w:jc w:val="left"/>
      </w:pPr>
      <w:r>
        <w:rPr>
          <w:rFonts w:ascii="Arial" w:hAnsi="Arial" w:cs="Arial"/>
          <w:b w:val="0"/>
          <w:i w:val="0"/>
          <w:sz w:val="19"/>
        </w:rPr>
        <w:t>Sodimac Perú. "Especialista en Electricidad y Gasfitería – especialista por 4 horas". https://sodimac.com.pe/sodimac-pe/content/especialista-por-4-horas (consultado en octubre de 2026). El precio puede variar; verificar en la página.</w:t>
      </w:r>
    </w:p>
    <w:p>
      <w:pPr>
        <w:spacing w:after="80" w:before="0" w:line="240" w:lineRule="auto"/>
        <w:jc w:val="left"/>
      </w:pPr>
      <w:r>
        <w:rPr>
          <w:rFonts w:ascii="Arial" w:hAnsi="Arial" w:cs="Arial"/>
          <w:b w:val="0"/>
          <w:i w:val="0"/>
          <w:sz w:val="19"/>
        </w:rPr>
        <w:t>Precios de gasfitería en Lima (2026): gasfitero.org, "¿Cuánto cuesta un gasfitero en Lima? Precios 2026", https://gasfitero.org/; Rescate24 Perú, "¿Cuánto cobra un gasfitero en Lima?", https://rescate24peru.com/blog/cuanto-cobra-gasfitero-lima/; Obra Maestra, "Cómo hacer un presupuesto de gasfitería en Perú (2026)", https://obramaestra.com/pe/guias/presupuesto-gasfiteria-peru (consultados en octubre de 2026). Precios "desde" publicados por los propios proveedores; verificar en cada página.</w:t>
      </w:r>
    </w:p>
    <w:p>
      <w:pPr>
        <w:spacing w:after="80" w:before="0" w:line="240" w:lineRule="auto"/>
        <w:jc w:val="left"/>
      </w:pPr>
      <w:r>
        <w:rPr>
          <w:rFonts w:ascii="Arial" w:hAnsi="Arial" w:cs="Arial"/>
          <w:b w:val="0"/>
          <w:i w:val="0"/>
          <w:sz w:val="19"/>
        </w:rPr>
        <w:t>Precios de electricista en Lima (2026): Homesolution Perú, "Precios de referencia – Electricista", https://homesolution.net/pe/about/preciosreferencia/electricista; Corporación Groupmen, "¿Cuánto cuesta un electricista en Lima? Guía de precios 2026", https://corporaciongroupmen.com/precio-electricista-lima-2026/ (consultados en octubre de 2026).</w:t>
      </w:r>
    </w:p>
    <w:p>
      <w:pPr>
        <w:spacing w:after="80" w:before="0" w:line="240" w:lineRule="auto"/>
        <w:jc w:val="left"/>
      </w:pPr>
      <w:r>
        <w:rPr>
          <w:rFonts w:ascii="Arial" w:hAnsi="Arial" w:cs="Arial"/>
          <w:b w:val="0"/>
          <w:i w:val="0"/>
          <w:sz w:val="19"/>
        </w:rPr>
        <w:t>Precios de limpieza por horas en Lima: TopLim, https://toplim.pe/servicios/residencial/limpieza-por-horas/; Limpieza de Casas en Lima, https://www.limpiezadecasasenlima.com/servicio-de-limpieza-a-domicilio-por-horas-en-lima/; Reludcir, https://reludcir.com/guia-completa-2025-cuanto-cuesta-y-como-contratar-un-servicio-de-limpieza-en-lima/ (consultados en octubre de 2026).</w:t>
      </w:r>
    </w:p>
    <w:p>
      <w:pPr>
        <w:spacing w:after="80" w:before="0" w:line="240" w:lineRule="auto"/>
        <w:jc w:val="left"/>
      </w:pPr>
      <w:r>
        <w:rPr>
          <w:rFonts w:ascii="Arial" w:hAnsi="Arial" w:cs="Arial"/>
          <w:b w:val="0"/>
          <w:i w:val="0"/>
          <w:sz w:val="19"/>
        </w:rPr>
        <w:t>Precios de fumigación en Lima (2026): "¿Cuánto cuesta el control de plagas en Lima? Precios reales 2026", https://controldeplagasprecio.org.pe/; Servicios Canto Nuevo, https://servicioscantonuevo.pe/ (consultados en octubre de 2026).</w:t>
      </w:r>
    </w:p>
    <w:p>
      <w:pPr>
        <w:spacing w:after="80" w:before="0" w:line="240" w:lineRule="auto"/>
        <w:jc w:val="left"/>
      </w:pPr>
      <w:r>
        <w:rPr>
          <w:rFonts w:ascii="Arial" w:hAnsi="Arial" w:cs="Arial"/>
          <w:b w:val="0"/>
          <w:i w:val="0"/>
          <w:sz w:val="19"/>
        </w:rPr>
        <w:t>Congreso de la República del Perú. Ley N.° 27157, Ley de Regularización de Edificaciones, del Procedimiento para la Declaratoria de Fábrica y del Régimen de Unidades Inmobiliarias de Propiedad Exclusiva y de Propiedad Común. Consultar el texto vigente en el portal de normas del Estado (gob.pe / El Peruano).</w:t>
      </w:r>
    </w:p>
    <w:p>
      <w:pPr>
        <w:spacing w:after="80" w:before="0" w:line="240" w:lineRule="auto"/>
        <w:jc w:val="left"/>
      </w:pPr>
      <w:r>
        <w:rPr>
          <w:rFonts w:ascii="Arial" w:hAnsi="Arial" w:cs="Arial"/>
          <w:b w:val="0"/>
          <w:i w:val="0"/>
          <w:sz w:val="19"/>
        </w:rPr>
        <w:t>Congreso de la República del Perú. Ley N.° 29571, Código de Protección y Defensa del Consumidor. Consultar el texto vigente en gob.pe.</w:t>
      </w:r>
    </w:p>
    <w:p>
      <w:pPr>
        <w:spacing w:after="80" w:before="0" w:line="240" w:lineRule="auto"/>
        <w:jc w:val="left"/>
      </w:pPr>
      <w:r>
        <w:rPr>
          <w:rFonts w:ascii="Arial" w:hAnsi="Arial" w:cs="Arial"/>
          <w:b w:val="0"/>
          <w:i w:val="0"/>
          <w:sz w:val="19"/>
        </w:rPr>
        <w:t>Congreso de la República del Perú. Ley N.° 29733, Ley de Protección de Datos Personales, y su reglamento. Consultar el texto vigente en gob.pe.</w:t>
      </w:r>
    </w:p>
    <w:p>
      <w:pPr>
        <w:spacing w:after="80" w:before="0" w:line="240" w:lineRule="auto"/>
        <w:jc w:val="left"/>
      </w:pPr>
      <w:r>
        <w:rPr>
          <w:rFonts w:ascii="Arial" w:hAnsi="Arial" w:cs="Arial"/>
          <w:b w:val="0"/>
          <w:i w:val="0"/>
          <w:sz w:val="19"/>
        </w:rPr>
        <w:t>Mercado Negro (11 de agosto de 2026). "Perú mantiene una de las tasas de informalidad laboral más altas de América Latina, según la OIT". https://www.mercadonegro.pe/actualidad/peru-informalidad-laboral-oit/ (consultado en octubre de 2026).</w:t>
      </w:r>
    </w:p>
    <w:p>
      <w:pPr>
        <w:spacing w:after="80" w:before="0" w:line="240" w:lineRule="auto"/>
        <w:jc w:val="left"/>
      </w:pPr>
      <w:r>
        <w:rPr>
          <w:rFonts w:ascii="Arial" w:hAnsi="Arial" w:cs="Arial"/>
          <w:b w:val="0"/>
          <w:i w:val="0"/>
          <w:sz w:val="19"/>
        </w:rPr>
        <w:t>Diario Oficial El Peruano (2026). "Lima Metropolitana: El 98,4% de hogares contó con telefonía móvil durante cuarto trimestre de 2025" (datos de la ENAHO – INEI). https://elperuano.pe/noticia/292141-lima-metropolitana-el-984-de-hogares-conto-con-telefonia-movil-durante-cuarto-trimestre-de-2025 . Informe original: INEI, Estadísticas de las Tecnologías de Información y Comunicación en los Hogares, IV Trimestre 2025. https://www.inei.gob.pe/media/MenuRecursivo/boletines/boletin-tic-oct_dic2025.pdf (consultados en octubre de 2026).</w:t>
      </w:r>
    </w:p>
    <w:p>
      <w:pPr>
        <w:spacing w:after="80" w:before="0" w:line="240" w:lineRule="auto"/>
        <w:jc w:val="left"/>
      </w:pPr>
      <w:r>
        <w:rPr>
          <w:rFonts w:ascii="Arial" w:hAnsi="Arial" w:cs="Arial"/>
          <w:b w:val="0"/>
          <w:i w:val="0"/>
          <w:sz w:val="19"/>
        </w:rPr>
        <w:t>Panamericana (2026). "INEI: hombres usan ligeramente más Internet que las mujeres" (datos ENAHO, III trimestre 2025). https://panamericana.pe/tecnologia/464480-inei-hombres-ligeramente-internet-mujeres (consultado en octubre de 2026).</w:t>
      </w:r>
    </w:p>
    <w:p>
      <w:pPr>
        <w:spacing w:after="80" w:before="0" w:line="240" w:lineRule="auto"/>
        <w:jc w:val="left"/>
      </w:pPr>
      <w:r>
        <w:rPr>
          <w:rFonts w:ascii="Arial" w:hAnsi="Arial" w:cs="Arial"/>
          <w:b w:val="0"/>
          <w:i w:val="0"/>
          <w:sz w:val="19"/>
        </w:rPr>
        <w:t>Diario Oficial El Peruano (2026). "¡Cuidado! fugas de agua en el hogar pueden elevar el consumo hasta en S/5,000 mensuales" (información de la Sunass y Sedapal). https://elperuano.pe/noticia/291717-cuidado-fugas-de-agua-en-el-hogar-pueden-elevar-el-consumo-hasta-en-s5000-mensuales (consultado en octubre de 2026).</w:t>
      </w:r>
    </w:p>
    <w:p>
      <w:pPr>
        <w:spacing w:after="80" w:before="0" w:line="240" w:lineRule="auto"/>
        <w:jc w:val="left"/>
      </w:pPr>
      <w:r>
        <w:rPr>
          <w:rFonts w:ascii="Arial" w:hAnsi="Arial" w:cs="Arial"/>
          <w:b w:val="0"/>
          <w:i w:val="0"/>
          <w:sz w:val="19"/>
        </w:rPr>
        <w:t>Repositorios académicos consultados: PUCP, "¡Al Toke!, una propuesta que brinda más confianza y seguridad a los hogares de Lima" (https://tesis.pucp.edu.pe/repositorio/handle/20.500.12404/21814); PUCP, "Modelo prolab: App Mil Oficios" (https://tesis.pucp.edu.pe/repositorio/handle/20.500.12404/23658); Universidad de Lima, "Magos Home" (https://repositorio.ulima.edu.pe/handle/20.500.12724/23579). Consultados en octubre de 2026.</w:t>
      </w:r>
    </w:p>
    <w:p>
      <w:pPr>
        <w:spacing w:after="80" w:before="0" w:line="240" w:lineRule="auto"/>
        <w:jc w:val="left"/>
      </w:pPr>
      <w:r>
        <w:rPr>
          <w:rFonts w:ascii="Arial" w:hAnsi="Arial" w:cs="Arial"/>
          <w:b w:val="0"/>
          <w:i w:val="0"/>
          <w:sz w:val="19"/>
        </w:rPr>
        <w:t>La Ley (2026). "¿Cuánto cuesta registrar una marca en Indecopi?". https://laley.pe/cuanto-cuesta-registrar-una-marca-en-indecopi/ ; y Trámites Perú (2026). "Cómo registrar una marca en INDECOPI". https://tramitesperu.com/indecopi/registro-marca/ (consultados en octubre de 2026). Algunas fuentes indican S/ 534.99; confirmar la tasa vigente en el TUPA del INDECOPI (gob.pe/indecopi).</w:t>
      </w:r>
    </w:p>
    <w:p>
      <w:pPr>
        <w:spacing w:after="80" w:before="0" w:line="240" w:lineRule="auto"/>
        <w:jc w:val="left"/>
      </w:pPr>
      <w:r>
        <w:rPr>
          <w:rFonts w:ascii="Arial" w:hAnsi="Arial" w:cs="Arial"/>
          <w:b w:val="0"/>
          <w:i w:val="0"/>
          <w:sz w:val="19"/>
        </w:rPr>
        <w:t>Comunidad Andina. Decisión 486, Régimen Común sobre Propiedad Industrial, artículo 15 (exclusiones de lo que se considera invención, entre ellas los programas de ordenador como tales). Verificar el texto en el portal de la Comunidad Andina o del INDECOPI.</w:t>
      </w:r>
    </w:p>
    <w:sectPr w:rsidR="00D36516" w:rsidRPr="006337DD" w:rsidSect="00DB2332">
      <w:footerReference w:type="default" r:id="rId9"/>
      <w:pgSz w:w="11906" w:h="16838"/>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68651" w14:textId="77777777" w:rsidR="00D027CD" w:rsidRDefault="00D027CD" w:rsidP="001142FF">
      <w:pPr>
        <w:spacing w:after="0" w:line="240" w:lineRule="auto"/>
      </w:pPr>
      <w:r>
        <w:separator/>
      </w:r>
    </w:p>
  </w:endnote>
  <w:endnote w:type="continuationSeparator" w:id="0">
    <w:p w14:paraId="0BB6427C" w14:textId="77777777" w:rsidR="00D027CD" w:rsidRDefault="00D027CD" w:rsidP="00114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9771582"/>
      <w:docPartObj>
        <w:docPartGallery w:val="Page Numbers (Bottom of Page)"/>
        <w:docPartUnique/>
      </w:docPartObj>
    </w:sdtPr>
    <w:sdtContent>
      <w:p w14:paraId="74FAE9A1" w14:textId="74427241" w:rsidR="001142FF" w:rsidRDefault="001142FF">
        <w:pPr>
          <w:pStyle w:val="Piedepgina"/>
          <w:jc w:val="right"/>
        </w:pPr>
        <w:r>
          <w:fldChar w:fldCharType="begin"/>
        </w:r>
        <w:r>
          <w:instrText>PAGE   \* MERGEFORMAT</w:instrText>
        </w:r>
        <w:r>
          <w:fldChar w:fldCharType="separate"/>
        </w:r>
        <w:r>
          <w:rPr>
            <w:lang w:val="es-MX"/>
          </w:rPr>
          <w:t>2</w:t>
        </w:r>
        <w:r>
          <w:fldChar w:fldCharType="end"/>
        </w:r>
      </w:p>
    </w:sdtContent>
  </w:sdt>
  <w:p w14:paraId="7119A463" w14:textId="77777777" w:rsidR="001142FF" w:rsidRDefault="001142F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BAD7C" w14:textId="77777777" w:rsidR="00D027CD" w:rsidRDefault="00D027CD" w:rsidP="001142FF">
      <w:pPr>
        <w:spacing w:after="0" w:line="240" w:lineRule="auto"/>
      </w:pPr>
      <w:r>
        <w:separator/>
      </w:r>
    </w:p>
  </w:footnote>
  <w:footnote w:type="continuationSeparator" w:id="0">
    <w:p w14:paraId="0D9642C4" w14:textId="77777777" w:rsidR="00D027CD" w:rsidRDefault="00D027CD" w:rsidP="001142FF">
      <w:pPr>
        <w:spacing w:after="0" w:line="240" w:lineRule="auto"/>
      </w:pPr>
      <w:r>
        <w:continuationSeparator/>
      </w:r>
    </w:p>
  </w:footnote>
  <w:footnote w:id="1">
    <w:p>
      <w:pPr>
        <w:spacing w:after="0"/>
      </w:pPr>
      <w:r>
        <w:rPr>
          <w:rFonts w:ascii="Arial" w:hAnsi="Arial" w:cs="Arial"/>
          <w:vertAlign w:val="superscript"/>
          <w:sz w:val="16"/>
        </w:rPr>
        <w:footnoteRef/>
      </w:r>
      <w:r>
        <w:rPr>
          <w:rFonts w:ascii="Arial" w:hAnsi="Arial" w:cs="Arial"/>
          <w:sz w:val="16"/>
        </w:rPr>
        <w:t xml:space="preserve"> Revista Economía (2026). "Mercado de vivienda en Lima alcanza récord histórico en 2025 y refuerza el rol clave de Mivivienda" (con datos del Informe Económico de la Construcción N.° 98 de CAPECO). https://www.revistaeconomia.com/mercado-de-vivienda-en-lima-alcanza-record-historico-en-2025-y-refuerza-el-rol-clave-de-mivivienda/ (consultado en octubre de 2026).</w:t>
      </w:r>
    </w:p>
  </w:footnote>
  <w:footnote w:id="2">
    <w:p>
      <w:pPr>
        <w:spacing w:after="0"/>
      </w:pPr>
      <w:r>
        <w:rPr>
          <w:rFonts w:ascii="Arial" w:hAnsi="Arial" w:cs="Arial"/>
          <w:vertAlign w:val="superscript"/>
          <w:sz w:val="16"/>
        </w:rPr>
        <w:footnoteRef/>
      </w:r>
      <w:r>
        <w:rPr>
          <w:rFonts w:ascii="Arial" w:hAnsi="Arial" w:cs="Arial"/>
          <w:sz w:val="16"/>
        </w:rPr>
        <w:t xml:space="preserve"> Agencia Andina (2026). "Ventas de viviendas nuevas en Lima crecen 25% hasta julio" (con datos de CODIP). https://andina.pe/agencia/noticia-ventas-viviendas-nuevas-lima-crecen-25-hasta-julio-1090597.aspx (consultado en octubre de 2026).</w:t>
      </w:r>
    </w:p>
  </w:footnote>
  <w:footnote w:id="3">
    <w:p>
      <w:pPr>
        <w:spacing w:after="0"/>
      </w:pPr>
      <w:r>
        <w:rPr>
          <w:rFonts w:ascii="Arial" w:hAnsi="Arial" w:cs="Arial"/>
          <w:vertAlign w:val="superscript"/>
          <w:sz w:val="16"/>
        </w:rPr>
        <w:footnoteRef/>
      </w:r>
      <w:r>
        <w:rPr>
          <w:rFonts w:ascii="Arial" w:hAnsi="Arial" w:cs="Arial"/>
          <w:sz w:val="16"/>
        </w:rPr>
        <w:t xml:space="preserve"> Revista Economía (2026). "Mercado de vivienda en Lima alcanza récord histórico en 2025 y refuerza el rol clave de Mivivienda" (con datos del Informe Económico de la Construcción N.° 98 de CAPECO). https://www.revistaeconomia.com/mercado-de-vivienda-en-lima-alcanza-record-historico-en-2025-y-refuerza-el-rol-clave-de-mivivienda/ (consultado en octubre de 2026).</w:t>
      </w:r>
    </w:p>
  </w:footnote>
  <w:footnote w:id="4">
    <w:p>
      <w:pPr>
        <w:spacing w:after="0"/>
      </w:pPr>
      <w:r>
        <w:rPr>
          <w:rFonts w:ascii="Arial" w:hAnsi="Arial" w:cs="Arial"/>
          <w:vertAlign w:val="superscript"/>
          <w:sz w:val="16"/>
        </w:rPr>
        <w:footnoteRef/>
      </w:r>
      <w:r>
        <w:rPr>
          <w:rFonts w:ascii="Arial" w:hAnsi="Arial" w:cs="Arial"/>
          <w:sz w:val="16"/>
        </w:rPr>
        <w:t xml:space="preserve"> Agencia Andina (2026). "Ventas de viviendas nuevas en Lima crecen 25% hasta julio" (con datos de CODIP). https://andina.pe/agencia/noticia-ventas-viviendas-nuevas-lima-crecen-25-hasta-julio-1090597.aspx (consultado en octubre de 2026).</w:t>
      </w:r>
    </w:p>
  </w:footnote>
  <w:footnote w:id="5">
    <w:p>
      <w:pPr>
        <w:spacing w:after="0"/>
      </w:pPr>
      <w:r>
        <w:rPr>
          <w:rFonts w:ascii="Arial" w:hAnsi="Arial" w:cs="Arial"/>
          <w:vertAlign w:val="superscript"/>
          <w:sz w:val="16"/>
        </w:rPr>
        <w:footnoteRef/>
      </w:r>
      <w:r>
        <w:rPr>
          <w:rFonts w:ascii="Arial" w:hAnsi="Arial" w:cs="Arial"/>
          <w:sz w:val="16"/>
        </w:rPr>
        <w:t xml:space="preserve"> Cámara de Comercio de Lima, CCL Conectados. "Disi App, la aplicación que te conecta con electricistas, gasfiteros y hasta arquitectos". https://lacamara.pe/?p=3275 (consultado en octubre de 2026). Fecha de publicación no indicada en la fuente consultada.</w:t>
      </w:r>
    </w:p>
  </w:footnote>
  <w:footnote w:id="6">
    <w:p>
      <w:pPr>
        <w:spacing w:after="0"/>
      </w:pPr>
      <w:r>
        <w:rPr>
          <w:rFonts w:ascii="Arial" w:hAnsi="Arial" w:cs="Arial"/>
          <w:vertAlign w:val="superscript"/>
          <w:sz w:val="16"/>
        </w:rPr>
        <w:footnoteRef/>
      </w:r>
      <w:r>
        <w:rPr>
          <w:rFonts w:ascii="Arial" w:hAnsi="Arial" w:cs="Arial"/>
          <w:sz w:val="16"/>
        </w:rPr>
        <w:t xml:space="preserve"> Diario Gestión (2026). "El empleo crece pero no es sostenible", que cita el informe técnico del INEI "Perú: Comportamiento de los indicadores del mercado laboral a nivel nacional y en 27 ciudades". https://gestion.pe/opinion/el-empleo-crece-pero-no-es-sostenible-noticia/ (consultado en octubre de 2026).</w:t>
      </w:r>
    </w:p>
  </w:footnote>
  <w:footnote w:id="7">
    <w:p>
      <w:pPr>
        <w:spacing w:after="0"/>
      </w:pPr>
      <w:r>
        <w:rPr>
          <w:rFonts w:ascii="Arial" w:hAnsi="Arial" w:cs="Arial"/>
          <w:vertAlign w:val="superscript"/>
          <w:sz w:val="16"/>
        </w:rPr>
        <w:footnoteRef/>
      </w:r>
      <w:r>
        <w:rPr>
          <w:rFonts w:ascii="Arial" w:hAnsi="Arial" w:cs="Arial"/>
          <w:sz w:val="16"/>
        </w:rPr>
        <w:t xml:space="preserve"> Infomercado (2026). "Informalidad laboral en Perú llega al 70% según el INEI" (periodo abril 2025 – marzo 2026, EPEN). https://infomercado.pe/informalidad-laboral-en-peru-llega-al-70-segun-el-inei/ (consultado en octubre de 2026).</w:t>
      </w:r>
    </w:p>
  </w:footnote>
  <w:footnote w:id="8">
    <w:p>
      <w:pPr>
        <w:spacing w:after="0"/>
      </w:pPr>
      <w:r>
        <w:rPr>
          <w:rFonts w:ascii="Arial" w:hAnsi="Arial" w:cs="Arial"/>
          <w:vertAlign w:val="superscript"/>
          <w:sz w:val="16"/>
        </w:rPr>
        <w:footnoteRef/>
      </w:r>
      <w:r>
        <w:rPr>
          <w:rFonts w:ascii="Arial" w:hAnsi="Arial" w:cs="Arial"/>
          <w:sz w:val="16"/>
        </w:rPr>
        <w:t xml:space="preserve"> Sodimac Perú. "Especialista en Electricidad y Gasfitería – especialista por 4 horas". https://sodimac.com.pe/sodimac-pe/content/especialista-por-4-horas (consultado en octubre de 2026). El precio puede variar; verificar en la página.</w:t>
      </w:r>
    </w:p>
  </w:footnote>
  <w:footnote w:id="9">
    <w:p>
      <w:pPr>
        <w:spacing w:after="0"/>
      </w:pPr>
      <w:r>
        <w:rPr>
          <w:rFonts w:ascii="Arial" w:hAnsi="Arial" w:cs="Arial"/>
          <w:vertAlign w:val="superscript"/>
          <w:sz w:val="16"/>
        </w:rPr>
        <w:footnoteRef/>
      </w:r>
      <w:r>
        <w:rPr>
          <w:rFonts w:ascii="Arial" w:hAnsi="Arial" w:cs="Arial"/>
          <w:sz w:val="16"/>
        </w:rPr>
        <w:t xml:space="preserve"> Congreso de la República del Perú. Ley N.° 27157, Ley de Regularización de Edificaciones, del Procedimiento para la Declaratoria de Fábrica y del Régimen de Unidades Inmobiliarias de Propiedad Exclusiva y de Propiedad Común. Consultar el texto vigente en el portal de normas del Estado (gob.pe / El Peruano).</w:t>
      </w:r>
    </w:p>
  </w:footnote>
  <w:footnote w:id="10">
    <w:p>
      <w:pPr>
        <w:spacing w:after="0"/>
      </w:pPr>
      <w:r>
        <w:rPr>
          <w:rFonts w:ascii="Arial" w:hAnsi="Arial" w:cs="Arial"/>
          <w:vertAlign w:val="superscript"/>
          <w:sz w:val="16"/>
        </w:rPr>
        <w:footnoteRef/>
      </w:r>
      <w:r>
        <w:rPr>
          <w:rFonts w:ascii="Arial" w:hAnsi="Arial" w:cs="Arial"/>
          <w:sz w:val="16"/>
        </w:rPr>
        <w:t xml:space="preserve"> Congreso de la República del Perú. Ley N.° 29571, Código de Protección y Defensa del Consumidor. Consultar el texto vigente en gob.pe.</w:t>
      </w:r>
    </w:p>
  </w:footnote>
  <w:footnote w:id="11">
    <w:p>
      <w:pPr>
        <w:spacing w:after="0"/>
      </w:pPr>
      <w:r>
        <w:rPr>
          <w:rFonts w:ascii="Arial" w:hAnsi="Arial" w:cs="Arial"/>
          <w:vertAlign w:val="superscript"/>
          <w:sz w:val="16"/>
        </w:rPr>
        <w:footnoteRef/>
      </w:r>
      <w:r>
        <w:rPr>
          <w:rFonts w:ascii="Arial" w:hAnsi="Arial" w:cs="Arial"/>
          <w:sz w:val="16"/>
        </w:rPr>
        <w:t xml:space="preserve"> Congreso de la República del Perú. Ley N.° 29733, Ley de Protección de Datos Personales, y su reglamento. Consultar el texto vigente en gob.pe.</w:t>
      </w:r>
    </w:p>
  </w:footnote>
  <w:footnote w:id="12">
    <w:p>
      <w:pPr>
        <w:spacing w:after="0"/>
      </w:pPr>
      <w:r>
        <w:rPr>
          <w:rFonts w:ascii="Arial" w:hAnsi="Arial" w:cs="Arial"/>
          <w:vertAlign w:val="superscript"/>
          <w:sz w:val="16"/>
        </w:rPr>
        <w:footnoteRef/>
      </w:r>
      <w:r>
        <w:rPr>
          <w:rFonts w:ascii="Arial" w:hAnsi="Arial" w:cs="Arial"/>
          <w:sz w:val="16"/>
        </w:rPr>
        <w:t xml:space="preserve"> Mercado Negro (11 de agosto de 2026). "Perú mantiene una de las tasas de informalidad laboral más altas de América Latina, según la OIT". https://www.mercadonegro.pe/actualidad/peru-informalidad-laboral-oit/ (consultado en octubre de 2026).</w:t>
      </w:r>
    </w:p>
  </w:footnote>
  <w:footnote w:id="13">
    <w:p>
      <w:pPr>
        <w:spacing w:after="0"/>
      </w:pPr>
      <w:r>
        <w:rPr>
          <w:rFonts w:ascii="Arial" w:hAnsi="Arial" w:cs="Arial"/>
          <w:vertAlign w:val="superscript"/>
          <w:sz w:val="16"/>
        </w:rPr>
        <w:footnoteRef/>
      </w:r>
      <w:r>
        <w:rPr>
          <w:rFonts w:ascii="Arial" w:hAnsi="Arial" w:cs="Arial"/>
          <w:sz w:val="16"/>
        </w:rPr>
        <w:t xml:space="preserve"> Diario Oficial El Peruano (2026). "Lima Metropolitana: El 98,4% de hogares contó con telefonía móvil durante cuarto trimestre de 2025" (datos de la ENAHO – INEI). https://elperuano.pe/noticia/292141-lima-metropolitana-el-984-de-hogares-conto-con-telefonia-movil-durante-cuarto-trimestre-de-2025 . Informe original: INEI, Estadísticas de las Tecnologías de Información y Comunicación en los Hogares, IV Trimestre 2025. https://www.inei.gob.pe/media/MenuRecursivo/boletines/boletin-tic-oct_dic2025.pdf (consultados en octubre de 2026).</w:t>
      </w:r>
    </w:p>
  </w:footnote>
  <w:footnote w:id="14">
    <w:p>
      <w:pPr>
        <w:spacing w:after="0"/>
      </w:pPr>
      <w:r>
        <w:rPr>
          <w:rFonts w:ascii="Arial" w:hAnsi="Arial" w:cs="Arial"/>
          <w:vertAlign w:val="superscript"/>
          <w:sz w:val="16"/>
        </w:rPr>
        <w:footnoteRef/>
      </w:r>
      <w:r>
        <w:rPr>
          <w:rFonts w:ascii="Arial" w:hAnsi="Arial" w:cs="Arial"/>
          <w:sz w:val="16"/>
        </w:rPr>
        <w:t xml:space="preserve"> Panamericana (2026). "INEI: hombres usan ligeramente más Internet que las mujeres" (datos ENAHO, III trimestre 2025). https://panamericana.pe/tecnologia/464480-inei-hombres-ligeramente-internet-mujeres (consultado en octubre de 2026).</w:t>
      </w:r>
    </w:p>
  </w:footnote>
  <w:footnote w:id="15">
    <w:p>
      <w:pPr>
        <w:spacing w:after="0"/>
      </w:pPr>
      <w:r>
        <w:rPr>
          <w:rFonts w:ascii="Arial" w:hAnsi="Arial" w:cs="Arial"/>
          <w:vertAlign w:val="superscript"/>
          <w:sz w:val="16"/>
        </w:rPr>
        <w:footnoteRef/>
      </w:r>
      <w:r>
        <w:rPr>
          <w:rFonts w:ascii="Arial" w:hAnsi="Arial" w:cs="Arial"/>
          <w:sz w:val="16"/>
        </w:rPr>
        <w:t xml:space="preserve"> Diario Oficial El Peruano (2026). "¡Cuidado! fugas de agua en el hogar pueden elevar el consumo hasta en S/5,000 mensuales" (información de la Sunass y Sedapal). https://elperuano.pe/noticia/291717-cuidado-fugas-de-agua-en-el-hogar-pueden-elevar-el-consumo-hasta-en-s5000-mensuales (consultado en octubre de 2026).</w:t>
      </w:r>
    </w:p>
  </w:footnote>
  <w:footnote w:id="16">
    <w:p>
      <w:pPr>
        <w:spacing w:after="0"/>
      </w:pPr>
      <w:r>
        <w:rPr>
          <w:rFonts w:ascii="Arial" w:hAnsi="Arial" w:cs="Arial"/>
          <w:vertAlign w:val="superscript"/>
          <w:sz w:val="16"/>
        </w:rPr>
        <w:footnoteRef/>
      </w:r>
      <w:r>
        <w:rPr>
          <w:rFonts w:ascii="Arial" w:hAnsi="Arial" w:cs="Arial"/>
          <w:sz w:val="16"/>
        </w:rPr>
        <w:t xml:space="preserve"> Sodimac Perú. "Especialista en Electricidad y Gasfitería – especialista por 4 horas". https://sodimac.com.pe/sodimac-pe/content/especialista-por-4-horas (consultado en octubre de 2026). El precio puede variar; verificar en la página.</w:t>
      </w:r>
    </w:p>
  </w:footnote>
  <w:footnote w:id="17">
    <w:p>
      <w:pPr>
        <w:spacing w:after="0"/>
      </w:pPr>
      <w:r>
        <w:rPr>
          <w:rFonts w:ascii="Arial" w:hAnsi="Arial" w:cs="Arial"/>
          <w:vertAlign w:val="superscript"/>
          <w:sz w:val="16"/>
        </w:rPr>
        <w:footnoteRef/>
      </w:r>
      <w:r>
        <w:rPr>
          <w:rFonts w:ascii="Arial" w:hAnsi="Arial" w:cs="Arial"/>
          <w:sz w:val="16"/>
        </w:rPr>
        <w:t xml:space="preserve"> Cámara de Comercio de Lima, CCL Conectados. "Disi App, la aplicación que te conecta con electricistas, gasfiteros y hasta arquitectos". https://lacamara.pe/?p=3275 (consultado en octubre de 2026). Fecha de publicación no indicada en la fuente consultada.</w:t>
      </w:r>
    </w:p>
  </w:footnote>
  <w:footnote w:id="18">
    <w:p>
      <w:pPr>
        <w:spacing w:after="0"/>
      </w:pPr>
      <w:r>
        <w:rPr>
          <w:rFonts w:ascii="Arial" w:hAnsi="Arial" w:cs="Arial"/>
          <w:vertAlign w:val="superscript"/>
          <w:sz w:val="16"/>
        </w:rPr>
        <w:footnoteRef/>
      </w:r>
      <w:r>
        <w:rPr>
          <w:rFonts w:ascii="Arial" w:hAnsi="Arial" w:cs="Arial"/>
          <w:sz w:val="16"/>
        </w:rPr>
        <w:t xml:space="preserve"> Repositorios académicos consultados: PUCP, "¡Al Toke!, una propuesta que brinda más confianza y seguridad a los hogares de Lima" (https://tesis.pucp.edu.pe/repositorio/handle/20.500.12404/21814); PUCP, "Modelo prolab: App Mil Oficios" (https://tesis.pucp.edu.pe/repositorio/handle/20.500.12404/23658); Universidad de Lima, "Magos Home" (https://repositorio.ulima.edu.pe/handle/20.500.12724/23579). Consultados en octubre de 2026.</w:t>
      </w:r>
    </w:p>
  </w:footnote>
  <w:footnote w:id="19">
    <w:p>
      <w:pPr>
        <w:spacing w:after="0"/>
      </w:pPr>
      <w:r>
        <w:rPr>
          <w:rFonts w:ascii="Arial" w:hAnsi="Arial" w:cs="Arial"/>
          <w:vertAlign w:val="superscript"/>
          <w:sz w:val="16"/>
        </w:rPr>
        <w:footnoteRef/>
      </w:r>
      <w:r>
        <w:rPr>
          <w:rFonts w:ascii="Arial" w:hAnsi="Arial" w:cs="Arial"/>
          <w:sz w:val="16"/>
        </w:rPr>
        <w:t xml:space="preserve"> La Ley (2026). "¿Cuánto cuesta registrar una marca en Indecopi?". https://laley.pe/cuanto-cuesta-registrar-una-marca-en-indecopi/ ; y Trámites Perú (2026). "Cómo registrar una marca en INDECOPI". https://tramitesperu.com/indecopi/registro-marca/ (consultados en octubre de 2026). Algunas fuentes indican S/ 534.99; confirmar la tasa vigente en el TUPA del INDECOPI (gob.pe/indecopi).</w:t>
      </w:r>
    </w:p>
  </w:footnote>
  <w:footnote w:id="20">
    <w:p>
      <w:pPr>
        <w:spacing w:after="0"/>
      </w:pPr>
      <w:r>
        <w:rPr>
          <w:rFonts w:ascii="Arial" w:hAnsi="Arial" w:cs="Arial"/>
          <w:vertAlign w:val="superscript"/>
          <w:sz w:val="16"/>
        </w:rPr>
        <w:footnoteRef/>
      </w:r>
      <w:r>
        <w:rPr>
          <w:rFonts w:ascii="Arial" w:hAnsi="Arial" w:cs="Arial"/>
          <w:sz w:val="16"/>
        </w:rPr>
        <w:t xml:space="preserve"> Precios de mercado consultados en octubre de 2026: gasfitero.org, Rescate24 Perú y Obra Maestra (gasfitería); Homesolution Perú y Corporación Groupmen (electricidad); TopLim, Limpieza de Casas en Lima y Reludcir (limpieza); controldeplagasprecio.org.pe y Servicios Canto Nuevo (fumigación). Son precios "desde" publicados por los proveedores; ver enlaces en Referencias consultadas.</w:t>
      </w:r>
    </w:p>
  </w:footnote>
  <w:footnote w:id="21">
    <w:p>
      <w:pPr>
        <w:spacing w:after="0"/>
      </w:pPr>
      <w:r>
        <w:rPr>
          <w:rFonts w:ascii="Arial" w:hAnsi="Arial" w:cs="Arial"/>
          <w:vertAlign w:val="superscript"/>
          <w:sz w:val="16"/>
        </w:rPr>
        <w:footnoteRef/>
      </w:r>
      <w:r>
        <w:rPr>
          <w:rFonts w:ascii="Arial" w:hAnsi="Arial" w:cs="Arial"/>
          <w:sz w:val="16"/>
        </w:rPr>
        <w:t xml:space="preserve"> La Ley (2026). "¿Cuánto cuesta registrar una marca en Indecopi?". https://laley.pe/cuanto-cuesta-registrar-una-marca-en-indecopi/ ; y Trámites Perú (2026). "Cómo registrar una marca en INDECOPI". https://tramitesperu.com/indecopi/registro-marca/ (consultados en octubre de 2026). Algunas fuentes indican S/ 534.99; confirmar la tasa vigente en el TUPA del INDECOPI (gob.pe/indecopi).</w:t>
      </w:r>
    </w:p>
  </w:footnote>
  <w:footnote w:id="22">
    <w:p>
      <w:pPr>
        <w:spacing w:after="0"/>
      </w:pPr>
      <w:r>
        <w:rPr>
          <w:rFonts w:ascii="Arial" w:hAnsi="Arial" w:cs="Arial"/>
          <w:vertAlign w:val="superscript"/>
          <w:sz w:val="16"/>
        </w:rPr>
        <w:footnoteRef/>
      </w:r>
      <w:r>
        <w:rPr>
          <w:rFonts w:ascii="Arial" w:hAnsi="Arial" w:cs="Arial"/>
          <w:sz w:val="16"/>
        </w:rPr>
        <w:t xml:space="preserve"> Comunidad Andina. Decisión 486, Régimen Común sobre Propiedad Industrial, artículo 15 (exclusiones de lo que se considera invención, entre ellas los programas de ordenador como tales). Verificar el texto en el portal de la Comunidad Andina o del INDECOPI.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390F"/>
    <w:multiLevelType w:val="hybridMultilevel"/>
    <w:tmpl w:val="E9D05756"/>
    <w:lvl w:ilvl="0" w:tplc="EA0A19BE">
      <w:start w:val="1"/>
      <w:numFmt w:val="bullet"/>
      <w:lvlText w:val=""/>
      <w:lvlJc w:val="left"/>
      <w:pPr>
        <w:ind w:left="720" w:hanging="360"/>
      </w:pPr>
      <w:rPr>
        <w:rFonts w:ascii="Symbol" w:hAnsi="Symbol" w:hint="default"/>
      </w:rPr>
    </w:lvl>
    <w:lvl w:ilvl="1" w:tplc="F564A7F2">
      <w:start w:val="1"/>
      <w:numFmt w:val="bullet"/>
      <w:lvlText w:val="o"/>
      <w:lvlJc w:val="left"/>
      <w:pPr>
        <w:ind w:left="1440" w:hanging="360"/>
      </w:pPr>
      <w:rPr>
        <w:rFonts w:ascii="Courier New" w:hAnsi="Courier New" w:hint="default"/>
      </w:rPr>
    </w:lvl>
    <w:lvl w:ilvl="2" w:tplc="8DC078FC">
      <w:start w:val="1"/>
      <w:numFmt w:val="bullet"/>
      <w:lvlText w:val=""/>
      <w:lvlJc w:val="left"/>
      <w:pPr>
        <w:ind w:left="2160" w:hanging="360"/>
      </w:pPr>
      <w:rPr>
        <w:rFonts w:ascii="Wingdings" w:hAnsi="Wingdings" w:hint="default"/>
      </w:rPr>
    </w:lvl>
    <w:lvl w:ilvl="3" w:tplc="FC0AB026">
      <w:start w:val="1"/>
      <w:numFmt w:val="bullet"/>
      <w:lvlText w:val=""/>
      <w:lvlJc w:val="left"/>
      <w:pPr>
        <w:ind w:left="2880" w:hanging="360"/>
      </w:pPr>
      <w:rPr>
        <w:rFonts w:ascii="Symbol" w:hAnsi="Symbol" w:hint="default"/>
      </w:rPr>
    </w:lvl>
    <w:lvl w:ilvl="4" w:tplc="39B4FB32">
      <w:start w:val="1"/>
      <w:numFmt w:val="bullet"/>
      <w:lvlText w:val="o"/>
      <w:lvlJc w:val="left"/>
      <w:pPr>
        <w:ind w:left="3600" w:hanging="360"/>
      </w:pPr>
      <w:rPr>
        <w:rFonts w:ascii="Courier New" w:hAnsi="Courier New" w:hint="default"/>
      </w:rPr>
    </w:lvl>
    <w:lvl w:ilvl="5" w:tplc="5D72742C">
      <w:start w:val="1"/>
      <w:numFmt w:val="bullet"/>
      <w:lvlText w:val=""/>
      <w:lvlJc w:val="left"/>
      <w:pPr>
        <w:ind w:left="4320" w:hanging="360"/>
      </w:pPr>
      <w:rPr>
        <w:rFonts w:ascii="Wingdings" w:hAnsi="Wingdings" w:hint="default"/>
      </w:rPr>
    </w:lvl>
    <w:lvl w:ilvl="6" w:tplc="34DE9A1E">
      <w:start w:val="1"/>
      <w:numFmt w:val="bullet"/>
      <w:lvlText w:val=""/>
      <w:lvlJc w:val="left"/>
      <w:pPr>
        <w:ind w:left="5040" w:hanging="360"/>
      </w:pPr>
      <w:rPr>
        <w:rFonts w:ascii="Symbol" w:hAnsi="Symbol" w:hint="default"/>
      </w:rPr>
    </w:lvl>
    <w:lvl w:ilvl="7" w:tplc="E7C40BBC">
      <w:start w:val="1"/>
      <w:numFmt w:val="bullet"/>
      <w:lvlText w:val="o"/>
      <w:lvlJc w:val="left"/>
      <w:pPr>
        <w:ind w:left="5760" w:hanging="360"/>
      </w:pPr>
      <w:rPr>
        <w:rFonts w:ascii="Courier New" w:hAnsi="Courier New" w:hint="default"/>
      </w:rPr>
    </w:lvl>
    <w:lvl w:ilvl="8" w:tplc="69149BB8">
      <w:start w:val="1"/>
      <w:numFmt w:val="bullet"/>
      <w:lvlText w:val=""/>
      <w:lvlJc w:val="left"/>
      <w:pPr>
        <w:ind w:left="6480" w:hanging="360"/>
      </w:pPr>
      <w:rPr>
        <w:rFonts w:ascii="Wingdings" w:hAnsi="Wingdings" w:hint="default"/>
      </w:rPr>
    </w:lvl>
  </w:abstractNum>
  <w:abstractNum w:abstractNumId="1" w15:restartNumberingAfterBreak="0">
    <w:nsid w:val="091EBA5F"/>
    <w:multiLevelType w:val="hybridMultilevel"/>
    <w:tmpl w:val="2BB2D8E8"/>
    <w:lvl w:ilvl="0" w:tplc="C37A9B5E">
      <w:start w:val="1"/>
      <w:numFmt w:val="bullet"/>
      <w:lvlText w:val=""/>
      <w:lvlJc w:val="left"/>
      <w:pPr>
        <w:ind w:left="720" w:hanging="360"/>
      </w:pPr>
      <w:rPr>
        <w:rFonts w:ascii="Symbol" w:hAnsi="Symbol" w:hint="default"/>
      </w:rPr>
    </w:lvl>
    <w:lvl w:ilvl="1" w:tplc="F7F043B6">
      <w:start w:val="1"/>
      <w:numFmt w:val="bullet"/>
      <w:lvlText w:val="o"/>
      <w:lvlJc w:val="left"/>
      <w:pPr>
        <w:ind w:left="1440" w:hanging="360"/>
      </w:pPr>
      <w:rPr>
        <w:rFonts w:ascii="Courier New" w:hAnsi="Courier New" w:hint="default"/>
      </w:rPr>
    </w:lvl>
    <w:lvl w:ilvl="2" w:tplc="F77CF562">
      <w:start w:val="1"/>
      <w:numFmt w:val="bullet"/>
      <w:lvlText w:val=""/>
      <w:lvlJc w:val="left"/>
      <w:pPr>
        <w:ind w:left="2160" w:hanging="360"/>
      </w:pPr>
      <w:rPr>
        <w:rFonts w:ascii="Wingdings" w:hAnsi="Wingdings" w:hint="default"/>
      </w:rPr>
    </w:lvl>
    <w:lvl w:ilvl="3" w:tplc="700AC008">
      <w:start w:val="1"/>
      <w:numFmt w:val="bullet"/>
      <w:lvlText w:val=""/>
      <w:lvlJc w:val="left"/>
      <w:pPr>
        <w:ind w:left="2880" w:hanging="360"/>
      </w:pPr>
      <w:rPr>
        <w:rFonts w:ascii="Symbol" w:hAnsi="Symbol" w:hint="default"/>
      </w:rPr>
    </w:lvl>
    <w:lvl w:ilvl="4" w:tplc="6728F8AE">
      <w:start w:val="1"/>
      <w:numFmt w:val="bullet"/>
      <w:lvlText w:val="o"/>
      <w:lvlJc w:val="left"/>
      <w:pPr>
        <w:ind w:left="3600" w:hanging="360"/>
      </w:pPr>
      <w:rPr>
        <w:rFonts w:ascii="Courier New" w:hAnsi="Courier New" w:hint="default"/>
      </w:rPr>
    </w:lvl>
    <w:lvl w:ilvl="5" w:tplc="F648B3F4">
      <w:start w:val="1"/>
      <w:numFmt w:val="bullet"/>
      <w:lvlText w:val=""/>
      <w:lvlJc w:val="left"/>
      <w:pPr>
        <w:ind w:left="4320" w:hanging="360"/>
      </w:pPr>
      <w:rPr>
        <w:rFonts w:ascii="Wingdings" w:hAnsi="Wingdings" w:hint="default"/>
      </w:rPr>
    </w:lvl>
    <w:lvl w:ilvl="6" w:tplc="09B0F3BC">
      <w:start w:val="1"/>
      <w:numFmt w:val="bullet"/>
      <w:lvlText w:val=""/>
      <w:lvlJc w:val="left"/>
      <w:pPr>
        <w:ind w:left="5040" w:hanging="360"/>
      </w:pPr>
      <w:rPr>
        <w:rFonts w:ascii="Symbol" w:hAnsi="Symbol" w:hint="default"/>
      </w:rPr>
    </w:lvl>
    <w:lvl w:ilvl="7" w:tplc="1C1A83DE">
      <w:start w:val="1"/>
      <w:numFmt w:val="bullet"/>
      <w:lvlText w:val="o"/>
      <w:lvlJc w:val="left"/>
      <w:pPr>
        <w:ind w:left="5760" w:hanging="360"/>
      </w:pPr>
      <w:rPr>
        <w:rFonts w:ascii="Courier New" w:hAnsi="Courier New" w:hint="default"/>
      </w:rPr>
    </w:lvl>
    <w:lvl w:ilvl="8" w:tplc="5A167370">
      <w:start w:val="1"/>
      <w:numFmt w:val="bullet"/>
      <w:lvlText w:val=""/>
      <w:lvlJc w:val="left"/>
      <w:pPr>
        <w:ind w:left="6480" w:hanging="360"/>
      </w:pPr>
      <w:rPr>
        <w:rFonts w:ascii="Wingdings" w:hAnsi="Wingdings" w:hint="default"/>
      </w:rPr>
    </w:lvl>
  </w:abstractNum>
  <w:abstractNum w:abstractNumId="2" w15:restartNumberingAfterBreak="0">
    <w:nsid w:val="28E47548"/>
    <w:multiLevelType w:val="hybridMultilevel"/>
    <w:tmpl w:val="40A66A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8F544BC"/>
    <w:multiLevelType w:val="hybridMultilevel"/>
    <w:tmpl w:val="70BC7ED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4" w15:restartNumberingAfterBreak="0">
    <w:nsid w:val="495F7AD0"/>
    <w:multiLevelType w:val="hybridMultilevel"/>
    <w:tmpl w:val="52F4D766"/>
    <w:lvl w:ilvl="0" w:tplc="28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66871445"/>
    <w:multiLevelType w:val="multilevel"/>
    <w:tmpl w:val="743E0D9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7B18EB39"/>
    <w:multiLevelType w:val="hybridMultilevel"/>
    <w:tmpl w:val="6D108CA2"/>
    <w:lvl w:ilvl="0" w:tplc="96CA5918">
      <w:start w:val="1"/>
      <w:numFmt w:val="bullet"/>
      <w:lvlText w:val=""/>
      <w:lvlJc w:val="left"/>
      <w:pPr>
        <w:ind w:left="720" w:hanging="360"/>
      </w:pPr>
      <w:rPr>
        <w:rFonts w:ascii="Symbol" w:hAnsi="Symbol" w:hint="default"/>
      </w:rPr>
    </w:lvl>
    <w:lvl w:ilvl="1" w:tplc="8A2AE304">
      <w:start w:val="1"/>
      <w:numFmt w:val="bullet"/>
      <w:lvlText w:val="o"/>
      <w:lvlJc w:val="left"/>
      <w:pPr>
        <w:ind w:left="1440" w:hanging="360"/>
      </w:pPr>
      <w:rPr>
        <w:rFonts w:ascii="Courier New" w:hAnsi="Courier New" w:hint="default"/>
      </w:rPr>
    </w:lvl>
    <w:lvl w:ilvl="2" w:tplc="BAF038E0">
      <w:start w:val="1"/>
      <w:numFmt w:val="bullet"/>
      <w:lvlText w:val=""/>
      <w:lvlJc w:val="left"/>
      <w:pPr>
        <w:ind w:left="2160" w:hanging="360"/>
      </w:pPr>
      <w:rPr>
        <w:rFonts w:ascii="Wingdings" w:hAnsi="Wingdings" w:hint="default"/>
      </w:rPr>
    </w:lvl>
    <w:lvl w:ilvl="3" w:tplc="3A681E78">
      <w:start w:val="1"/>
      <w:numFmt w:val="bullet"/>
      <w:lvlText w:val=""/>
      <w:lvlJc w:val="left"/>
      <w:pPr>
        <w:ind w:left="2880" w:hanging="360"/>
      </w:pPr>
      <w:rPr>
        <w:rFonts w:ascii="Symbol" w:hAnsi="Symbol" w:hint="default"/>
      </w:rPr>
    </w:lvl>
    <w:lvl w:ilvl="4" w:tplc="537642D4">
      <w:start w:val="1"/>
      <w:numFmt w:val="bullet"/>
      <w:lvlText w:val="o"/>
      <w:lvlJc w:val="left"/>
      <w:pPr>
        <w:ind w:left="3600" w:hanging="360"/>
      </w:pPr>
      <w:rPr>
        <w:rFonts w:ascii="Courier New" w:hAnsi="Courier New" w:hint="default"/>
      </w:rPr>
    </w:lvl>
    <w:lvl w:ilvl="5" w:tplc="130069EE">
      <w:start w:val="1"/>
      <w:numFmt w:val="bullet"/>
      <w:lvlText w:val=""/>
      <w:lvlJc w:val="left"/>
      <w:pPr>
        <w:ind w:left="4320" w:hanging="360"/>
      </w:pPr>
      <w:rPr>
        <w:rFonts w:ascii="Wingdings" w:hAnsi="Wingdings" w:hint="default"/>
      </w:rPr>
    </w:lvl>
    <w:lvl w:ilvl="6" w:tplc="31DC423E">
      <w:start w:val="1"/>
      <w:numFmt w:val="bullet"/>
      <w:lvlText w:val=""/>
      <w:lvlJc w:val="left"/>
      <w:pPr>
        <w:ind w:left="5040" w:hanging="360"/>
      </w:pPr>
      <w:rPr>
        <w:rFonts w:ascii="Symbol" w:hAnsi="Symbol" w:hint="default"/>
      </w:rPr>
    </w:lvl>
    <w:lvl w:ilvl="7" w:tplc="C6BEFB44">
      <w:start w:val="1"/>
      <w:numFmt w:val="bullet"/>
      <w:lvlText w:val="o"/>
      <w:lvlJc w:val="left"/>
      <w:pPr>
        <w:ind w:left="5760" w:hanging="360"/>
      </w:pPr>
      <w:rPr>
        <w:rFonts w:ascii="Courier New" w:hAnsi="Courier New" w:hint="default"/>
      </w:rPr>
    </w:lvl>
    <w:lvl w:ilvl="8" w:tplc="F5846F88">
      <w:start w:val="1"/>
      <w:numFmt w:val="bullet"/>
      <w:lvlText w:val=""/>
      <w:lvlJc w:val="left"/>
      <w:pPr>
        <w:ind w:left="6480" w:hanging="360"/>
      </w:pPr>
      <w:rPr>
        <w:rFonts w:ascii="Wingdings" w:hAnsi="Wingdings" w:hint="default"/>
      </w:rPr>
    </w:lvl>
  </w:abstractNum>
  <w:abstractNum w:abstractNumId="7" w15:restartNumberingAfterBreak="0">
    <w:nsid w:val="7EB072EF"/>
    <w:multiLevelType w:val="hybridMultilevel"/>
    <w:tmpl w:val="C9D804C4"/>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16cid:durableId="1088309072">
    <w:abstractNumId w:val="5"/>
  </w:num>
  <w:num w:numId="2" w16cid:durableId="330371277">
    <w:abstractNumId w:val="3"/>
  </w:num>
  <w:num w:numId="3" w16cid:durableId="44331192">
    <w:abstractNumId w:val="2"/>
  </w:num>
  <w:num w:numId="4" w16cid:durableId="46612140">
    <w:abstractNumId w:val="7"/>
  </w:num>
  <w:num w:numId="5" w16cid:durableId="1207058934">
    <w:abstractNumId w:val="4"/>
  </w:num>
  <w:num w:numId="6" w16cid:durableId="911157940">
    <w:abstractNumId w:val="1"/>
  </w:num>
  <w:num w:numId="7" w16cid:durableId="264268120">
    <w:abstractNumId w:val="6"/>
  </w:num>
  <w:num w:numId="8" w16cid:durableId="887423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289"/>
    <w:rsid w:val="0002369E"/>
    <w:rsid w:val="000D57D2"/>
    <w:rsid w:val="000D7743"/>
    <w:rsid w:val="000E6289"/>
    <w:rsid w:val="001142FF"/>
    <w:rsid w:val="00134B15"/>
    <w:rsid w:val="00136D2F"/>
    <w:rsid w:val="001A42BC"/>
    <w:rsid w:val="001B2D11"/>
    <w:rsid w:val="001D1F04"/>
    <w:rsid w:val="001E2975"/>
    <w:rsid w:val="00206C11"/>
    <w:rsid w:val="0025213D"/>
    <w:rsid w:val="002A102B"/>
    <w:rsid w:val="002D09A0"/>
    <w:rsid w:val="0032261E"/>
    <w:rsid w:val="00330A4A"/>
    <w:rsid w:val="0038592F"/>
    <w:rsid w:val="005270D9"/>
    <w:rsid w:val="00553334"/>
    <w:rsid w:val="005F71F2"/>
    <w:rsid w:val="006337DD"/>
    <w:rsid w:val="0064164E"/>
    <w:rsid w:val="006A7896"/>
    <w:rsid w:val="006D001D"/>
    <w:rsid w:val="00714974"/>
    <w:rsid w:val="007C1212"/>
    <w:rsid w:val="007D03CB"/>
    <w:rsid w:val="0081225E"/>
    <w:rsid w:val="008178BE"/>
    <w:rsid w:val="00823733"/>
    <w:rsid w:val="008E0424"/>
    <w:rsid w:val="009069EE"/>
    <w:rsid w:val="00941540"/>
    <w:rsid w:val="009A66F7"/>
    <w:rsid w:val="00B56EB0"/>
    <w:rsid w:val="00B66648"/>
    <w:rsid w:val="00B91B61"/>
    <w:rsid w:val="00BA79CA"/>
    <w:rsid w:val="00BD385C"/>
    <w:rsid w:val="00C23AB4"/>
    <w:rsid w:val="00D027CD"/>
    <w:rsid w:val="00D36516"/>
    <w:rsid w:val="00D9694C"/>
    <w:rsid w:val="00DB2332"/>
    <w:rsid w:val="00DB494C"/>
    <w:rsid w:val="00DE547D"/>
    <w:rsid w:val="00DF4E3D"/>
    <w:rsid w:val="00E8434C"/>
    <w:rsid w:val="00EB09AE"/>
    <w:rsid w:val="00EC5D55"/>
    <w:rsid w:val="00EE5C5B"/>
    <w:rsid w:val="00FC03AD"/>
    <w:rsid w:val="00FC336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080EE"/>
  <w15:chartTrackingRefBased/>
  <w15:docId w15:val="{E25054A5-0290-4447-B139-666E07E5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6289"/>
    <w:pPr>
      <w:keepNext/>
      <w:keepLines/>
      <w:spacing w:before="240" w:after="120"/>
      <w:outlineLvl w:val="0"/>
    </w:pPr>
    <w:rPr>
      <w:rFonts w:ascii="Arial" w:hAnsi="Arial" w:cs="Arial" w:eastAsia="Arial"/>
      <w:b/>
      <w:i w:val="0"/>
      <w:color w:val="000000"/>
      <w:sz w:val="26"/>
      <w:szCs w:val="40"/>
    </w:rPr>
  </w:style>
  <w:style w:type="paragraph" w:styleId="Ttulo2">
    <w:name w:val="heading 2"/>
    <w:basedOn w:val="Normal"/>
    <w:next w:val="Normal"/>
    <w:link w:val="Ttulo2Car"/>
    <w:uiPriority w:val="9"/>
    <w:unhideWhenUsed/>
    <w:qFormat/>
    <w:rsid w:val="000E6289"/>
    <w:pPr>
      <w:keepNext/>
      <w:keepLines/>
      <w:spacing w:before="240" w:after="120"/>
      <w:outlineLvl w:val="1"/>
    </w:pPr>
    <w:rPr>
      <w:rFonts w:ascii="Arial" w:hAnsi="Arial" w:cs="Arial" w:eastAsia="Arial"/>
      <w:b/>
      <w:i w:val="0"/>
      <w:color w:val="000000"/>
      <w:sz w:val="24"/>
      <w:szCs w:val="32"/>
    </w:rPr>
  </w:style>
  <w:style w:type="paragraph" w:styleId="Ttulo3">
    <w:name w:val="heading 3"/>
    <w:basedOn w:val="Normal"/>
    <w:next w:val="Normal"/>
    <w:link w:val="Ttulo3Car"/>
    <w:uiPriority w:val="9"/>
    <w:semiHidden/>
    <w:unhideWhenUsed/>
    <w:qFormat/>
    <w:rsid w:val="000E6289"/>
    <w:pPr>
      <w:keepNext/>
      <w:keepLines/>
      <w:spacing w:before="160" w:after="120"/>
      <w:outlineLvl w:val="2"/>
    </w:pPr>
    <w:rPr>
      <w:rFonts w:ascii="Arial" w:hAnsi="Arial" w:cs="Arial" w:eastAsia="Arial"/>
      <w:b/>
      <w:i w:val="0"/>
      <w:color w:val="000000"/>
      <w:sz w:val="22"/>
      <w:szCs w:val="28"/>
    </w:rPr>
  </w:style>
  <w:style w:type="paragraph" w:styleId="Ttulo4">
    <w:name w:val="heading 4"/>
    <w:basedOn w:val="Normal"/>
    <w:next w:val="Normal"/>
    <w:link w:val="Ttulo4Car"/>
    <w:uiPriority w:val="9"/>
    <w:semiHidden/>
    <w:unhideWhenUsed/>
    <w:qFormat/>
    <w:rsid w:val="000E62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62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62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62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62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62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62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E62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62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62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62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62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62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62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6289"/>
    <w:rPr>
      <w:rFonts w:eastAsiaTheme="majorEastAsia" w:cstheme="majorBidi"/>
      <w:color w:val="272727" w:themeColor="text1" w:themeTint="D8"/>
    </w:rPr>
  </w:style>
  <w:style w:type="paragraph" w:styleId="Ttulo">
    <w:name w:val="Title"/>
    <w:basedOn w:val="Normal"/>
    <w:next w:val="Normal"/>
    <w:link w:val="TtuloCar"/>
    <w:uiPriority w:val="10"/>
    <w:qFormat/>
    <w:rsid w:val="000E6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62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62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62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6289"/>
    <w:pPr>
      <w:spacing w:before="160"/>
      <w:jc w:val="center"/>
    </w:pPr>
    <w:rPr>
      <w:i/>
      <w:iCs/>
      <w:color w:val="404040" w:themeColor="text1" w:themeTint="BF"/>
    </w:rPr>
  </w:style>
  <w:style w:type="character" w:customStyle="1" w:styleId="CitaCar">
    <w:name w:val="Cita Car"/>
    <w:basedOn w:val="Fuentedeprrafopredeter"/>
    <w:link w:val="Cita"/>
    <w:uiPriority w:val="29"/>
    <w:rsid w:val="000E6289"/>
    <w:rPr>
      <w:i/>
      <w:iCs/>
      <w:color w:val="404040" w:themeColor="text1" w:themeTint="BF"/>
    </w:rPr>
  </w:style>
  <w:style w:type="paragraph" w:styleId="Prrafodelista">
    <w:name w:val="List Paragraph"/>
    <w:basedOn w:val="Normal"/>
    <w:uiPriority w:val="34"/>
    <w:qFormat/>
    <w:rsid w:val="000E6289"/>
    <w:pPr>
      <w:ind w:left="720"/>
      <w:contextualSpacing/>
    </w:pPr>
  </w:style>
  <w:style w:type="character" w:styleId="nfasisintenso">
    <w:name w:val="Intense Emphasis"/>
    <w:basedOn w:val="Fuentedeprrafopredeter"/>
    <w:uiPriority w:val="21"/>
    <w:qFormat/>
    <w:rsid w:val="000E6289"/>
    <w:rPr>
      <w:i/>
      <w:iCs/>
      <w:color w:val="0F4761" w:themeColor="accent1" w:themeShade="BF"/>
    </w:rPr>
  </w:style>
  <w:style w:type="paragraph" w:styleId="Citadestacada">
    <w:name w:val="Intense Quote"/>
    <w:basedOn w:val="Normal"/>
    <w:next w:val="Normal"/>
    <w:link w:val="CitadestacadaCar"/>
    <w:uiPriority w:val="30"/>
    <w:qFormat/>
    <w:rsid w:val="000E6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6289"/>
    <w:rPr>
      <w:i/>
      <w:iCs/>
      <w:color w:val="0F4761" w:themeColor="accent1" w:themeShade="BF"/>
    </w:rPr>
  </w:style>
  <w:style w:type="character" w:styleId="Referenciaintensa">
    <w:name w:val="Intense Reference"/>
    <w:basedOn w:val="Fuentedeprrafopredeter"/>
    <w:uiPriority w:val="32"/>
    <w:qFormat/>
    <w:rsid w:val="000E6289"/>
    <w:rPr>
      <w:b/>
      <w:bCs/>
      <w:smallCaps/>
      <w:color w:val="0F4761" w:themeColor="accent1" w:themeShade="BF"/>
      <w:spacing w:val="5"/>
    </w:rPr>
  </w:style>
  <w:style w:type="character" w:styleId="Hipervnculo">
    <w:name w:val="Hyperlink"/>
    <w:basedOn w:val="Fuentedeprrafopredeter"/>
    <w:uiPriority w:val="99"/>
    <w:unhideWhenUsed/>
    <w:rsid w:val="00D9694C"/>
    <w:rPr>
      <w:color w:val="0000FF"/>
      <w:u w:val="single"/>
    </w:rPr>
  </w:style>
  <w:style w:type="paragraph" w:styleId="Encabezado">
    <w:name w:val="header"/>
    <w:basedOn w:val="Normal"/>
    <w:link w:val="EncabezadoCar"/>
    <w:uiPriority w:val="99"/>
    <w:unhideWhenUsed/>
    <w:rsid w:val="001142F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142FF"/>
  </w:style>
  <w:style w:type="paragraph" w:styleId="Piedepgina">
    <w:name w:val="footer"/>
    <w:basedOn w:val="Normal"/>
    <w:link w:val="PiedepginaCar"/>
    <w:uiPriority w:val="99"/>
    <w:unhideWhenUsed/>
    <w:rsid w:val="001142F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142FF"/>
  </w:style>
  <w:style w:type="paragraph" w:styleId="NormalWeb">
    <w:name w:val="Normal (Web)"/>
    <w:basedOn w:val="Normal"/>
    <w:uiPriority w:val="99"/>
    <w:unhideWhenUsed/>
    <w:rsid w:val="005270D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Fuerte">
    <w:name w:val="Strong"/>
    <w:basedOn w:val="Fuentedeprrafopredeter"/>
    <w:uiPriority w:val="22"/>
    <w:qFormat/>
    <w:rsid w:val="005270D9"/>
    <w:rPr>
      <w:b/>
      <w:bCs/>
    </w:rPr>
  </w:style>
  <w:style w:type="character" w:styleId="Mencinsinresolver">
    <w:name w:val="Unresolved Mention"/>
    <w:basedOn w:val="Fuentedeprrafopredeter"/>
    <w:uiPriority w:val="99"/>
    <w:semiHidden/>
    <w:unhideWhenUsed/>
    <w:rsid w:val="002A102B"/>
    <w:rPr>
      <w:color w:val="605E5C"/>
      <w:shd w:val="clear" w:color="auto" w:fill="E1DFDD"/>
    </w:rPr>
  </w:style>
  <w:style w:type="paragraph" w:styleId="TtuloTDC">
    <w:name w:val="TOC Heading"/>
    <w:basedOn w:val="Ttulo1"/>
    <w:next w:val="Normal"/>
    <w:uiPriority w:val="39"/>
    <w:unhideWhenUsed/>
    <w:qFormat/>
    <w:rsid w:val="0081225E"/>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81225E"/>
    <w:pPr>
      <w:spacing w:after="100"/>
    </w:pPr>
  </w:style>
  <w:style w:type="paragraph" w:styleId="TDC2">
    <w:name w:val="toc 2"/>
    <w:basedOn w:val="Normal"/>
    <w:next w:val="Normal"/>
    <w:autoRedefine/>
    <w:uiPriority w:val="39"/>
    <w:unhideWhenUsed/>
    <w:rsid w:val="00DF4E3D"/>
    <w:pPr>
      <w:spacing w:after="100"/>
      <w:ind w:left="240"/>
    </w:pPr>
  </w:style>
  <w:style w:type="character" w:styleId="Hipervnculovisitado">
    <w:name w:val="FollowedHyperlink"/>
    <w:basedOn w:val="Fuentedeprrafopredeter"/>
    <w:uiPriority w:val="99"/>
    <w:semiHidden/>
    <w:unhideWhenUsed/>
    <w:rsid w:val="00DB49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6F0A0-75FA-4FE5-80AF-8746453F9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712</Words>
  <Characters>3920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I202514889 (ARAGÓN Romero,SOFIA ISABEL)</dc:creator>
  <cp:keywords/>
  <dc:description/>
  <cp:lastModifiedBy>i201911086 (Vargas Whittembury,Raul Fernando)</cp:lastModifiedBy>
  <cp:revision>11</cp:revision>
  <dcterms:created xsi:type="dcterms:W3CDTF">2026-02-07T22:19:00Z</dcterms:created>
  <dcterms:modified xsi:type="dcterms:W3CDTF">2026-09-12T15:10:00Z</dcterms:modified>
</cp:coreProperties>
</file>