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color w:val="2E74B5"/>
          <w:sz w:val="36"/>
        </w:rPr>
        <w:t>STAMPBAYAN HOSTING CONFIRMATION</w:t>
      </w:r>
    </w:p>
    <w:p>
      <w:pPr>
        <w:spacing w:after="240"/>
        <w:jc w:val="center"/>
      </w:pPr>
      <w:r>
        <w:rPr>
          <w:rFonts w:ascii="Calibri" w:hAnsi="Calibri" w:eastAsia="Calibri"/>
          <w:b w:val="0"/>
          <w:color w:val="505050"/>
          <w:sz w:val="22"/>
        </w:rPr>
        <w:t>Hosting Portability and Developer Access Statement</w:t>
      </w:r>
    </w:p>
    <w:tbl>
      <w:tblPr>
        <w:tblW w:type="auto" w:w="0"/>
        <w:tblLayout w:type="fixed"/>
        <w:tblLook w:firstColumn="1" w:firstRow="1" w:lastColumn="0" w:lastRow="0" w:noHBand="0" w:noVBand="1" w:val="04A0"/>
      </w:tblPr>
      <w:tblGrid>
        <w:gridCol w:w="4680"/>
        <w:gridCol w:w="4680"/>
      </w:tblGrid>
      <w:tr>
        <w:tc>
          <w:tcPr>
            <w:tcW w:type="dxa" w:w="2951"/>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shd w:fill="F2F4F7"/>
            <w:vAlign w:val="center"/>
          </w:tcPr>
          <w:p>
            <w:r/>
            <w:r>
              <w:rPr>
                <w:rFonts w:ascii="Calibri" w:hAnsi="Calibri" w:eastAsia="Calibri"/>
                <w:b/>
                <w:color w:val="000000"/>
                <w:sz w:val="22"/>
              </w:rPr>
              <w:t>Item</w:t>
            </w:r>
          </w:p>
        </w:tc>
        <w:tc>
          <w:tcPr>
            <w:tcW w:type="dxa" w:w="6263"/>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shd w:fill="F2F4F7"/>
            <w:vAlign w:val="center"/>
          </w:tcPr>
          <w:p>
            <w:r/>
            <w:r>
              <w:rPr>
                <w:rFonts w:ascii="Calibri" w:hAnsi="Calibri" w:eastAsia="Calibri"/>
                <w:b/>
                <w:color w:val="000000"/>
                <w:sz w:val="22"/>
              </w:rPr>
              <w:t>Specification</w:t>
            </w:r>
          </w:p>
        </w:tc>
      </w:tr>
      <w:tr>
        <w:tc>
          <w:tcPr>
            <w:tcW w:type="dxa" w:w="2951"/>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vAlign w:val="top"/>
          </w:tcPr>
          <w:p>
            <w:pPr>
              <w:spacing w:after="0" w:line="264" w:lineRule="auto"/>
            </w:pPr>
            <w:r/>
            <w:r>
              <w:rPr>
                <w:rFonts w:ascii="Calibri" w:hAnsi="Calibri" w:eastAsia="Calibri"/>
                <w:b w:val="0"/>
                <w:color w:val="000000"/>
                <w:sz w:val="22"/>
              </w:rPr>
              <w:t>Project</w:t>
            </w:r>
          </w:p>
        </w:tc>
        <w:tc>
          <w:tcPr>
            <w:tcW w:type="dxa" w:w="6263"/>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vAlign w:val="top"/>
          </w:tcPr>
          <w:p>
            <w:pPr>
              <w:spacing w:after="0" w:line="264" w:lineRule="auto"/>
            </w:pPr>
            <w:r/>
            <w:r>
              <w:rPr>
                <w:rFonts w:ascii="Calibri" w:hAnsi="Calibri" w:eastAsia="Calibri"/>
                <w:b w:val="0"/>
                <w:color w:val="000000"/>
                <w:sz w:val="22"/>
              </w:rPr>
              <w:t>StampBayan Website Platform for Bigoli</w:t>
            </w:r>
          </w:p>
        </w:tc>
      </w:tr>
      <w:tr>
        <w:tc>
          <w:tcPr>
            <w:tcW w:type="dxa" w:w="2951"/>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vAlign w:val="top"/>
          </w:tcPr>
          <w:p>
            <w:pPr>
              <w:spacing w:after="0" w:line="264" w:lineRule="auto"/>
            </w:pPr>
            <w:r/>
            <w:r>
              <w:rPr>
                <w:rFonts w:ascii="Calibri" w:hAnsi="Calibri" w:eastAsia="Calibri"/>
                <w:b w:val="0"/>
                <w:color w:val="000000"/>
                <w:sz w:val="22"/>
              </w:rPr>
              <w:t>Purpose</w:t>
            </w:r>
          </w:p>
        </w:tc>
        <w:tc>
          <w:tcPr>
            <w:tcW w:type="dxa" w:w="6263"/>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vAlign w:val="top"/>
          </w:tcPr>
          <w:p>
            <w:pPr>
              <w:spacing w:after="0" w:line="264" w:lineRule="auto"/>
            </w:pPr>
            <w:r/>
            <w:r>
              <w:rPr>
                <w:rFonts w:ascii="Calibri" w:hAnsi="Calibri" w:eastAsia="Calibri"/>
                <w:b w:val="0"/>
                <w:color w:val="000000"/>
                <w:sz w:val="22"/>
              </w:rPr>
              <w:t>Confirm whether the website can be hosted with another hosting provider while the current developer remains responsible for development and maintenance.</w:t>
            </w:r>
          </w:p>
        </w:tc>
      </w:tr>
      <w:tr>
        <w:tc>
          <w:tcPr>
            <w:tcW w:type="dxa" w:w="2951"/>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vAlign w:val="top"/>
          </w:tcPr>
          <w:p>
            <w:pPr>
              <w:spacing w:after="0" w:line="264" w:lineRule="auto"/>
            </w:pPr>
            <w:r/>
            <w:r>
              <w:rPr>
                <w:rFonts w:ascii="Calibri" w:hAnsi="Calibri" w:eastAsia="Calibri"/>
                <w:b w:val="0"/>
                <w:color w:val="000000"/>
                <w:sz w:val="22"/>
              </w:rPr>
              <w:t>Prepared For</w:t>
            </w:r>
          </w:p>
        </w:tc>
        <w:tc>
          <w:tcPr>
            <w:tcW w:type="dxa" w:w="6263"/>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vAlign w:val="top"/>
          </w:tcPr>
          <w:p>
            <w:pPr>
              <w:spacing w:after="0" w:line="264" w:lineRule="auto"/>
            </w:pPr>
            <w:r/>
            <w:r>
              <w:rPr>
                <w:rFonts w:ascii="Calibri" w:hAnsi="Calibri" w:eastAsia="Calibri"/>
                <w:b w:val="0"/>
                <w:color w:val="000000"/>
                <w:sz w:val="22"/>
              </w:rPr>
              <w:t>IT Review Team</w:t>
            </w:r>
          </w:p>
        </w:tc>
      </w:tr>
      <w:tr>
        <w:tc>
          <w:tcPr>
            <w:tcW w:type="dxa" w:w="2951"/>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vAlign w:val="top"/>
          </w:tcPr>
          <w:p>
            <w:pPr>
              <w:spacing w:after="0" w:line="264" w:lineRule="auto"/>
            </w:pPr>
            <w:r/>
            <w:r>
              <w:rPr>
                <w:rFonts w:ascii="Calibri" w:hAnsi="Calibri" w:eastAsia="Calibri"/>
                <w:b w:val="0"/>
                <w:color w:val="000000"/>
                <w:sz w:val="22"/>
              </w:rPr>
              <w:t>Prepared By</w:t>
            </w:r>
          </w:p>
        </w:tc>
        <w:tc>
          <w:tcPr>
            <w:tcW w:type="dxa" w:w="6263"/>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vAlign w:val="top"/>
          </w:tcPr>
          <w:p>
            <w:pPr>
              <w:spacing w:after="0" w:line="264" w:lineRule="auto"/>
            </w:pPr>
            <w:r/>
            <w:r>
              <w:rPr>
                <w:rFonts w:ascii="Calibri" w:hAnsi="Calibri" w:eastAsia="Calibri"/>
                <w:b w:val="0"/>
                <w:color w:val="000000"/>
                <w:sz w:val="22"/>
              </w:rPr>
              <w:t>Development Team</w:t>
            </w:r>
          </w:p>
        </w:tc>
      </w:tr>
      <w:tr>
        <w:tc>
          <w:tcPr>
            <w:tcW w:type="dxa" w:w="2951"/>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vAlign w:val="top"/>
          </w:tcPr>
          <w:p>
            <w:pPr>
              <w:spacing w:after="0" w:line="264" w:lineRule="auto"/>
            </w:pPr>
            <w:r/>
            <w:r>
              <w:rPr>
                <w:rFonts w:ascii="Calibri" w:hAnsi="Calibri" w:eastAsia="Calibri"/>
                <w:b w:val="0"/>
                <w:color w:val="000000"/>
                <w:sz w:val="22"/>
              </w:rPr>
              <w:t>Date</w:t>
            </w:r>
          </w:p>
        </w:tc>
        <w:tc>
          <w:tcPr>
            <w:tcW w:type="dxa" w:w="6263"/>
            <w:tcMar>
              <w:top w:w="80" w:type="dxa"/>
              <w:start w:w="120" w:type="dxa"/>
              <w:bottom w:w="80" w:type="dxa"/>
              <w:end w:w="120" w:type="dxa"/>
            </w:tcMar>
            <w:tcBorders>
              <w:top w:val="single" w:sz="6" w:space="0" w:color="D0D5DD"/>
              <w:left w:val="single" w:sz="6" w:space="0" w:color="D0D5DD"/>
              <w:bottom w:val="single" w:sz="6" w:space="0" w:color="D0D5DD"/>
              <w:right w:val="single" w:sz="6" w:space="0" w:color="D0D5DD"/>
            </w:tcBorders>
            <w:vAlign w:val="top"/>
          </w:tcPr>
          <w:p>
            <w:pPr>
              <w:spacing w:after="0" w:line="264" w:lineRule="auto"/>
            </w:pPr>
            <w:r/>
            <w:r>
              <w:rPr>
                <w:rFonts w:ascii="Calibri" w:hAnsi="Calibri" w:eastAsia="Calibri"/>
                <w:b w:val="0"/>
                <w:color w:val="000000"/>
                <w:sz w:val="22"/>
              </w:rPr>
              <w:t>June 18, 2026</w:t>
            </w:r>
          </w:p>
        </w:tc>
      </w:tr>
    </w:tbl>
    <w:p>
      <w:pPr>
        <w:spacing w:before="320" w:after="120"/>
      </w:pPr>
      <w:r>
        <w:rPr>
          <w:rFonts w:ascii="Calibri" w:hAnsi="Calibri" w:eastAsia="Calibri"/>
          <w:b/>
          <w:color w:val="2E74B5"/>
          <w:sz w:val="32"/>
        </w:rPr>
        <w:t>Confirmation</w:t>
      </w:r>
    </w:p>
    <w:p>
      <w:pPr>
        <w:spacing w:after="120" w:line="264" w:lineRule="auto"/>
      </w:pPr>
      <w:r>
        <w:rPr>
          <w:rFonts w:ascii="Calibri" w:hAnsi="Calibri" w:eastAsia="Calibri"/>
          <w:b w:val="0"/>
          <w:color w:val="000000"/>
          <w:sz w:val="22"/>
        </w:rPr>
        <w:t>Yes. The StampBayan website can be hosted with another hosting provider while the current developer remains in charge of development and maintenance, provided that the new hosting environment supports the application requirements and the developer is given the necessary access to deploy, configure, monitor, and maintain the system.</w:t>
      </w:r>
    </w:p>
    <w:p>
      <w:pPr>
        <w:spacing w:before="320" w:after="120"/>
      </w:pPr>
      <w:r>
        <w:rPr>
          <w:rFonts w:ascii="Calibri" w:hAnsi="Calibri" w:eastAsia="Calibri"/>
          <w:b/>
          <w:color w:val="2E74B5"/>
          <w:sz w:val="32"/>
        </w:rPr>
        <w:t>Required Access</w:t>
      </w:r>
    </w:p>
    <w:p>
      <w:pPr>
        <w:spacing w:after="80" w:line="280" w:lineRule="auto"/>
        <w:ind w:left="720" w:hanging="360"/>
      </w:pPr>
      <w:r>
        <w:rPr>
          <w:rFonts w:ascii="Calibri" w:hAnsi="Calibri" w:eastAsia="Calibri"/>
          <w:b w:val="0"/>
          <w:color w:val="000000"/>
          <w:sz w:val="22"/>
        </w:rPr>
        <w:t xml:space="preserve">• </w:t>
      </w:r>
      <w:r>
        <w:rPr>
          <w:rFonts w:ascii="Calibri" w:hAnsi="Calibri" w:eastAsia="Calibri"/>
          <w:b w:val="0"/>
          <w:color w:val="000000"/>
          <w:sz w:val="22"/>
        </w:rPr>
        <w:t>Hosting control panel or server access needed to manage PHP, database, files, SSL, domain/subdomain settings, cron jobs, and logs.</w:t>
      </w:r>
    </w:p>
    <w:p>
      <w:pPr>
        <w:spacing w:after="80" w:line="280" w:lineRule="auto"/>
        <w:ind w:left="720" w:hanging="360"/>
      </w:pPr>
      <w:r>
        <w:rPr>
          <w:rFonts w:ascii="Calibri" w:hAnsi="Calibri" w:eastAsia="Calibri"/>
          <w:b w:val="0"/>
          <w:color w:val="000000"/>
          <w:sz w:val="22"/>
        </w:rPr>
        <w:t xml:space="preserve">• </w:t>
      </w:r>
      <w:r>
        <w:rPr>
          <w:rFonts w:ascii="Calibri" w:hAnsi="Calibri" w:eastAsia="Calibri"/>
          <w:b w:val="0"/>
          <w:color w:val="000000"/>
          <w:sz w:val="22"/>
        </w:rPr>
        <w:t>Database access for migration, backup, restore, and troubleshooting.</w:t>
      </w:r>
    </w:p>
    <w:p>
      <w:pPr>
        <w:spacing w:after="80" w:line="280" w:lineRule="auto"/>
        <w:ind w:left="720" w:hanging="360"/>
      </w:pPr>
      <w:r>
        <w:rPr>
          <w:rFonts w:ascii="Calibri" w:hAnsi="Calibri" w:eastAsia="Calibri"/>
          <w:b w:val="0"/>
          <w:color w:val="000000"/>
          <w:sz w:val="22"/>
        </w:rPr>
        <w:t xml:space="preserve">• </w:t>
      </w:r>
      <w:r>
        <w:rPr>
          <w:rFonts w:ascii="Calibri" w:hAnsi="Calibri" w:eastAsia="Calibri"/>
          <w:b w:val="0"/>
          <w:color w:val="000000"/>
          <w:sz w:val="22"/>
        </w:rPr>
        <w:t>File manager, SFTP, SSH, Git deployment, or equivalent deployment access.</w:t>
      </w:r>
    </w:p>
    <w:p>
      <w:pPr>
        <w:spacing w:after="80" w:line="280" w:lineRule="auto"/>
        <w:ind w:left="720" w:hanging="360"/>
      </w:pPr>
      <w:r>
        <w:rPr>
          <w:rFonts w:ascii="Calibri" w:hAnsi="Calibri" w:eastAsia="Calibri"/>
          <w:b w:val="0"/>
          <w:color w:val="000000"/>
          <w:sz w:val="22"/>
        </w:rPr>
        <w:t xml:space="preserve">• </w:t>
      </w:r>
      <w:r>
        <w:rPr>
          <w:rFonts w:ascii="Calibri" w:hAnsi="Calibri" w:eastAsia="Calibri"/>
          <w:b w:val="0"/>
          <w:color w:val="000000"/>
          <w:sz w:val="22"/>
        </w:rPr>
        <w:t>Ability to configure environment variables, storage permissions, queue/scheduler setup, and production cache commands.</w:t>
      </w:r>
    </w:p>
    <w:p>
      <w:pPr>
        <w:spacing w:after="80" w:line="280" w:lineRule="auto"/>
        <w:ind w:left="720" w:hanging="360"/>
      </w:pPr>
      <w:r>
        <w:rPr>
          <w:rFonts w:ascii="Calibri" w:hAnsi="Calibri" w:eastAsia="Calibri"/>
          <w:b w:val="0"/>
          <w:color w:val="000000"/>
          <w:sz w:val="22"/>
        </w:rPr>
        <w:t xml:space="preserve">• </w:t>
      </w:r>
      <w:r>
        <w:rPr>
          <w:rFonts w:ascii="Calibri" w:hAnsi="Calibri" w:eastAsia="Calibri"/>
          <w:b w:val="0"/>
          <w:color w:val="000000"/>
          <w:sz w:val="22"/>
        </w:rPr>
        <w:t>Access to email/SMTP settings if the website will send password reset or notification emails.</w:t>
      </w:r>
    </w:p>
    <w:p>
      <w:pPr>
        <w:spacing w:before="320" w:after="120"/>
      </w:pPr>
      <w:r>
        <w:rPr>
          <w:rFonts w:ascii="Calibri" w:hAnsi="Calibri" w:eastAsia="Calibri"/>
          <w:b/>
          <w:color w:val="2E74B5"/>
          <w:sz w:val="32"/>
        </w:rPr>
        <w:t>Condition</w:t>
      </w:r>
    </w:p>
    <w:p>
      <w:pPr>
        <w:spacing w:after="120" w:line="264" w:lineRule="auto"/>
      </w:pPr>
      <w:r>
        <w:rPr>
          <w:rFonts w:ascii="Calibri" w:hAnsi="Calibri" w:eastAsia="Calibri"/>
          <w:b w:val="0"/>
          <w:color w:val="000000"/>
          <w:sz w:val="22"/>
        </w:rPr>
        <w:t>The transfer should be scheduled and coordinated to avoid downtime. Before switching DNS, the new server should be prepared, tested, backed up, and verified using the production domain or a staging subdomain.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