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АЙТРЕКИНГ Методы регистрации движений глаз в психологических исследованиях и практике. В. А. Барабанщиков, А. В. Жегалло. Москва – 2014.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Виды движений глаз: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Тремор - мелкие, частые колебания глаз (рисунок 4). Средняя амплитуда – 20–40", частота – до 250–270 Гц.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Дрейф – медленное, плавное перемещение глаза, прерывае мое микросаккадами. Скорость дрейфа меняется от 0 до 40°/с, длительность – от 30 до 5000 мс.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Микросаккады – быстрые резкие движения продолжитель ностью 10–20 мс. Диапазон амплитуд – 2–50', скорость от 3 до 12°/с.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Макросаккады – резкие изменения позиции глаза, отлича ющиеся высокой скоростью и точностью. Амплитуда саккад варьирует в широких пределах от 40–50' до 50–60°, но в ес тественных условиях восприятия редко превышает 20°.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Прослеживающие (следящие) движения – плавные переме щения глаз, возникающие при движении объекта в поле зрения.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Вергентные движения – сведение (конвергенция) или разве дение (дивергенция) оптических осей глаз.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Торзионные, или ротационные движения – вращательные пе ремещения глаз относительно оптической оси.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Нистагм – устойчивая окуломоторная структура, включающая чередование саккад и плавных прослеживающих движений.</w:t>
      </w:r>
    </w:p>
    <w:p w:rsidR="00000000" w:rsidDel="00000000" w:rsidP="00000000" w:rsidRDefault="00000000" w:rsidRPr="00000000" w14:paraId="0000000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Понятие взора: вектор направления оптической оси глаза в пространстве.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Как показывают исследования, по характеру движений глаз можно определить: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направленность взора и динамику оперативного поля зрения воспринимающего (то что человек осмысливает. Например пейзаж или текст)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стратегии прослеживания движущихся объектов и маршруты сканирования воспринимаемых сцен (человек смотрит на определенный объект в движении)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информационную сложность объекта и точность фиксации его элементов (то как человек обрабатывает информацию в пространстве)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зоны поиска и «проигрывания» вариантов решения наглядно действенных задач (зачем человек смотрит а как он решает задачи)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структурные единицы деятельности и уровень сформированности познавательных действий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состояния сознания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уровень развития зрительных функций на разных стадиях онтогенеза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эффективность решения оперативных задач и/или исполнения отдельных этапов практической деятельности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деструкции познавательных процессов человека.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АППАРАТНО-ПРОГРАММНЫЙ КОМПЛЕКС АУГМЕНТАТИВНОЙ СИСТЕМЫ КОММУНИКАЦИИ НА ОСНОВЕ ТЕХНОЛОГИИ EYETRACKING. Ю.В. Грушко. 2019. 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Технология помогает общаться с другими людьми с помощью айтрекинга.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Разработанный айтрекер использует метод темного зрачка, так как инфракрас ная подсветка, состоящая из 4х инфракрасных диодов, мощностью 0.5 Вт и длиной 57 ISSN 2079-6641 Грушко Ю.В. излучения 960нм, сдвинута относительно оптической оси камеры и располагается по периметру камеры (рис. 1). Отслеживатель глаз, разработанный в рамках ВКРм, работает на скоростях 15 кадров в секунду. Это необходимо для обеспечения реги страции 100% движений глаз. 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Для разработки алгоритма трекинга зрачка использовалась библиотека машинно го зрения OpenCV 4.1, модули глубинного обучения DNN и нейрофреймворк Darknet. В качестве основного языка был выбран Python 3. - точность алгоритма 98%. Про биомаркеры инсульта ничего не написано.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Особенности движений глаз у лиц с посттравматическим стрессовым расстройством: нейрокогнитивный и психологический анализ (обзор). 2025.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Одной из наиболее воспроизводимых характеристик ПТСР является склонность к длительным фиксациям на стимулах, ассоциированных с травмой. 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увеличенное время фиксации испытуе мых с ПТСР на эмоционально амбивалентных стимулах (например, тенях).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У пациентов с ПТСР наблюдается снижение произвольного саккадического кон троля. Методом выявления таких нарушений являются эксперименты с задачами на антисаккады; так, Felmingham et al. обнаружили, что пациенты совершали на 30% больше ошибок, чем контрольная группа, а латентность корректирующих саккад была увеличена на 50 мс. 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Другим отличительным паттерном ПТСР является скорость саккад. Исследование Nijdam et al. показало, что у пациентов с ПТСР саккады в направлении угрожающих стимулов происходят на 20–30 мс быстрее, чем у контрольной группы.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Одним из таких феноменов является гипервигильность – состояние повышенной сенсорной чувствительности и устойчивой настороженности, характеризующееся чрезмерным сканированием окружающей среды в поисках потенциальных угроз даже при отсутствии объективной опасности. </w:t>
      </w:r>
    </w:p>
    <w:p w:rsidR="00000000" w:rsidDel="00000000" w:rsidP="00000000" w:rsidRDefault="00000000" w:rsidRPr="00000000" w14:paraId="0000002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Клиническое значение окулографических параметров для оценки психопатологических особенностей рекуррентных депрессий. 2025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Окулографическое исследование (айтрекинг) проводилось с использованием ви деоокулографа Tobii Pro Spectrum (производство Tobii AB inc., Швеция) с частотным разрешением в 300 Гц. Исследование выполнялось по протоколу задачи со свобод ным рассматриванием стимулов (free-viewing task) и включало демонстрацию участ никам 80 парных визуальных стимулов – фотографий лиц мужского и женского пола; каждая пара стимулов включала одну фотографию лица с нейтральным выражением и одну – фото лица того же человека с эмоциональной экспрессией (злость, отвраще ние, страх, радость, грусть) и демонстрировалась в течение 10 секунд. Были исполь зованы изображения из открытой валидированной стимульной базы WSEFEPB [30]. 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Статистическая обработка полученных данных осуществлялась с помощью про граммы JASP 0.19.2 (University of Amsterdam). 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ОПФ - общая продолжительность фиксаций 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СПФ - средняя продолжительность фиксаций</w:t>
        <w:br w:type="textWrapping"/>
        <w:t xml:space="preserve">ЧФ - число фиксаций 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ЧС - число саккад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MADRS1: Печаль (субъективная гипотимия)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MADRS2: Напряжение / Тревога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MADRS3: Нарушение сна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MADRS4: Снижение аппетита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MADRS5: Нарушение концентрации / Внимания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MADRS6: Ангедония (потеря интереса)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MADRS7: Анергия (снижение активности)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MADRS8: Чувство вины / Самообвинение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MADRS9: Суицидальные мысли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MADRS10: Неспособность чувствовать / Эмоциональная тупость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495925" cy="7505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750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  <w:t xml:space="preserve">Можно выделить ряд закономерностей: так, группа симптомов, отражающих в значительной степени витальный компонент депрессивного синдрома (симптомы субъективной гипотимии, ангедонии и анергии) в своей выраженности ассоциировалась с более низкими длительностью и числом фиксаций и саккад при визуальном анализе эмоциональных стимулов различной модальности (позитивной, негативной и нейтральной), что можно соотнести с общим снижением эмоциональной реактивности. Другой симптом витального симптомокомплекса – снижение аппетита – имел положительную корреляционную связь с общим удлинением единичных актов фиксации взора на эмоциональных стимулах различной модальности, включая нейтральные; данный окулографический параметр связан с темпом психомоторной активности и может отражать как замедление когнитивных процессов в рамках депрессивного эпизода, так и общее снижение эмоциональной реактивности. Симптоматика самообвинения – важнейший элемент депрессивного синдрома, опосредованный одновременно и витальными нарушениями, и конгруэнтными депрессии особенностями идеаторных процессов, включая отношение к собственной личности, – была связана со снижением внимания к позитивным стимулам; эта находка перекликается с ранее описанным дефицитом внимания к позитивным стимулам как специфическим маркером депрессии.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