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0CD3C">
      <w:pPr>
        <w:spacing w:before="50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F4E79"/>
          <w:sz w:val="48"/>
        </w:rPr>
        <w:t>AlphaGo 与围棋 AI 家族</w:t>
      </w:r>
    </w:p>
    <w:p w14:paraId="7508A143">
      <w:pPr>
        <w:jc w:val="center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/>
          <w:color w:val="464646"/>
          <w:sz w:val="29"/>
        </w:rPr>
        <w:t>技术调研、10x10 五子棋强化训练与可演示模型</w:t>
      </w:r>
    </w:p>
    <w:tbl>
      <w:tblPr>
        <w:tblStyle w:val="33"/>
        <w:tblW w:w="0" w:type="auto"/>
        <w:tblInd w:w="0" w:type="dxa"/>
        <w:tblBorders>
          <w:top w:val="single" w:color="AAB8C7" w:sz="6" w:space="0"/>
          <w:left w:val="single" w:color="AAB8C7" w:sz="6" w:space="0"/>
          <w:bottom w:val="single" w:color="AAB8C7" w:sz="6" w:space="0"/>
          <w:right w:val="single" w:color="AAB8C7" w:sz="6" w:space="0"/>
          <w:insideH w:val="single" w:color="AAB8C7" w:sz="6" w:space="0"/>
          <w:insideV w:val="single" w:color="AAB8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7087"/>
      </w:tblGrid>
      <w:tr w14:paraId="696D3385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shd w:val="clear" w:color="auto" w:fill="DDEBF7"/>
            <w:vAlign w:val="center"/>
          </w:tcPr>
          <w:p w14:paraId="1D91B87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项目</w:t>
            </w:r>
          </w:p>
        </w:tc>
        <w:tc>
          <w:tcPr>
            <w:tcW w:w="7087" w:type="dxa"/>
            <w:shd w:val="clear" w:color="auto" w:fill="DDEBF7"/>
            <w:vAlign w:val="center"/>
          </w:tcPr>
          <w:p w14:paraId="0A7FD7E8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8"/>
              </w:rPr>
              <w:t>内容</w:t>
            </w:r>
          </w:p>
        </w:tc>
      </w:tr>
      <w:tr w14:paraId="2051FF06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14450208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课程</w:t>
            </w:r>
          </w:p>
        </w:tc>
        <w:tc>
          <w:tcPr>
            <w:tcW w:w="7087" w:type="dxa"/>
            <w:vAlign w:val="center"/>
          </w:tcPr>
          <w:p w14:paraId="07BFDB3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人工智能科学与技术</w:t>
            </w:r>
          </w:p>
        </w:tc>
      </w:tr>
      <w:tr w14:paraId="3F4AB49D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644FD1B0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小组/成员</w:t>
            </w:r>
          </w:p>
        </w:tc>
        <w:tc>
          <w:tcPr>
            <w:tcW w:w="7087" w:type="dxa"/>
            <w:vAlign w:val="center"/>
          </w:tcPr>
          <w:p w14:paraId="33FB74F8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lang w:val="en-US" w:eastAsia="zh-CN"/>
              </w:rPr>
              <w:t>许劭阳 蒙天成 钱逸群</w:t>
            </w:r>
          </w:p>
        </w:tc>
      </w:tr>
      <w:tr w14:paraId="0E5B05DE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2492D4F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最终演示模型</w:t>
            </w:r>
          </w:p>
        </w:tc>
        <w:tc>
          <w:tcPr>
            <w:tcW w:w="7087" w:type="dxa"/>
            <w:vAlign w:val="center"/>
          </w:tcPr>
          <w:p w14:paraId="7450666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10x10 轻量策略-价值模型（模型文件见 models/）</w:t>
            </w:r>
          </w:p>
        </w:tc>
      </w:tr>
      <w:tr w14:paraId="09AEDA74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07E7EA76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运行</w:t>
            </w:r>
            <w:r>
              <w:rPr>
                <w:rFonts w:hint="eastAsia" w:ascii="宋体" w:hAnsi="宋体" w:cs="宋体"/>
                <w:b w:val="0"/>
                <w:sz w:val="18"/>
                <w:lang w:val="en-US" w:eastAsia="zh-CN"/>
              </w:rPr>
              <w:t>演示</w:t>
            </w:r>
          </w:p>
        </w:tc>
        <w:tc>
          <w:tcPr>
            <w:tcW w:w="7087" w:type="dxa"/>
            <w:vAlign w:val="center"/>
          </w:tcPr>
          <w:p w14:paraId="55C51FBC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python play_gomoku_10x10.py --playouts 80</w:t>
            </w:r>
          </w:p>
        </w:tc>
      </w:tr>
      <w:tr w14:paraId="05B5FD8D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1" w:type="dxa"/>
            <w:vAlign w:val="center"/>
          </w:tcPr>
          <w:p w14:paraId="4025391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完成日期</w:t>
            </w:r>
          </w:p>
        </w:tc>
        <w:tc>
          <w:tcPr>
            <w:tcW w:w="7087" w:type="dxa"/>
            <w:vAlign w:val="center"/>
          </w:tcPr>
          <w:p w14:paraId="51DA939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</w:rPr>
              <w:t>2026 年 5 月</w:t>
            </w:r>
          </w:p>
        </w:tc>
      </w:tr>
    </w:tbl>
    <w:p w14:paraId="3F07C285">
      <w:pPr>
        <w:spacing w:after="20"/>
        <w:rPr>
          <w:rFonts w:hint="eastAsia" w:ascii="宋体" w:hAnsi="宋体" w:eastAsia="宋体" w:cs="宋体"/>
        </w:rPr>
      </w:pPr>
    </w:p>
    <w:p w14:paraId="56BD6F00">
      <w:pPr>
        <w:pStyle w:val="3"/>
        <w:keepNext/>
        <w:spacing w:before="8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F4E79"/>
          <w:sz w:val="30"/>
        </w:rPr>
        <w:t>摘要</w:t>
      </w:r>
    </w:p>
    <w:p w14:paraId="5CD666D3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本报告围绕 AlphaGo 与围棋 AI 家族展开，说明问题定义、研究意义、关键技术、典型案例、争议挑战与小组观点。根据演示需求</w:t>
      </w:r>
      <w:r>
        <w:rPr>
          <w:rFonts w:hint="eastAsia" w:ascii="宋体" w:hAnsi="宋体" w:cs="宋体"/>
          <w:b w:val="0"/>
          <w:sz w:val="21"/>
          <w:lang w:val="en-US" w:eastAsia="zh-CN"/>
        </w:rPr>
        <w:t>以及根据已有的开源项目</w:t>
      </w:r>
      <w:r>
        <w:rPr>
          <w:rFonts w:hint="eastAsia" w:ascii="宋体" w:hAnsi="宋体" w:eastAsia="宋体" w:cs="宋体"/>
          <w:b w:val="0"/>
          <w:sz w:val="21"/>
        </w:rPr>
        <w:t>，本次不再停留在 8x8 预训练模型，而是新增 10x10 五子棋轻量策略-价值模型，并通过自我对弈进行训练。</w:t>
      </w:r>
    </w:p>
    <w:p w14:paraId="550CD15A">
      <w:pPr>
        <w:spacing w:after="100" w:line="300" w:lineRule="auto"/>
        <w:ind w:firstLine="42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 w:val="0"/>
          <w:sz w:val="21"/>
        </w:rPr>
        <w:t>实验保留 AlphaZero 的核心接口：策略-价值函数输出动作先验和局面价值，MCTS 在搜索树上改进策略，自我对弈生成训练标签。</w:t>
      </w:r>
      <w:r>
        <w:rPr>
          <w:rFonts w:hint="eastAsia" w:ascii="宋体" w:hAnsi="宋体" w:eastAsia="宋体" w:cs="宋体"/>
          <w:b w:val="0"/>
          <w:sz w:val="21"/>
          <w:lang w:val="en-US" w:eastAsia="zh-CN"/>
        </w:rPr>
        <w:t>本次实验复现的</w:t>
      </w:r>
      <w:r>
        <w:rPr>
          <w:rFonts w:hint="eastAsia" w:ascii="宋体" w:hAnsi="宋体" w:eastAsia="宋体" w:cs="宋体"/>
          <w:b w:val="0"/>
          <w:sz w:val="21"/>
        </w:rPr>
        <w:t>10x10 版本采用可训练的图模式特征模型代替 CNN，使训练、评估和人机对弈都能在普通 CPU 上完成。</w:t>
      </w:r>
    </w:p>
    <w:tbl>
      <w:tblPr>
        <w:tblStyle w:val="33"/>
        <w:tblW w:w="0" w:type="auto"/>
        <w:tblInd w:w="0" w:type="dxa"/>
        <w:tblBorders>
          <w:top w:val="single" w:color="AAB8C7" w:sz="6" w:space="0"/>
          <w:left w:val="single" w:color="AAB8C7" w:sz="6" w:space="0"/>
          <w:bottom w:val="single" w:color="AAB8C7" w:sz="6" w:space="0"/>
          <w:right w:val="single" w:color="AAB8C7" w:sz="6" w:space="0"/>
          <w:insideH w:val="single" w:color="AAB8C7" w:sz="6" w:space="0"/>
          <w:insideV w:val="single" w:color="AAB8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1"/>
        <w:gridCol w:w="7938"/>
      </w:tblGrid>
      <w:tr w14:paraId="0021B63F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2481" w:type="dxa"/>
            <w:shd w:val="clear" w:color="auto" w:fill="DDEBF7"/>
            <w:vAlign w:val="center"/>
          </w:tcPr>
          <w:p w14:paraId="00A45C5A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要求</w:t>
            </w:r>
          </w:p>
        </w:tc>
        <w:tc>
          <w:tcPr>
            <w:tcW w:w="7938" w:type="dxa"/>
            <w:shd w:val="clear" w:color="auto" w:fill="DDEBF7"/>
            <w:vAlign w:val="center"/>
          </w:tcPr>
          <w:p w14:paraId="61C1F5AE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对应内容</w:t>
            </w:r>
          </w:p>
        </w:tc>
      </w:tr>
      <w:tr w14:paraId="1536FCF4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2481" w:type="dxa"/>
            <w:vAlign w:val="center"/>
          </w:tcPr>
          <w:p w14:paraId="1DBBCC4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棋盘与演示</w:t>
            </w:r>
          </w:p>
        </w:tc>
        <w:tc>
          <w:tcPr>
            <w:tcW w:w="7938" w:type="dxa"/>
            <w:vAlign w:val="center"/>
          </w:tcPr>
          <w:p w14:paraId="758D7AB5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10x10，行号从上到下 1-10，列号从左到右 1-10</w:t>
            </w:r>
          </w:p>
        </w:tc>
      </w:tr>
      <w:tr w14:paraId="24D87B2E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2481" w:type="dxa"/>
            <w:vAlign w:val="center"/>
          </w:tcPr>
          <w:p w14:paraId="292CBA30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模型训练</w:t>
            </w:r>
          </w:p>
        </w:tc>
        <w:tc>
          <w:tcPr>
            <w:tcW w:w="7938" w:type="dxa"/>
            <w:vAlign w:val="center"/>
          </w:tcPr>
          <w:p w14:paraId="26F56748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24 局自我对弈、451 条训练样本，保存 lightweight_policy_10x10.json</w:t>
            </w:r>
          </w:p>
        </w:tc>
      </w:tr>
      <w:tr w14:paraId="66FC028D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2481" w:type="dxa"/>
            <w:vAlign w:val="center"/>
          </w:tcPr>
          <w:p w14:paraId="0D277D41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专业评估</w:t>
            </w:r>
          </w:p>
        </w:tc>
        <w:tc>
          <w:tcPr>
            <w:tcW w:w="7938" w:type="dxa"/>
            <w:vAlign w:val="center"/>
          </w:tcPr>
          <w:p w14:paraId="7994C59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随机基线、战术启发式基线、搜索次数敏感性、训练日志分析</w:t>
            </w:r>
          </w:p>
        </w:tc>
      </w:tr>
      <w:tr w14:paraId="7D6E1C22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481" w:type="dxa"/>
            <w:vAlign w:val="center"/>
          </w:tcPr>
          <w:p w14:paraId="5D50435B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图文展示</w:t>
            </w:r>
          </w:p>
        </w:tc>
        <w:tc>
          <w:tcPr>
            <w:tcW w:w="7938" w:type="dxa"/>
            <w:vAlign w:val="center"/>
          </w:tcPr>
          <w:p w14:paraId="5DCD91E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棋盘坐标图、图论路径图、MCTS 搜索树图、训练曲线和评估图</w:t>
            </w:r>
          </w:p>
        </w:tc>
      </w:tr>
    </w:tbl>
    <w:p w14:paraId="3BC99983">
      <w:pPr>
        <w:spacing w:after="20"/>
        <w:rPr>
          <w:rFonts w:hint="eastAsia" w:ascii="宋体" w:hAnsi="宋体" w:eastAsia="宋体" w:cs="宋体"/>
        </w:rPr>
      </w:pPr>
    </w:p>
    <w:p w14:paraId="5AB0DFF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C5D1227">
      <w:pPr>
        <w:pStyle w:val="3"/>
        <w:keepNext/>
        <w:spacing w:before="8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F4E79"/>
          <w:sz w:val="30"/>
        </w:rPr>
        <w:t>1. 问题定义与研究意义</w:t>
      </w:r>
    </w:p>
    <w:p w14:paraId="5639F00B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围棋和五子棋都属于完全信息、零和、离散动作的序贯决策问题。给定棋盘局面，智能体需要在合法落子中选择最优动作，使长期胜率或最终收益最大化。难点在于局部战斗和全局布局相互影响，当前一步的价值往往要经过许多手之后才显现。</w:t>
      </w:r>
    </w:p>
    <w:p w14:paraId="3462686A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从人工智能角度看，这类棋类问题的核心不是“把棋谱存下来”，而是在巨大状态空间中进行近似规划。围棋 19x19 棋盘有极高的分支因子，五子棋虽然规则更简单，但同样存在长程依赖、攻防转换和局部威胁组合。本报告用 10x10 五子棋作为可运行复现实验，是因为它保留了棋盘图搜索、策略评估和自我对弈训练等关键结构，同时训练成本更适合课堂演示。</w:t>
      </w:r>
    </w:p>
    <w:p w14:paraId="716BB11E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AlphaGo 的意义不只是战胜人类棋手，而是把长期依赖经验和直觉的棋类决策转化为可学习、可搜索、可迭代改进的计算过程。DeepMind 官方资料把 Go 称为长期 AI 挑战；Nature 2016 论文将策略网络、价值网络和树搜索结合起来，推动了深度强化学习在复杂决策任务中的应用。</w:t>
      </w:r>
    </w:p>
    <w:tbl>
      <w:tblPr>
        <w:tblStyle w:val="33"/>
        <w:tblW w:w="0" w:type="auto"/>
        <w:tblInd w:w="0" w:type="dxa"/>
        <w:tblBorders>
          <w:top w:val="single" w:color="AAB8C7" w:sz="6" w:space="0"/>
          <w:left w:val="single" w:color="AAB8C7" w:sz="6" w:space="0"/>
          <w:bottom w:val="single" w:color="AAB8C7" w:sz="6" w:space="0"/>
          <w:right w:val="single" w:color="AAB8C7" w:sz="6" w:space="0"/>
          <w:insideH w:val="single" w:color="AAB8C7" w:sz="6" w:space="0"/>
          <w:insideV w:val="single" w:color="AAB8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9"/>
        <w:gridCol w:w="3947"/>
        <w:gridCol w:w="4183"/>
      </w:tblGrid>
      <w:tr w14:paraId="7926DE4B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649" w:type="dxa"/>
            <w:shd w:val="clear" w:color="auto" w:fill="DDEBF7"/>
            <w:vAlign w:val="center"/>
          </w:tcPr>
          <w:p w14:paraId="58402B6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建模要素</w:t>
            </w:r>
          </w:p>
        </w:tc>
        <w:tc>
          <w:tcPr>
            <w:tcW w:w="3947" w:type="dxa"/>
            <w:shd w:val="clear" w:color="auto" w:fill="DDEBF7"/>
            <w:vAlign w:val="center"/>
          </w:tcPr>
          <w:p w14:paraId="29BAA461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棋类问题中的含义</w:t>
            </w:r>
          </w:p>
        </w:tc>
        <w:tc>
          <w:tcPr>
            <w:tcW w:w="4183" w:type="dxa"/>
            <w:shd w:val="clear" w:color="auto" w:fill="DDEBF7"/>
            <w:vAlign w:val="center"/>
          </w:tcPr>
          <w:p w14:paraId="0AF8ED5B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本实验中的对应</w:t>
            </w:r>
          </w:p>
        </w:tc>
      </w:tr>
      <w:tr w14:paraId="05D84FD5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649" w:type="dxa"/>
            <w:vAlign w:val="center"/>
          </w:tcPr>
          <w:p w14:paraId="7F438197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状态</w:t>
            </w:r>
          </w:p>
        </w:tc>
        <w:tc>
          <w:tcPr>
            <w:tcW w:w="3947" w:type="dxa"/>
            <w:vAlign w:val="center"/>
          </w:tcPr>
          <w:p w14:paraId="7279682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当前棋盘、执棋方、最近落子等信息</w:t>
            </w:r>
          </w:p>
        </w:tc>
        <w:tc>
          <w:tcPr>
            <w:tcW w:w="4183" w:type="dxa"/>
            <w:vAlign w:val="center"/>
          </w:tcPr>
          <w:p w14:paraId="79711EE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10x10 Board 记录棋盘与落子历史</w:t>
            </w:r>
          </w:p>
        </w:tc>
      </w:tr>
      <w:tr w14:paraId="6ECB3B8F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649" w:type="dxa"/>
            <w:vAlign w:val="center"/>
          </w:tcPr>
          <w:p w14:paraId="1051E8F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动作</w:t>
            </w:r>
          </w:p>
        </w:tc>
        <w:tc>
          <w:tcPr>
            <w:tcW w:w="3947" w:type="dxa"/>
            <w:vAlign w:val="center"/>
          </w:tcPr>
          <w:p w14:paraId="51E29B25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在空交叉点上落下一子</w:t>
            </w:r>
          </w:p>
        </w:tc>
        <w:tc>
          <w:tcPr>
            <w:tcW w:w="4183" w:type="dxa"/>
            <w:vAlign w:val="center"/>
          </w:tcPr>
          <w:p w14:paraId="764D581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屏幕坐标采用行、列均从 1 开始</w:t>
            </w:r>
          </w:p>
        </w:tc>
      </w:tr>
      <w:tr w14:paraId="1592E056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1649" w:type="dxa"/>
            <w:vAlign w:val="center"/>
          </w:tcPr>
          <w:p w14:paraId="524B775A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策略</w:t>
            </w:r>
          </w:p>
        </w:tc>
        <w:tc>
          <w:tcPr>
            <w:tcW w:w="3947" w:type="dxa"/>
            <w:vAlign w:val="center"/>
          </w:tcPr>
          <w:p w14:paraId="1322ED5A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对各合法落子的优先级分布</w:t>
            </w:r>
          </w:p>
        </w:tc>
        <w:tc>
          <w:tcPr>
            <w:tcW w:w="4183" w:type="dxa"/>
            <w:vAlign w:val="center"/>
          </w:tcPr>
          <w:p w14:paraId="614E373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MCTS 访问次数形成训练目标</w:t>
            </w:r>
          </w:p>
        </w:tc>
      </w:tr>
      <w:tr w14:paraId="0FD31193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649" w:type="dxa"/>
            <w:vAlign w:val="center"/>
          </w:tcPr>
          <w:p w14:paraId="6D3D3A7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价值</w:t>
            </w:r>
          </w:p>
        </w:tc>
        <w:tc>
          <w:tcPr>
            <w:tcW w:w="3947" w:type="dxa"/>
            <w:vAlign w:val="center"/>
          </w:tcPr>
          <w:p w14:paraId="18D284E7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当前局面对当前方的胜负倾向</w:t>
            </w:r>
          </w:p>
        </w:tc>
        <w:tc>
          <w:tcPr>
            <w:tcW w:w="4183" w:type="dxa"/>
            <w:vAlign w:val="center"/>
          </w:tcPr>
          <w:p w14:paraId="4A764F9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终局胜负回传为价值标签</w:t>
            </w:r>
          </w:p>
        </w:tc>
      </w:tr>
    </w:tbl>
    <w:p w14:paraId="722EA802">
      <w:pPr>
        <w:spacing w:after="20"/>
        <w:rPr>
          <w:rFonts w:hint="eastAsia" w:ascii="宋体" w:hAnsi="宋体" w:eastAsia="宋体" w:cs="宋体"/>
        </w:rPr>
      </w:pPr>
    </w:p>
    <w:p w14:paraId="36D6C514">
      <w:pPr>
        <w:pStyle w:val="3"/>
        <w:keepNext/>
        <w:spacing w:before="80" w:after="160"/>
        <w:rPr>
          <w:rFonts w:hint="eastAsia" w:ascii="宋体" w:hAnsi="宋体" w:eastAsia="宋体" w:cs="宋体"/>
          <w:b/>
          <w:color w:val="1F4E79"/>
          <w:sz w:val="30"/>
        </w:rPr>
      </w:pPr>
    </w:p>
    <w:p w14:paraId="0471CCD0">
      <w:pPr>
        <w:pStyle w:val="3"/>
        <w:keepNext/>
        <w:spacing w:before="8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F4E79"/>
          <w:sz w:val="30"/>
        </w:rPr>
        <w:t>2. 围棋 AI 家族与典型案例</w:t>
      </w:r>
    </w:p>
    <w:p w14:paraId="357FA4AB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围棋 AI 的发展可以看作三条线索的汇合：第一是用神经网络学习人类棋谱中的局面模式，第二是用强化学习通过自我对弈超越已有经验，第三是用蒙特卡洛树搜索把模型判断转化为可验证的局面推演。后续系统在是否使用人类棋谱、是否开源、是否加入规则和目数辅助预测等方面形成了不同分支。</w:t>
      </w:r>
    </w:p>
    <w:tbl>
      <w:tblPr>
        <w:tblStyle w:val="33"/>
        <w:tblW w:w="10618" w:type="dxa"/>
        <w:tblInd w:w="0" w:type="dxa"/>
        <w:tblBorders>
          <w:top w:val="single" w:color="AAB8C7" w:sz="6" w:space="0"/>
          <w:left w:val="single" w:color="AAB8C7" w:sz="6" w:space="0"/>
          <w:bottom w:val="single" w:color="AAB8C7" w:sz="6" w:space="0"/>
          <w:right w:val="single" w:color="AAB8C7" w:sz="6" w:space="0"/>
          <w:insideH w:val="single" w:color="AAB8C7" w:sz="6" w:space="0"/>
          <w:insideV w:val="single" w:color="AAB8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2"/>
        <w:gridCol w:w="1115"/>
        <w:gridCol w:w="4039"/>
        <w:gridCol w:w="3602"/>
      </w:tblGrid>
      <w:tr w14:paraId="15E791F1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62" w:type="dxa"/>
            <w:shd w:val="clear" w:color="auto" w:fill="DDEBF7"/>
            <w:vAlign w:val="center"/>
          </w:tcPr>
          <w:p w14:paraId="6E6F73A1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5"/>
              </w:rPr>
              <w:t>系统/事件</w:t>
            </w:r>
          </w:p>
        </w:tc>
        <w:tc>
          <w:tcPr>
            <w:tcW w:w="1115" w:type="dxa"/>
            <w:shd w:val="clear" w:color="auto" w:fill="DDEBF7"/>
            <w:vAlign w:val="center"/>
          </w:tcPr>
          <w:p w14:paraId="45A35BAA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5"/>
              </w:rPr>
              <w:t>时间</w:t>
            </w:r>
          </w:p>
        </w:tc>
        <w:tc>
          <w:tcPr>
            <w:tcW w:w="4039" w:type="dxa"/>
            <w:shd w:val="clear" w:color="auto" w:fill="DDEBF7"/>
            <w:vAlign w:val="center"/>
          </w:tcPr>
          <w:p w14:paraId="1D02B61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5"/>
              </w:rPr>
              <w:t>核心机制</w:t>
            </w:r>
          </w:p>
        </w:tc>
        <w:tc>
          <w:tcPr>
            <w:tcW w:w="3602" w:type="dxa"/>
            <w:shd w:val="clear" w:color="auto" w:fill="DDEBF7"/>
            <w:vAlign w:val="center"/>
          </w:tcPr>
          <w:p w14:paraId="03A22A9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5"/>
              </w:rPr>
              <w:t>代表意义</w:t>
            </w:r>
          </w:p>
        </w:tc>
      </w:tr>
      <w:tr w14:paraId="1DF16483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862" w:type="dxa"/>
            <w:vAlign w:val="center"/>
          </w:tcPr>
          <w:p w14:paraId="74EC88EE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AlphaGo</w:t>
            </w:r>
          </w:p>
        </w:tc>
        <w:tc>
          <w:tcPr>
            <w:tcW w:w="1115" w:type="dxa"/>
            <w:vAlign w:val="center"/>
          </w:tcPr>
          <w:p w14:paraId="10DB12D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2015-2016</w:t>
            </w:r>
          </w:p>
        </w:tc>
        <w:tc>
          <w:tcPr>
            <w:tcW w:w="4039" w:type="dxa"/>
            <w:vAlign w:val="center"/>
          </w:tcPr>
          <w:p w14:paraId="1573044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监督学习 + 自我对弈强化学习 + 策略/价值网络 + MCTS</w:t>
            </w:r>
          </w:p>
        </w:tc>
        <w:tc>
          <w:tcPr>
            <w:tcW w:w="3602" w:type="dxa"/>
            <w:vAlign w:val="center"/>
          </w:tcPr>
          <w:p w14:paraId="4FB17F2B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战胜樊麾、李世石，成为深度强化学习里程碑</w:t>
            </w:r>
          </w:p>
        </w:tc>
      </w:tr>
      <w:tr w14:paraId="490A5E35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62" w:type="dxa"/>
            <w:vAlign w:val="center"/>
          </w:tcPr>
          <w:p w14:paraId="0E917960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AlphaGo Zero</w:t>
            </w:r>
          </w:p>
        </w:tc>
        <w:tc>
          <w:tcPr>
            <w:tcW w:w="1115" w:type="dxa"/>
            <w:vAlign w:val="center"/>
          </w:tcPr>
          <w:p w14:paraId="2536753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2017</w:t>
            </w:r>
          </w:p>
        </w:tc>
        <w:tc>
          <w:tcPr>
            <w:tcW w:w="4039" w:type="dxa"/>
            <w:vAlign w:val="center"/>
          </w:tcPr>
          <w:p w14:paraId="05147A6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只从规则出发，自我对弈训练单一策略-价值网络</w:t>
            </w:r>
          </w:p>
        </w:tc>
        <w:tc>
          <w:tcPr>
            <w:tcW w:w="3602" w:type="dxa"/>
            <w:vAlign w:val="center"/>
          </w:tcPr>
          <w:p w14:paraId="0F3E94A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证明强棋力不依赖记忆人类棋谱</w:t>
            </w:r>
          </w:p>
        </w:tc>
      </w:tr>
      <w:tr w14:paraId="370D63DF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862" w:type="dxa"/>
            <w:vAlign w:val="center"/>
          </w:tcPr>
          <w:p w14:paraId="0F93182B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AlphaZero</w:t>
            </w:r>
          </w:p>
        </w:tc>
        <w:tc>
          <w:tcPr>
            <w:tcW w:w="1115" w:type="dxa"/>
            <w:vAlign w:val="center"/>
          </w:tcPr>
          <w:p w14:paraId="4387C437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2017</w:t>
            </w:r>
          </w:p>
        </w:tc>
        <w:tc>
          <w:tcPr>
            <w:tcW w:w="4039" w:type="dxa"/>
            <w:vAlign w:val="center"/>
          </w:tcPr>
          <w:p w14:paraId="77EEBB97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把 AlphaGo Zero 思路推广到国际象棋、日本将棋和围棋</w:t>
            </w:r>
          </w:p>
        </w:tc>
        <w:tc>
          <w:tcPr>
            <w:tcW w:w="3602" w:type="dxa"/>
            <w:vAlign w:val="center"/>
          </w:tcPr>
          <w:p w14:paraId="6F1F3A1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展示规则驱动自我对弈方法的通用性</w:t>
            </w:r>
          </w:p>
        </w:tc>
      </w:tr>
      <w:tr w14:paraId="51C792F9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1862" w:type="dxa"/>
            <w:vAlign w:val="center"/>
          </w:tcPr>
          <w:p w14:paraId="0139DAFC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Leela Zero</w:t>
            </w:r>
          </w:p>
        </w:tc>
        <w:tc>
          <w:tcPr>
            <w:tcW w:w="1115" w:type="dxa"/>
            <w:vAlign w:val="center"/>
          </w:tcPr>
          <w:p w14:paraId="2C37138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2017 起</w:t>
            </w:r>
          </w:p>
        </w:tc>
        <w:tc>
          <w:tcPr>
            <w:tcW w:w="4039" w:type="dxa"/>
            <w:vAlign w:val="center"/>
          </w:tcPr>
          <w:p w14:paraId="463368E8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开源复现 AlphaGo Zero 路线，社区分布式训练</w:t>
            </w:r>
          </w:p>
        </w:tc>
        <w:tc>
          <w:tcPr>
            <w:tcW w:w="3602" w:type="dxa"/>
            <w:vAlign w:val="center"/>
          </w:tcPr>
          <w:p w14:paraId="1FBE3BB1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降低理解神经网络 + MCTS 的门槛</w:t>
            </w:r>
          </w:p>
        </w:tc>
      </w:tr>
      <w:tr w14:paraId="3E09021C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</w:trPr>
        <w:tc>
          <w:tcPr>
            <w:tcW w:w="1862" w:type="dxa"/>
            <w:vAlign w:val="center"/>
          </w:tcPr>
          <w:p w14:paraId="3AB05E25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KataGo</w:t>
            </w:r>
          </w:p>
        </w:tc>
        <w:tc>
          <w:tcPr>
            <w:tcW w:w="1115" w:type="dxa"/>
            <w:vAlign w:val="center"/>
          </w:tcPr>
          <w:p w14:paraId="53BD661C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2019 起</w:t>
            </w:r>
          </w:p>
        </w:tc>
        <w:tc>
          <w:tcPr>
            <w:tcW w:w="4039" w:type="dxa"/>
            <w:vAlign w:val="center"/>
          </w:tcPr>
          <w:p w14:paraId="2E30F130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加入目数、地盘、规则等辅助预测</w:t>
            </w:r>
          </w:p>
        </w:tc>
        <w:tc>
          <w:tcPr>
            <w:tcW w:w="3602" w:type="dxa"/>
            <w:vAlign w:val="center"/>
          </w:tcPr>
          <w:p w14:paraId="4B517A7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更适合复盘、教学和实战分析</w:t>
            </w:r>
          </w:p>
        </w:tc>
      </w:tr>
    </w:tbl>
    <w:p w14:paraId="0EFFF399">
      <w:pPr>
        <w:spacing w:after="20"/>
        <w:rPr>
          <w:rFonts w:hint="eastAsia" w:ascii="宋体" w:hAnsi="宋体" w:eastAsia="宋体" w:cs="宋体"/>
        </w:rPr>
      </w:pPr>
    </w:p>
    <w:p w14:paraId="0F71C9A4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李世石五番棋第二局第 37 手常被视为“非人类直觉”的代表，第四局李世石第 78 手也说明人类仍可通过高创造性局部手段制造困难。这些案例让“AI 是否只是背棋谱”“AI 是否有创造性”“胜率最大化是否等于人类理解的好棋”等问题进入公众讨论，也为本实验的复现部分提供了参照：我们关注的不是单步下法多么神奇，而是模型、搜索和训练闭环如何共同产生决策。</w:t>
      </w:r>
    </w:p>
    <w:p w14:paraId="74FD33A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2A9B3C5">
      <w:pPr>
        <w:pStyle w:val="3"/>
        <w:keepNext/>
        <w:spacing w:before="80" w:after="160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/>
          <w:color w:val="1F4E79"/>
          <w:sz w:val="30"/>
        </w:rPr>
        <w:t>3. 技术原理：策略-价值网络、MCTS 与图结构</w:t>
      </w:r>
    </w:p>
    <w:p w14:paraId="3929B526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这一路线可以概括为“网络给出直觉，搜索负责深思”。策略函数给出每个合法落子的先验概率，价值函数估计当前局面对当前方的胜负价值；MCTS 反复选择、扩展、评估和回传，用访问次数得到更稳健的搜索策略。</w:t>
      </w:r>
    </w:p>
    <w:p w14:paraId="1AA7478D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在 AlphaGo/AlphaZero 框架中，策略输出不是最终答案，而是搜索的先验；价值输出也不是绝对真理，而是对叶节点局面的快速估计。两者结合后，系统既能避免纯搜索的巨大计算量，也能避免单纯神经网络“一步判断”缺乏推演的问题。这种结构体现了学习与规划的结合，是棋类 AI 能从规则走向高水平决策的关键。</w:t>
      </w:r>
    </w:p>
    <w:tbl>
      <w:tblPr>
        <w:tblStyle w:val="33"/>
        <w:tblW w:w="0" w:type="auto"/>
        <w:tblInd w:w="0" w:type="dxa"/>
        <w:tblBorders>
          <w:top w:val="single" w:color="AAB8C7" w:sz="6" w:space="0"/>
          <w:left w:val="single" w:color="AAB8C7" w:sz="6" w:space="0"/>
          <w:bottom w:val="single" w:color="AAB8C7" w:sz="6" w:space="0"/>
          <w:right w:val="single" w:color="AAB8C7" w:sz="6" w:space="0"/>
          <w:insideH w:val="single" w:color="AAB8C7" w:sz="6" w:space="0"/>
          <w:insideV w:val="single" w:color="AAB8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5"/>
        <w:gridCol w:w="4040"/>
        <w:gridCol w:w="4474"/>
      </w:tblGrid>
      <w:tr w14:paraId="2E3D8904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865" w:type="dxa"/>
            <w:shd w:val="clear" w:color="auto" w:fill="DDEBF7"/>
            <w:vAlign w:val="center"/>
          </w:tcPr>
          <w:p w14:paraId="3EB1A28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技术环节</w:t>
            </w:r>
          </w:p>
        </w:tc>
        <w:tc>
          <w:tcPr>
            <w:tcW w:w="4040" w:type="dxa"/>
            <w:shd w:val="clear" w:color="auto" w:fill="DDEBF7"/>
            <w:vAlign w:val="center"/>
          </w:tcPr>
          <w:p w14:paraId="7510F56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作用</w:t>
            </w:r>
          </w:p>
        </w:tc>
        <w:tc>
          <w:tcPr>
            <w:tcW w:w="4474" w:type="dxa"/>
            <w:shd w:val="clear" w:color="auto" w:fill="DDEBF7"/>
            <w:vAlign w:val="center"/>
          </w:tcPr>
          <w:p w14:paraId="7AA4C65E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本次 10x10 复现方式</w:t>
            </w:r>
          </w:p>
        </w:tc>
      </w:tr>
      <w:tr w14:paraId="1689D8E1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865" w:type="dxa"/>
            <w:vAlign w:val="center"/>
          </w:tcPr>
          <w:p w14:paraId="2E24915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状态表示</w:t>
            </w:r>
          </w:p>
        </w:tc>
        <w:tc>
          <w:tcPr>
            <w:tcW w:w="4040" w:type="dxa"/>
            <w:vAlign w:val="center"/>
          </w:tcPr>
          <w:p w14:paraId="62DA9A4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从当前方视角描述棋盘、最近落子和执棋方</w:t>
            </w:r>
          </w:p>
        </w:tc>
        <w:tc>
          <w:tcPr>
            <w:tcW w:w="4474" w:type="dxa"/>
            <w:vAlign w:val="center"/>
          </w:tcPr>
          <w:p w14:paraId="2F85AF96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Board 保存棋盘；轻量模型提取路径、开放端、中心等特征</w:t>
            </w:r>
          </w:p>
        </w:tc>
      </w:tr>
      <w:tr w14:paraId="18AB1E53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865" w:type="dxa"/>
            <w:vAlign w:val="center"/>
          </w:tcPr>
          <w:p w14:paraId="5EB8204C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策略-价值模型</w:t>
            </w:r>
          </w:p>
        </w:tc>
        <w:tc>
          <w:tcPr>
            <w:tcW w:w="4040" w:type="dxa"/>
            <w:vAlign w:val="center"/>
          </w:tcPr>
          <w:p w14:paraId="33353049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输出落子先验 p 和局面价值 v</w:t>
            </w:r>
          </w:p>
        </w:tc>
        <w:tc>
          <w:tcPr>
            <w:tcW w:w="4474" w:type="dxa"/>
            <w:vAlign w:val="center"/>
          </w:tcPr>
          <w:p w14:paraId="75D150E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LightweightPolicyValueNet，可训练特征权重</w:t>
            </w:r>
          </w:p>
        </w:tc>
      </w:tr>
      <w:tr w14:paraId="11966CF3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1865" w:type="dxa"/>
            <w:vAlign w:val="center"/>
          </w:tcPr>
          <w:p w14:paraId="18EDE2DC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MCTS/PUCT</w:t>
            </w:r>
          </w:p>
        </w:tc>
        <w:tc>
          <w:tcPr>
            <w:tcW w:w="4040" w:type="dxa"/>
            <w:vAlign w:val="center"/>
          </w:tcPr>
          <w:p w14:paraId="3804B30B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用 Q+U 在搜索树中兼顾利用和探索</w:t>
            </w:r>
          </w:p>
        </w:tc>
        <w:tc>
          <w:tcPr>
            <w:tcW w:w="4474" w:type="dxa"/>
            <w:vAlign w:val="center"/>
          </w:tcPr>
          <w:p w14:paraId="6B2346C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沿用 mcts_alphaZero.py 的选择、扩展、回传逻辑</w:t>
            </w:r>
          </w:p>
        </w:tc>
      </w:tr>
      <w:tr w14:paraId="1C4733FF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865" w:type="dxa"/>
            <w:vAlign w:val="center"/>
          </w:tcPr>
          <w:p w14:paraId="13DC037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自我对弈训练</w:t>
            </w:r>
          </w:p>
        </w:tc>
        <w:tc>
          <w:tcPr>
            <w:tcW w:w="4040" w:type="dxa"/>
            <w:vAlign w:val="center"/>
          </w:tcPr>
          <w:p w14:paraId="1AA21171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用当前模型生成 (s, π, z) 样本再更新模型</w:t>
            </w:r>
          </w:p>
        </w:tc>
        <w:tc>
          <w:tcPr>
            <w:tcW w:w="4474" w:type="dxa"/>
            <w:vAlign w:val="center"/>
          </w:tcPr>
          <w:p w14:paraId="2DA1D501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train_lightweight_10x10.py 完成 24 局训练</w:t>
            </w:r>
          </w:p>
        </w:tc>
      </w:tr>
    </w:tbl>
    <w:p w14:paraId="4D7E05A5">
      <w:pPr>
        <w:spacing w:after="20"/>
        <w:rPr>
          <w:rFonts w:hint="eastAsia" w:ascii="宋体" w:hAnsi="宋体" w:eastAsia="宋体" w:cs="宋体"/>
        </w:rPr>
      </w:pPr>
    </w:p>
    <w:p w14:paraId="69C37F76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本次 10x10 复现没有使用深度卷积网络，而是用可训练的图模式特征模型近似策略-价值函数。模型显式提取连续棋子长度、开放端数量、立即成五、阻断对方成五、中心控制和近邻密度等特征；这些特征对应五子棋中的基本战术概念，适合在无 GPU、无深度学习框架的环境中完成可解释复现。</w:t>
      </w:r>
    </w:p>
    <w:p w14:paraId="5D76F01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975985" cy="3087370"/>
            <wp:effectExtent l="0" t="0" r="571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2139C">
      <w:pPr>
        <w:spacing w:after="100" w:line="269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A5A5A"/>
          <w:sz w:val="18"/>
        </w:rPr>
        <w:t>图 1  图论视角：棋盘交叉点是节点，横/竖/斜相邻关系是边，五连胜对应同色路径。</w:t>
      </w:r>
    </w:p>
    <w:p w14:paraId="079B9F7E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从图论角度看，五子棋可建模为棋盘图 G=(V,E)。一个五连就是同色棋子在某一方向上形成 5 个节点、4 条边的连续路径；活三、冲四等威胁则是尚未闭合但可扩展的路径结构。模型学习这些局部图模式，MCTS 评估路径扩展后的全局胜率。</w:t>
      </w:r>
    </w:p>
    <w:p w14:paraId="6D30732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68DFF45">
      <w:pPr>
        <w:pStyle w:val="3"/>
        <w:keepNext/>
        <w:spacing w:before="80" w:after="160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/>
          <w:color w:val="1F4E79"/>
          <w:sz w:val="30"/>
        </w:rPr>
        <w:t>4. MCTS 与训练闭环</w:t>
      </w:r>
    </w:p>
    <w:p w14:paraId="6D6F675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975985" cy="3187065"/>
            <wp:effectExtent l="0" t="0" r="571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FEC9">
      <w:pPr>
        <w:spacing w:after="100" w:line="269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A5A5A"/>
          <w:sz w:val="18"/>
        </w:rPr>
        <w:t>图 2  MCTS 在搜索树上用 Q+U 选择分支，并把叶节点价值回传到祖先节点。</w:t>
      </w:r>
    </w:p>
    <w:p w14:paraId="66F229FE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MCTS 的选择公式可写成 Q(s,a)+U(s,a)。Q 表示该动作历史模拟的平均价值，U 与策略先验 P(s,a)、父节点访问次数 N(s) 和子节点访问次数 N(s,a) 有关。先验高但访问少的动作会获得探索奖励，多次模拟后的访问次数分布就是训练目标 π。</w:t>
      </w:r>
    </w:p>
    <w:p w14:paraId="42904576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一次搜索通常包含四个阶段：选择阶段沿着 Q+U 最大的边向下走；扩展阶段为新局面加入合法子节点；评估阶段调用策略-价值模型得到先验概率和局面价值；回传阶段把价值沿路径反向更新到祖先节点。重复多次后，根节点的访问次数分布比单次网络输出更稳定，因此可以作为更强的改进策略。</w:t>
      </w:r>
    </w:p>
    <w:tbl>
      <w:tblPr>
        <w:tblStyle w:val="33"/>
        <w:tblW w:w="0" w:type="auto"/>
        <w:tblInd w:w="0" w:type="dxa"/>
        <w:tblBorders>
          <w:top w:val="single" w:color="AAB8C7" w:sz="6" w:space="0"/>
          <w:left w:val="single" w:color="AAB8C7" w:sz="6" w:space="0"/>
          <w:bottom w:val="single" w:color="AAB8C7" w:sz="6" w:space="0"/>
          <w:right w:val="single" w:color="AAB8C7" w:sz="6" w:space="0"/>
          <w:insideH w:val="single" w:color="AAB8C7" w:sz="6" w:space="0"/>
          <w:insideV w:val="single" w:color="AAB8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736"/>
        <w:gridCol w:w="4479"/>
      </w:tblGrid>
      <w:tr w14:paraId="2B1C68DD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DEBF7"/>
            <w:vAlign w:val="center"/>
          </w:tcPr>
          <w:p w14:paraId="574BAD16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项目</w:t>
            </w:r>
          </w:p>
        </w:tc>
        <w:tc>
          <w:tcPr>
            <w:tcW w:w="3515" w:type="dxa"/>
            <w:shd w:val="clear" w:color="auto" w:fill="DDEBF7"/>
            <w:vAlign w:val="center"/>
          </w:tcPr>
          <w:p w14:paraId="723A0B2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表达式</w:t>
            </w:r>
          </w:p>
        </w:tc>
        <w:tc>
          <w:tcPr>
            <w:tcW w:w="4479" w:type="dxa"/>
            <w:shd w:val="clear" w:color="auto" w:fill="DDEBF7"/>
            <w:vAlign w:val="center"/>
          </w:tcPr>
          <w:p w14:paraId="50668A7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含义</w:t>
            </w:r>
          </w:p>
        </w:tc>
      </w:tr>
      <w:tr w14:paraId="772FCDB0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4784D26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探索项 U</w:t>
            </w:r>
          </w:p>
        </w:tc>
        <w:tc>
          <w:tcPr>
            <w:tcW w:w="3515" w:type="dxa"/>
            <w:vAlign w:val="center"/>
          </w:tcPr>
          <w:p w14:paraId="12E429BA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U(s,a)=c_puct·P(s,a)·sqrt(N(s))/(1+N(s,a))</w:t>
            </w:r>
          </w:p>
        </w:tc>
        <w:tc>
          <w:tcPr>
            <w:tcW w:w="4479" w:type="dxa"/>
            <w:vAlign w:val="center"/>
          </w:tcPr>
          <w:p w14:paraId="14E2A92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先验概率越高、访问次数越少，探索奖励越大</w:t>
            </w:r>
          </w:p>
        </w:tc>
      </w:tr>
      <w:tr w14:paraId="730802F1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591A7E2B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动作选择</w:t>
            </w:r>
          </w:p>
        </w:tc>
        <w:tc>
          <w:tcPr>
            <w:tcW w:w="3515" w:type="dxa"/>
            <w:vAlign w:val="center"/>
          </w:tcPr>
          <w:p w14:paraId="540508E8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a*=argmax_a[Q(s,a)+U(s,a)]</w:t>
            </w:r>
          </w:p>
        </w:tc>
        <w:tc>
          <w:tcPr>
            <w:tcW w:w="4479" w:type="dxa"/>
            <w:vAlign w:val="center"/>
          </w:tcPr>
          <w:p w14:paraId="76F6AD37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在平均价值 Q 和探索项 U 之间折中</w:t>
            </w:r>
          </w:p>
        </w:tc>
      </w:tr>
      <w:tr w14:paraId="04E34D7F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5DA2BE58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策略损失</w:t>
            </w:r>
          </w:p>
        </w:tc>
        <w:tc>
          <w:tcPr>
            <w:tcW w:w="3515" w:type="dxa"/>
            <w:vAlign w:val="center"/>
          </w:tcPr>
          <w:p w14:paraId="767FBD9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policy_loss=-Σπ(a|s)log p(a|s)</w:t>
            </w:r>
          </w:p>
        </w:tc>
        <w:tc>
          <w:tcPr>
            <w:tcW w:w="4479" w:type="dxa"/>
            <w:vAlign w:val="center"/>
          </w:tcPr>
          <w:p w14:paraId="43ABDE5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让模型预测接近 MCTS 访问次数分布</w:t>
            </w:r>
          </w:p>
        </w:tc>
      </w:tr>
      <w:tr w14:paraId="6964CAB6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center"/>
          </w:tcPr>
          <w:p w14:paraId="6D7F383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价值损失</w:t>
            </w:r>
          </w:p>
        </w:tc>
        <w:tc>
          <w:tcPr>
            <w:tcW w:w="3515" w:type="dxa"/>
            <w:vAlign w:val="center"/>
          </w:tcPr>
          <w:p w14:paraId="56B11037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value_loss=(z-v)^2</w:t>
            </w:r>
          </w:p>
        </w:tc>
        <w:tc>
          <w:tcPr>
            <w:tcW w:w="4479" w:type="dxa"/>
            <w:vAlign w:val="center"/>
          </w:tcPr>
          <w:p w14:paraId="7A9F5118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让局面价值接近最终胜负结果</w:t>
            </w:r>
          </w:p>
        </w:tc>
      </w:tr>
    </w:tbl>
    <w:p w14:paraId="3F59602A">
      <w:pPr>
        <w:spacing w:after="20"/>
        <w:rPr>
          <w:rFonts w:hint="eastAsia" w:ascii="宋体" w:hAnsi="宋体" w:eastAsia="宋体" w:cs="宋体"/>
        </w:rPr>
      </w:pPr>
    </w:p>
    <w:p w14:paraId="326214EF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强化学习闭环的关键在于“搜索改进模型，模型再指导搜索”。自我对弈时，当前模型先通过 MCTS 产生更强的落子分布；对局结束后，胜负结果作为价值标签；训练脚本再用策略损失和价值损失调整权重。这样即使没有人工棋谱，模型也能从自己生成的经验中迭代。</w:t>
      </w:r>
    </w:p>
    <w:p w14:paraId="722D029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E213641">
      <w:pPr>
        <w:pStyle w:val="3"/>
        <w:keepNext/>
        <w:spacing w:before="8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F4E79"/>
          <w:sz w:val="30"/>
        </w:rPr>
        <w:t>5. 10x10 演示脚本与训练实现</w:t>
      </w:r>
    </w:p>
    <w:p w14:paraId="6E290930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实现上，演示脚本把“屏幕坐标”和“程序内部坐标”分离：用户输入的第 r 行第 c 列先被转换为 Board 使用的位置编号，再交给 MCTS 玩家搜索。这样既能保持原仓库 Board 类的接口不变，又能让展示界面符合直觉，避免原先 0-7 标签和棋盘点不对齐的问题。</w:t>
      </w:r>
    </w:p>
    <w:p w14:paraId="3C53429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609590" cy="2513330"/>
            <wp:effectExtent l="0" t="0" r="3810" b="127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251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80562">
      <w:pPr>
        <w:spacing w:after="100" w:line="269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A5A5A"/>
          <w:sz w:val="18"/>
        </w:rPr>
        <w:t>图 3  演示界面</w:t>
      </w:r>
    </w:p>
    <w:tbl>
      <w:tblPr>
        <w:tblStyle w:val="33"/>
        <w:tblW w:w="0" w:type="auto"/>
        <w:tblInd w:w="0" w:type="dxa"/>
        <w:tblBorders>
          <w:top w:val="single" w:color="AAB8C7" w:sz="6" w:space="0"/>
          <w:left w:val="single" w:color="AAB8C7" w:sz="6" w:space="0"/>
          <w:bottom w:val="single" w:color="AAB8C7" w:sz="6" w:space="0"/>
          <w:right w:val="single" w:color="AAB8C7" w:sz="6" w:space="0"/>
          <w:insideH w:val="single" w:color="AAB8C7" w:sz="6" w:space="0"/>
          <w:insideV w:val="single" w:color="AAB8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9"/>
        <w:gridCol w:w="6382"/>
      </w:tblGrid>
      <w:tr w14:paraId="752B77FC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9" w:type="dxa"/>
            <w:shd w:val="clear" w:color="auto" w:fill="DDEBF7"/>
            <w:vAlign w:val="center"/>
          </w:tcPr>
          <w:p w14:paraId="00D33E3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文件</w:t>
            </w:r>
          </w:p>
        </w:tc>
        <w:tc>
          <w:tcPr>
            <w:tcW w:w="6382" w:type="dxa"/>
            <w:shd w:val="clear" w:color="auto" w:fill="DDEBF7"/>
            <w:vAlign w:val="center"/>
          </w:tcPr>
          <w:p w14:paraId="2298F67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作用</w:t>
            </w:r>
          </w:p>
        </w:tc>
      </w:tr>
      <w:tr w14:paraId="18B09B03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9" w:type="dxa"/>
            <w:vAlign w:val="center"/>
          </w:tcPr>
          <w:p w14:paraId="5A94662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play_gomoku_10x10.py</w:t>
            </w:r>
          </w:p>
        </w:tc>
        <w:tc>
          <w:tcPr>
            <w:tcW w:w="6382" w:type="dxa"/>
            <w:vAlign w:val="center"/>
          </w:tcPr>
          <w:p w14:paraId="541B58E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最终演示脚本；支持 --playouts、--ai-first、hint</w:t>
            </w:r>
          </w:p>
        </w:tc>
      </w:tr>
      <w:tr w14:paraId="74E6C2BB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9" w:type="dxa"/>
            <w:vAlign w:val="center"/>
          </w:tcPr>
          <w:p w14:paraId="773EA78E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lightweight_policy_value_10x10.py</w:t>
            </w:r>
          </w:p>
        </w:tc>
        <w:tc>
          <w:tcPr>
            <w:tcW w:w="6382" w:type="dxa"/>
            <w:vAlign w:val="center"/>
          </w:tcPr>
          <w:p w14:paraId="49E6CA49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可训练策略-价值模型，提取五连、阻断、开放端、中心控制等特征</w:t>
            </w:r>
          </w:p>
        </w:tc>
      </w:tr>
      <w:tr w14:paraId="3CCF7ED4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9" w:type="dxa"/>
            <w:vAlign w:val="center"/>
          </w:tcPr>
          <w:p w14:paraId="5B784BF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train_lightweight_10x10.py</w:t>
            </w:r>
          </w:p>
        </w:tc>
        <w:tc>
          <w:tcPr>
            <w:tcW w:w="6382" w:type="dxa"/>
            <w:vAlign w:val="center"/>
          </w:tcPr>
          <w:p w14:paraId="2DAED455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自我对弈训练脚本，保存模型和训练日志</w:t>
            </w:r>
          </w:p>
        </w:tc>
      </w:tr>
      <w:tr w14:paraId="649FD6FE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9" w:type="dxa"/>
            <w:vAlign w:val="center"/>
          </w:tcPr>
          <w:p w14:paraId="4428854E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experiments/evaluate_10x10_model.py</w:t>
            </w:r>
          </w:p>
        </w:tc>
        <w:tc>
          <w:tcPr>
            <w:tcW w:w="6382" w:type="dxa"/>
            <w:vAlign w:val="center"/>
          </w:tcPr>
          <w:p w14:paraId="707DE9B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正式评估脚本，输出 results_10x10.json</w:t>
            </w:r>
          </w:p>
        </w:tc>
      </w:tr>
    </w:tbl>
    <w:p w14:paraId="47FCAE07">
      <w:pPr>
        <w:spacing w:after="20"/>
        <w:rPr>
          <w:rFonts w:hint="eastAsia" w:ascii="宋体" w:hAnsi="宋体" w:eastAsia="宋体" w:cs="宋体"/>
        </w:rPr>
      </w:pPr>
    </w:p>
    <w:p w14:paraId="332B8DA8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轻量策略-价值模型对每个候选落子计算一组局部图特征，并用可训练权重得到先验分数；价值头则从双方最长连续线、开放端、威胁数量、中心控制等信息估计局面倾向。虽然它不是大规模 CNN，但接口形式与 AlphaZero 模型一致，因此可以无缝接入 mcts_alphaZero.py。</w:t>
      </w:r>
    </w:p>
    <w:tbl>
      <w:tblPr>
        <w:tblStyle w:val="33"/>
        <w:tblW w:w="0" w:type="auto"/>
        <w:tblInd w:w="0" w:type="dxa"/>
        <w:tblBorders>
          <w:top w:val="single" w:color="AAB8C7" w:sz="6" w:space="0"/>
          <w:left w:val="single" w:color="AAB8C7" w:sz="6" w:space="0"/>
          <w:bottom w:val="single" w:color="AAB8C7" w:sz="6" w:space="0"/>
          <w:right w:val="single" w:color="AAB8C7" w:sz="6" w:space="0"/>
          <w:insideH w:val="single" w:color="AAB8C7" w:sz="6" w:space="0"/>
          <w:insideV w:val="single" w:color="AAB8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2"/>
        <w:gridCol w:w="5030"/>
        <w:gridCol w:w="3386"/>
      </w:tblGrid>
      <w:tr w14:paraId="0D3E59B5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422" w:type="dxa"/>
            <w:shd w:val="clear" w:color="auto" w:fill="DDEBF7"/>
            <w:vAlign w:val="center"/>
          </w:tcPr>
          <w:p w14:paraId="0495B72C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场景</w:t>
            </w:r>
          </w:p>
        </w:tc>
        <w:tc>
          <w:tcPr>
            <w:tcW w:w="5030" w:type="dxa"/>
            <w:shd w:val="clear" w:color="auto" w:fill="DDEBF7"/>
            <w:vAlign w:val="center"/>
          </w:tcPr>
          <w:p w14:paraId="40BF586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运行方式</w:t>
            </w:r>
          </w:p>
        </w:tc>
        <w:tc>
          <w:tcPr>
            <w:tcW w:w="3386" w:type="dxa"/>
            <w:shd w:val="clear" w:color="auto" w:fill="DDEBF7"/>
            <w:vAlign w:val="center"/>
          </w:tcPr>
          <w:p w14:paraId="340A53EB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6"/>
              </w:rPr>
              <w:t>说明</w:t>
            </w:r>
          </w:p>
        </w:tc>
      </w:tr>
      <w:tr w14:paraId="3062B0AB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1422" w:type="dxa"/>
            <w:vAlign w:val="center"/>
          </w:tcPr>
          <w:p w14:paraId="4E42F24C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直接演示</w:t>
            </w:r>
          </w:p>
        </w:tc>
        <w:tc>
          <w:tcPr>
            <w:tcW w:w="5030" w:type="dxa"/>
            <w:vAlign w:val="center"/>
          </w:tcPr>
          <w:p w14:paraId="29533756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python play_gomoku_10x10.py --playouts 80</w:t>
            </w:r>
          </w:p>
        </w:tc>
        <w:tc>
          <w:tcPr>
            <w:tcW w:w="3386" w:type="dxa"/>
            <w:vAlign w:val="center"/>
          </w:tcPr>
          <w:p w14:paraId="6B88CF8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人类先手，适合课堂现场对弈</w:t>
            </w:r>
          </w:p>
        </w:tc>
      </w:tr>
      <w:tr w14:paraId="3EFB85E5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</w:trPr>
        <w:tc>
          <w:tcPr>
            <w:tcW w:w="1422" w:type="dxa"/>
            <w:vAlign w:val="center"/>
          </w:tcPr>
          <w:p w14:paraId="4D527C91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AI 先手</w:t>
            </w:r>
          </w:p>
        </w:tc>
        <w:tc>
          <w:tcPr>
            <w:tcW w:w="5030" w:type="dxa"/>
            <w:vAlign w:val="center"/>
          </w:tcPr>
          <w:p w14:paraId="50A686E6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python play_gomoku_10x10.py --ai-first --playouts 80</w:t>
            </w:r>
          </w:p>
        </w:tc>
        <w:tc>
          <w:tcPr>
            <w:tcW w:w="3386" w:type="dxa"/>
            <w:vAlign w:val="center"/>
          </w:tcPr>
          <w:p w14:paraId="7D4FBE76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展示模型首步和中心控制倾向</w:t>
            </w:r>
          </w:p>
        </w:tc>
      </w:tr>
      <w:tr w14:paraId="3D78179D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1422" w:type="dxa"/>
            <w:vAlign w:val="center"/>
          </w:tcPr>
          <w:p w14:paraId="018D9BEC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重新训练</w:t>
            </w:r>
          </w:p>
        </w:tc>
        <w:tc>
          <w:tcPr>
            <w:tcW w:w="5030" w:type="dxa"/>
            <w:vAlign w:val="center"/>
          </w:tcPr>
          <w:p w14:paraId="4B9C2D70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python train_lightweight_10x10.py --games 24 --playouts 20</w:t>
            </w:r>
          </w:p>
        </w:tc>
        <w:tc>
          <w:tcPr>
            <w:tcW w:w="3386" w:type="dxa"/>
            <w:vAlign w:val="center"/>
          </w:tcPr>
          <w:p w14:paraId="3A783618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6"/>
              </w:rPr>
              <w:t>复现实验中的 10x10 自我对弈训练</w:t>
            </w:r>
          </w:p>
        </w:tc>
      </w:tr>
    </w:tbl>
    <w:p w14:paraId="578AAED9">
      <w:pPr>
        <w:spacing w:after="20"/>
        <w:rPr>
          <w:rFonts w:hint="eastAsia" w:ascii="宋体" w:hAnsi="宋体" w:eastAsia="宋体" w:cs="宋体"/>
        </w:rPr>
      </w:pPr>
    </w:p>
    <w:p w14:paraId="1126819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C7FAA15">
      <w:pPr>
        <w:pStyle w:val="3"/>
        <w:keepNext/>
        <w:spacing w:before="80" w:after="160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/>
          <w:color w:val="1F4E79"/>
          <w:sz w:val="30"/>
        </w:rPr>
        <w:t>6. 训练过程与专业评估</w:t>
      </w:r>
    </w:p>
    <w:p w14:paraId="1B65DC53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训练设置为 10x10 棋盘、五子连珠，进行 24 局自我对弈，每步 20 次 MCTS playouts，共产生 451 条训练样本，最终经验池保留 451 条样本，耗时 312.675 秒。</w:t>
      </w:r>
    </w:p>
    <w:p w14:paraId="0A18ED60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每条训练样本包含三个部分：当前局面、MCTS 在该局面下形成的访问次数分布、最终胜负结果。策略部分学习“搜索后更认可哪些落子”，价值部分学习“该局面最终更接近胜还是负”。这种训练目标比直接模仿某一步落子更稳定，因为它把搜索中的多分支评估压缩进监督信号。</w:t>
      </w:r>
    </w:p>
    <w:p w14:paraId="43E829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975985" cy="3087370"/>
            <wp:effectExtent l="0" t="0" r="571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949B">
      <w:pPr>
        <w:spacing w:after="100" w:line="269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A5A5A"/>
          <w:sz w:val="18"/>
        </w:rPr>
        <w:t>图 4  训练日志：经验池逐步扩大，策略损失随自我对弈目标变化而波动。</w:t>
      </w:r>
    </w:p>
    <w:tbl>
      <w:tblPr>
        <w:tblStyle w:val="33"/>
        <w:tblW w:w="0" w:type="auto"/>
        <w:tblInd w:w="0" w:type="dxa"/>
        <w:tblBorders>
          <w:top w:val="single" w:color="AAB8C7" w:sz="6" w:space="0"/>
          <w:left w:val="single" w:color="AAB8C7" w:sz="6" w:space="0"/>
          <w:bottom w:val="single" w:color="AAB8C7" w:sz="6" w:space="0"/>
          <w:right w:val="single" w:color="AAB8C7" w:sz="6" w:space="0"/>
          <w:insideH w:val="single" w:color="AAB8C7" w:sz="6" w:space="0"/>
          <w:insideV w:val="single" w:color="AAB8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928"/>
        <w:gridCol w:w="3969"/>
      </w:tblGrid>
      <w:tr w14:paraId="5CD8C0CA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7"/>
            <w:vAlign w:val="center"/>
          </w:tcPr>
          <w:p w14:paraId="7B5ADFE7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阶段</w:t>
            </w:r>
          </w:p>
        </w:tc>
        <w:tc>
          <w:tcPr>
            <w:tcW w:w="1701" w:type="dxa"/>
            <w:shd w:val="clear" w:color="auto" w:fill="DDEBF7"/>
            <w:vAlign w:val="center"/>
          </w:tcPr>
          <w:p w14:paraId="124FE4BB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随机基线得分</w:t>
            </w:r>
          </w:p>
        </w:tc>
        <w:tc>
          <w:tcPr>
            <w:tcW w:w="1928" w:type="dxa"/>
            <w:shd w:val="clear" w:color="auto" w:fill="DDEBF7"/>
            <w:vAlign w:val="center"/>
          </w:tcPr>
          <w:p w14:paraId="1F6BBE4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战术启发式得分</w:t>
            </w:r>
          </w:p>
        </w:tc>
        <w:tc>
          <w:tcPr>
            <w:tcW w:w="3969" w:type="dxa"/>
            <w:shd w:val="clear" w:color="auto" w:fill="DDEBF7"/>
            <w:vAlign w:val="center"/>
          </w:tcPr>
          <w:p w14:paraId="18B6570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说明</w:t>
            </w:r>
          </w:p>
        </w:tc>
      </w:tr>
      <w:tr w14:paraId="53A5A13D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1D90859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训练前</w:t>
            </w:r>
          </w:p>
        </w:tc>
        <w:tc>
          <w:tcPr>
            <w:tcW w:w="1701" w:type="dxa"/>
            <w:vAlign w:val="center"/>
          </w:tcPr>
          <w:p w14:paraId="2959664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100.0%</w:t>
            </w:r>
          </w:p>
        </w:tc>
        <w:tc>
          <w:tcPr>
            <w:tcW w:w="1928" w:type="dxa"/>
            <w:vAlign w:val="center"/>
          </w:tcPr>
          <w:p w14:paraId="722B1927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91.7%</w:t>
            </w:r>
          </w:p>
        </w:tc>
        <w:tc>
          <w:tcPr>
            <w:tcW w:w="3969" w:type="dxa"/>
            <w:vAlign w:val="center"/>
          </w:tcPr>
          <w:p w14:paraId="45300BA7">
            <w:pPr>
              <w:spacing w:after="20" w:line="269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初始特征权重已包含基本棋理</w:t>
            </w:r>
          </w:p>
        </w:tc>
      </w:tr>
      <w:tr w14:paraId="630C83A9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7583BF41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训练后</w:t>
            </w:r>
          </w:p>
        </w:tc>
        <w:tc>
          <w:tcPr>
            <w:tcW w:w="1701" w:type="dxa"/>
            <w:vAlign w:val="center"/>
          </w:tcPr>
          <w:p w14:paraId="79191970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100.0%</w:t>
            </w:r>
          </w:p>
        </w:tc>
        <w:tc>
          <w:tcPr>
            <w:tcW w:w="1928" w:type="dxa"/>
            <w:vAlign w:val="center"/>
          </w:tcPr>
          <w:p w14:paraId="17CAA1F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83.3%</w:t>
            </w:r>
          </w:p>
        </w:tc>
        <w:tc>
          <w:tcPr>
            <w:tcW w:w="3969" w:type="dxa"/>
            <w:vAlign w:val="center"/>
          </w:tcPr>
          <w:p w14:paraId="1F270F04">
            <w:pPr>
              <w:spacing w:after="20" w:line="269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自我对弈后中心、近邻、连线权重发生调整</w:t>
            </w:r>
          </w:p>
        </w:tc>
      </w:tr>
      <w:tr w14:paraId="57F1A034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4225133A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正式评估</w:t>
            </w:r>
          </w:p>
        </w:tc>
        <w:tc>
          <w:tcPr>
            <w:tcW w:w="1701" w:type="dxa"/>
            <w:vAlign w:val="center"/>
          </w:tcPr>
          <w:p w14:paraId="427CC495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100.0%</w:t>
            </w:r>
          </w:p>
        </w:tc>
        <w:tc>
          <w:tcPr>
            <w:tcW w:w="1928" w:type="dxa"/>
            <w:vAlign w:val="center"/>
          </w:tcPr>
          <w:p w14:paraId="74DDA65E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87.5%</w:t>
            </w:r>
          </w:p>
        </w:tc>
        <w:tc>
          <w:tcPr>
            <w:tcW w:w="3969" w:type="dxa"/>
            <w:vAlign w:val="center"/>
          </w:tcPr>
          <w:p w14:paraId="0E3CB611">
            <w:pPr>
              <w:spacing w:after="20" w:line="269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使用独立评估脚本、35 playouts/步</w:t>
            </w:r>
          </w:p>
        </w:tc>
      </w:tr>
    </w:tbl>
    <w:p w14:paraId="4955700E">
      <w:pPr>
        <w:spacing w:after="20"/>
        <w:rPr>
          <w:rFonts w:hint="eastAsia" w:ascii="宋体" w:hAnsi="宋体" w:eastAsia="宋体" w:cs="宋体"/>
        </w:rPr>
      </w:pPr>
    </w:p>
    <w:p w14:paraId="15D02066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评估时设置了随机基线和战术启发式基线。随机基线用于验证模型是否学到基本合法下法和直接胜负判断；战术启发式基线会优先考虑成五、阻断、中心和连线，能更好检验模型是否具备实际攻防能力。需要说明的是，本次轻量模型不是 CNN，而是为了当前环境可训练、可演示而设计的策略-价值近似器。它仍然遵循 AlphaZero 的训练接口：MCTS 产生 π，终局产生 z，模型通过策略损失和价值损失更新权重。</w:t>
      </w:r>
    </w:p>
    <w:p w14:paraId="4D12F69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04FE2AD">
      <w:pPr>
        <w:pStyle w:val="3"/>
        <w:keepNext/>
        <w:spacing w:before="80" w:after="160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/>
          <w:color w:val="1F4E79"/>
          <w:sz w:val="30"/>
        </w:rPr>
        <w:t>7. 运行结果与分析</w:t>
      </w:r>
    </w:p>
    <w:tbl>
      <w:tblPr>
        <w:tblStyle w:val="33"/>
        <w:tblW w:w="0" w:type="auto"/>
        <w:tblInd w:w="0" w:type="dxa"/>
        <w:tblBorders>
          <w:top w:val="single" w:color="AAB8C7" w:sz="6" w:space="0"/>
          <w:left w:val="single" w:color="AAB8C7" w:sz="6" w:space="0"/>
          <w:bottom w:val="single" w:color="AAB8C7" w:sz="6" w:space="0"/>
          <w:right w:val="single" w:color="AAB8C7" w:sz="6" w:space="0"/>
          <w:insideH w:val="single" w:color="AAB8C7" w:sz="6" w:space="0"/>
          <w:insideV w:val="single" w:color="AAB8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1"/>
        <w:gridCol w:w="680"/>
        <w:gridCol w:w="737"/>
        <w:gridCol w:w="850"/>
        <w:gridCol w:w="680"/>
        <w:gridCol w:w="907"/>
        <w:gridCol w:w="1020"/>
        <w:gridCol w:w="1020"/>
        <w:gridCol w:w="1020"/>
        <w:gridCol w:w="1417"/>
      </w:tblGrid>
      <w:tr w14:paraId="2011D81D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shd w:val="clear" w:color="auto" w:fill="DDEBF7"/>
            <w:vAlign w:val="center"/>
          </w:tcPr>
          <w:p w14:paraId="58096868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对手</w:t>
            </w:r>
          </w:p>
        </w:tc>
        <w:tc>
          <w:tcPr>
            <w:tcW w:w="680" w:type="dxa"/>
            <w:shd w:val="clear" w:color="auto" w:fill="DDEBF7"/>
            <w:vAlign w:val="center"/>
          </w:tcPr>
          <w:p w14:paraId="724C43D1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局数</w:t>
            </w:r>
          </w:p>
        </w:tc>
        <w:tc>
          <w:tcPr>
            <w:tcW w:w="737" w:type="dxa"/>
            <w:shd w:val="clear" w:color="auto" w:fill="DDEBF7"/>
            <w:vAlign w:val="center"/>
          </w:tcPr>
          <w:p w14:paraId="396D8BE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AI 胜</w:t>
            </w:r>
          </w:p>
        </w:tc>
        <w:tc>
          <w:tcPr>
            <w:tcW w:w="850" w:type="dxa"/>
            <w:shd w:val="clear" w:color="auto" w:fill="DDEBF7"/>
            <w:vAlign w:val="center"/>
          </w:tcPr>
          <w:p w14:paraId="5F726766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对手胜</w:t>
            </w:r>
          </w:p>
        </w:tc>
        <w:tc>
          <w:tcPr>
            <w:tcW w:w="680" w:type="dxa"/>
            <w:shd w:val="clear" w:color="auto" w:fill="DDEBF7"/>
            <w:vAlign w:val="center"/>
          </w:tcPr>
          <w:p w14:paraId="4BC096B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和棋</w:t>
            </w:r>
          </w:p>
        </w:tc>
        <w:tc>
          <w:tcPr>
            <w:tcW w:w="907" w:type="dxa"/>
            <w:shd w:val="clear" w:color="auto" w:fill="DDEBF7"/>
            <w:vAlign w:val="center"/>
          </w:tcPr>
          <w:p w14:paraId="0623A5CA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得分</w:t>
            </w:r>
          </w:p>
        </w:tc>
        <w:tc>
          <w:tcPr>
            <w:tcW w:w="1020" w:type="dxa"/>
            <w:shd w:val="clear" w:color="auto" w:fill="DDEBF7"/>
            <w:vAlign w:val="center"/>
          </w:tcPr>
          <w:p w14:paraId="75E8133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先手得分</w:t>
            </w:r>
          </w:p>
        </w:tc>
        <w:tc>
          <w:tcPr>
            <w:tcW w:w="1020" w:type="dxa"/>
            <w:shd w:val="clear" w:color="auto" w:fill="DDEBF7"/>
            <w:vAlign w:val="center"/>
          </w:tcPr>
          <w:p w14:paraId="1AC3295B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后手得分</w:t>
            </w:r>
          </w:p>
        </w:tc>
        <w:tc>
          <w:tcPr>
            <w:tcW w:w="1020" w:type="dxa"/>
            <w:shd w:val="clear" w:color="auto" w:fill="DDEBF7"/>
            <w:vAlign w:val="center"/>
          </w:tcPr>
          <w:p w14:paraId="318745FB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平均手数</w:t>
            </w:r>
          </w:p>
        </w:tc>
        <w:tc>
          <w:tcPr>
            <w:tcW w:w="1417" w:type="dxa"/>
            <w:shd w:val="clear" w:color="auto" w:fill="DDEBF7"/>
            <w:vAlign w:val="center"/>
          </w:tcPr>
          <w:p w14:paraId="4E9C02E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平均每步耗时</w:t>
            </w:r>
          </w:p>
        </w:tc>
      </w:tr>
      <w:tr w14:paraId="7D4A6606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vAlign w:val="center"/>
          </w:tcPr>
          <w:p w14:paraId="5438242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随机</w:t>
            </w:r>
          </w:p>
        </w:tc>
        <w:tc>
          <w:tcPr>
            <w:tcW w:w="680" w:type="dxa"/>
            <w:vAlign w:val="center"/>
          </w:tcPr>
          <w:p w14:paraId="49D7E97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4</w:t>
            </w:r>
          </w:p>
        </w:tc>
        <w:tc>
          <w:tcPr>
            <w:tcW w:w="737" w:type="dxa"/>
            <w:vAlign w:val="center"/>
          </w:tcPr>
          <w:p w14:paraId="50EA5E1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4</w:t>
            </w:r>
          </w:p>
        </w:tc>
        <w:tc>
          <w:tcPr>
            <w:tcW w:w="850" w:type="dxa"/>
            <w:vAlign w:val="center"/>
          </w:tcPr>
          <w:p w14:paraId="73591A09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0</w:t>
            </w:r>
          </w:p>
        </w:tc>
        <w:tc>
          <w:tcPr>
            <w:tcW w:w="680" w:type="dxa"/>
            <w:vAlign w:val="center"/>
          </w:tcPr>
          <w:p w14:paraId="3B4B597B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0</w:t>
            </w:r>
          </w:p>
        </w:tc>
        <w:tc>
          <w:tcPr>
            <w:tcW w:w="907" w:type="dxa"/>
            <w:vAlign w:val="center"/>
          </w:tcPr>
          <w:p w14:paraId="32245BF5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100.0%</w:t>
            </w:r>
          </w:p>
        </w:tc>
        <w:tc>
          <w:tcPr>
            <w:tcW w:w="1020" w:type="dxa"/>
            <w:vAlign w:val="center"/>
          </w:tcPr>
          <w:p w14:paraId="4473A2B6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100.0%</w:t>
            </w:r>
          </w:p>
        </w:tc>
        <w:tc>
          <w:tcPr>
            <w:tcW w:w="1020" w:type="dxa"/>
            <w:vAlign w:val="center"/>
          </w:tcPr>
          <w:p w14:paraId="5D8ADFC6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100.0%</w:t>
            </w:r>
          </w:p>
        </w:tc>
        <w:tc>
          <w:tcPr>
            <w:tcW w:w="1020" w:type="dxa"/>
            <w:vAlign w:val="center"/>
          </w:tcPr>
          <w:p w14:paraId="254791D9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9.5</w:t>
            </w:r>
          </w:p>
        </w:tc>
        <w:tc>
          <w:tcPr>
            <w:tcW w:w="1417" w:type="dxa"/>
            <w:vAlign w:val="center"/>
          </w:tcPr>
          <w:p w14:paraId="248D838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0.155s</w:t>
            </w:r>
          </w:p>
        </w:tc>
      </w:tr>
      <w:tr w14:paraId="26EF2646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1" w:type="dxa"/>
            <w:vAlign w:val="center"/>
          </w:tcPr>
          <w:p w14:paraId="6AAB7F0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战术启发式</w:t>
            </w:r>
          </w:p>
        </w:tc>
        <w:tc>
          <w:tcPr>
            <w:tcW w:w="680" w:type="dxa"/>
            <w:vAlign w:val="center"/>
          </w:tcPr>
          <w:p w14:paraId="20020FD1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4</w:t>
            </w:r>
          </w:p>
        </w:tc>
        <w:tc>
          <w:tcPr>
            <w:tcW w:w="737" w:type="dxa"/>
            <w:vAlign w:val="center"/>
          </w:tcPr>
          <w:p w14:paraId="0A79C5B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3</w:t>
            </w:r>
          </w:p>
        </w:tc>
        <w:tc>
          <w:tcPr>
            <w:tcW w:w="850" w:type="dxa"/>
            <w:vAlign w:val="center"/>
          </w:tcPr>
          <w:p w14:paraId="4F2F63B8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0</w:t>
            </w:r>
          </w:p>
        </w:tc>
        <w:tc>
          <w:tcPr>
            <w:tcW w:w="680" w:type="dxa"/>
            <w:vAlign w:val="center"/>
          </w:tcPr>
          <w:p w14:paraId="692EC86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092040C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87.5%</w:t>
            </w:r>
          </w:p>
        </w:tc>
        <w:tc>
          <w:tcPr>
            <w:tcW w:w="1020" w:type="dxa"/>
            <w:vAlign w:val="center"/>
          </w:tcPr>
          <w:p w14:paraId="50F06537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100.0%</w:t>
            </w:r>
          </w:p>
        </w:tc>
        <w:tc>
          <w:tcPr>
            <w:tcW w:w="1020" w:type="dxa"/>
            <w:vAlign w:val="center"/>
          </w:tcPr>
          <w:p w14:paraId="096233E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75.0%</w:t>
            </w:r>
          </w:p>
        </w:tc>
        <w:tc>
          <w:tcPr>
            <w:tcW w:w="1020" w:type="dxa"/>
            <w:vAlign w:val="center"/>
          </w:tcPr>
          <w:p w14:paraId="16B5FD6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47.5</w:t>
            </w:r>
          </w:p>
        </w:tc>
        <w:tc>
          <w:tcPr>
            <w:tcW w:w="1417" w:type="dxa"/>
            <w:vAlign w:val="center"/>
          </w:tcPr>
          <w:p w14:paraId="6FC55A4B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sz w:val="18"/>
                <w:szCs w:val="18"/>
              </w:rPr>
              <w:t>0.283s</w:t>
            </w:r>
          </w:p>
        </w:tc>
      </w:tr>
    </w:tbl>
    <w:p w14:paraId="3C37766E">
      <w:pPr>
        <w:spacing w:after="20"/>
        <w:rPr>
          <w:rFonts w:hint="eastAsia" w:ascii="宋体" w:hAnsi="宋体" w:eastAsia="宋体" w:cs="宋体"/>
        </w:rPr>
      </w:pPr>
    </w:p>
    <w:p w14:paraId="34D6657F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正式评估中，模型对随机玩家取得 100.0% 得分，对战术启发式玩家取得 87.5% 得分。首步探测选择屏幕坐标 [6, 5]，位于 10x10 棋盘中心区域，符合五子棋中中心控制与多方向延展的直觉。</w:t>
      </w:r>
    </w:p>
    <w:p w14:paraId="6158AB33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这里的得分按胜局计 1 分、和棋计 0.5 分、负局计 0 分计算，并分别记录先手和后手表现。区分先后手是必要的，因为五子棋存在明显的先手优势；如果只看总胜率，可能会掩盖模型在后手防守、阻断威胁和延迟失败方面的能力。</w:t>
      </w:r>
    </w:p>
    <w:p w14:paraId="5452B8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975985" cy="3087370"/>
            <wp:effectExtent l="0" t="0" r="5715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0EDA">
      <w:pPr>
        <w:spacing w:after="100" w:line="269" w:lineRule="auto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color w:val="5A5A5A"/>
          <w:sz w:val="18"/>
        </w:rPr>
        <w:t>图 5  左：正式评估得分；右：搜索次数增加会提高耗时，小样本下胜率有波动。</w:t>
      </w:r>
    </w:p>
    <w:tbl>
      <w:tblPr>
        <w:tblStyle w:val="33"/>
        <w:tblW w:w="0" w:type="auto"/>
        <w:tblInd w:w="0" w:type="dxa"/>
        <w:tblBorders>
          <w:top w:val="single" w:color="AAB8C7" w:sz="6" w:space="0"/>
          <w:left w:val="single" w:color="AAB8C7" w:sz="6" w:space="0"/>
          <w:bottom w:val="single" w:color="AAB8C7" w:sz="6" w:space="0"/>
          <w:right w:val="single" w:color="AAB8C7" w:sz="6" w:space="0"/>
          <w:insideH w:val="single" w:color="AAB8C7" w:sz="6" w:space="0"/>
          <w:insideV w:val="single" w:color="AAB8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1417"/>
        <w:gridCol w:w="1701"/>
        <w:gridCol w:w="2154"/>
      </w:tblGrid>
      <w:tr w14:paraId="4E5209A9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shd w:val="clear" w:color="auto" w:fill="DDEBF7"/>
            <w:vAlign w:val="center"/>
          </w:tcPr>
          <w:p w14:paraId="032F70A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playouts/步</w:t>
            </w:r>
          </w:p>
        </w:tc>
        <w:tc>
          <w:tcPr>
            <w:tcW w:w="1417" w:type="dxa"/>
            <w:shd w:val="clear" w:color="auto" w:fill="DDEBF7"/>
            <w:vAlign w:val="center"/>
          </w:tcPr>
          <w:p w14:paraId="3E04A0CC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局数</w:t>
            </w:r>
          </w:p>
        </w:tc>
        <w:tc>
          <w:tcPr>
            <w:tcW w:w="1417" w:type="dxa"/>
            <w:shd w:val="clear" w:color="auto" w:fill="DDEBF7"/>
            <w:vAlign w:val="center"/>
          </w:tcPr>
          <w:p w14:paraId="60C8729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得分</w:t>
            </w:r>
          </w:p>
        </w:tc>
        <w:tc>
          <w:tcPr>
            <w:tcW w:w="1701" w:type="dxa"/>
            <w:shd w:val="clear" w:color="auto" w:fill="DDEBF7"/>
            <w:vAlign w:val="center"/>
          </w:tcPr>
          <w:p w14:paraId="5CCE7B41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平均手数</w:t>
            </w:r>
          </w:p>
        </w:tc>
        <w:tc>
          <w:tcPr>
            <w:tcW w:w="2154" w:type="dxa"/>
            <w:shd w:val="clear" w:color="auto" w:fill="DDEBF7"/>
            <w:vAlign w:val="center"/>
          </w:tcPr>
          <w:p w14:paraId="71CE140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7"/>
              </w:rPr>
              <w:t>平均每步耗时</w:t>
            </w:r>
          </w:p>
        </w:tc>
      </w:tr>
      <w:tr w14:paraId="4B9A2CB4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66D6DC0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15</w:t>
            </w:r>
          </w:p>
        </w:tc>
        <w:tc>
          <w:tcPr>
            <w:tcW w:w="1417" w:type="dxa"/>
            <w:vAlign w:val="center"/>
          </w:tcPr>
          <w:p w14:paraId="273E0CBA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2</w:t>
            </w:r>
          </w:p>
        </w:tc>
        <w:tc>
          <w:tcPr>
            <w:tcW w:w="1417" w:type="dxa"/>
            <w:vAlign w:val="center"/>
          </w:tcPr>
          <w:p w14:paraId="2E2FE98E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100.0%</w:t>
            </w:r>
          </w:p>
        </w:tc>
        <w:tc>
          <w:tcPr>
            <w:tcW w:w="1701" w:type="dxa"/>
            <w:vAlign w:val="center"/>
          </w:tcPr>
          <w:p w14:paraId="35671AA6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28.5</w:t>
            </w:r>
          </w:p>
        </w:tc>
        <w:tc>
          <w:tcPr>
            <w:tcW w:w="2154" w:type="dxa"/>
            <w:vAlign w:val="center"/>
          </w:tcPr>
          <w:p w14:paraId="7103871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0.123s</w:t>
            </w:r>
          </w:p>
        </w:tc>
      </w:tr>
      <w:tr w14:paraId="610B6574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04D9C41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30</w:t>
            </w:r>
          </w:p>
        </w:tc>
        <w:tc>
          <w:tcPr>
            <w:tcW w:w="1417" w:type="dxa"/>
            <w:vAlign w:val="center"/>
          </w:tcPr>
          <w:p w14:paraId="51A4F756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2</w:t>
            </w:r>
          </w:p>
        </w:tc>
        <w:tc>
          <w:tcPr>
            <w:tcW w:w="1417" w:type="dxa"/>
            <w:vAlign w:val="center"/>
          </w:tcPr>
          <w:p w14:paraId="5304682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50.0%</w:t>
            </w:r>
          </w:p>
        </w:tc>
        <w:tc>
          <w:tcPr>
            <w:tcW w:w="1701" w:type="dxa"/>
            <w:vAlign w:val="center"/>
          </w:tcPr>
          <w:p w14:paraId="56C2380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46.0</w:t>
            </w:r>
          </w:p>
        </w:tc>
        <w:tc>
          <w:tcPr>
            <w:tcW w:w="2154" w:type="dxa"/>
            <w:vAlign w:val="center"/>
          </w:tcPr>
          <w:p w14:paraId="13A121FD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0.261s</w:t>
            </w:r>
          </w:p>
        </w:tc>
      </w:tr>
      <w:tr w14:paraId="435BBC47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1" w:type="dxa"/>
            <w:vAlign w:val="center"/>
          </w:tcPr>
          <w:p w14:paraId="657BFC10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50</w:t>
            </w:r>
          </w:p>
        </w:tc>
        <w:tc>
          <w:tcPr>
            <w:tcW w:w="1417" w:type="dxa"/>
            <w:vAlign w:val="center"/>
          </w:tcPr>
          <w:p w14:paraId="2E0C6FE3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2</w:t>
            </w:r>
          </w:p>
        </w:tc>
        <w:tc>
          <w:tcPr>
            <w:tcW w:w="1417" w:type="dxa"/>
            <w:vAlign w:val="center"/>
          </w:tcPr>
          <w:p w14:paraId="44BE9465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50.0%</w:t>
            </w:r>
          </w:p>
        </w:tc>
        <w:tc>
          <w:tcPr>
            <w:tcW w:w="1701" w:type="dxa"/>
            <w:vAlign w:val="center"/>
          </w:tcPr>
          <w:p w14:paraId="1363E2FA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28.0</w:t>
            </w:r>
          </w:p>
        </w:tc>
        <w:tc>
          <w:tcPr>
            <w:tcW w:w="2154" w:type="dxa"/>
            <w:vAlign w:val="center"/>
          </w:tcPr>
          <w:p w14:paraId="7204BD32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7"/>
              </w:rPr>
              <w:t>0.364s</w:t>
            </w:r>
          </w:p>
        </w:tc>
      </w:tr>
    </w:tbl>
    <w:p w14:paraId="56882C5A">
      <w:pPr>
        <w:spacing w:after="20"/>
        <w:rPr>
          <w:rFonts w:hint="eastAsia" w:ascii="宋体" w:hAnsi="宋体" w:eastAsia="宋体" w:cs="宋体"/>
        </w:rPr>
      </w:pPr>
    </w:p>
    <w:p w14:paraId="29ABA2F7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搜索次数敏感性实验显示，10x10 棋盘比 8x8 更耗时；playouts 增加时平均每步耗时明显上升。由于评估局数较少，胜率曲线并不单调，这并不意味着更多搜索一定更差，而是说明小样本评估会受到先后手、开局随机性和对手策略波动影响。更严格的实验应扩大局数、固定随机种子并报告置信区间。课堂演示建议使用 --playouts 50 到 80，以保证响应速度。</w:t>
      </w:r>
    </w:p>
    <w:p w14:paraId="35E4A7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2827DE1B">
      <w:pPr>
        <w:pStyle w:val="3"/>
        <w:keepNext/>
        <w:spacing w:before="80" w:after="160"/>
        <w:rPr>
          <w:rFonts w:hint="eastAsia" w:ascii="宋体" w:hAnsi="宋体" w:eastAsia="宋体" w:cs="宋体"/>
        </w:rPr>
      </w:pPr>
      <w:r>
        <w:rPr>
          <w:rFonts w:hint="eastAsia" w:ascii="黑体" w:hAnsi="黑体" w:eastAsia="黑体" w:cs="黑体"/>
          <w:b/>
          <w:color w:val="1F4E79"/>
          <w:sz w:val="30"/>
        </w:rPr>
        <w:t>8. 争议挑战、小组观点与局限</w:t>
      </w:r>
    </w:p>
    <w:p w14:paraId="33CB5209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围绕 AlphaGo 的常见误解是“AI 只是背棋谱”。事实上，只给规则和胜负目标，系统也能通过自我对弈形成强策略。更准确的说法是，AI 把搜索得到的有效经验压缩进模型参数，而不是逐条记忆人类棋谱。</w:t>
      </w:r>
    </w:p>
    <w:p w14:paraId="211061CB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另一个争议是创造性。李世石对局中的第 37 手等案例看起来像创造性，但其来源是目标函数、训练分布和搜索机制；它能产生人类少见的高胜率策略，却不等同于人类意义上的意图表达。围棋 AI 通常最大化胜率而不是赢更多目，因此某些保守选择可能是风险控制。</w:t>
      </w:r>
    </w:p>
    <w:p w14:paraId="1AE6A8A7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我们的小组观点是：这类系统的核心价值不是“机器打败人类”，而是展示了一种通用智能构造方式：用模型学习复杂状态的压缩表示，用搜索做可校验规划，再用自我对弈把经验反哺模型。本次 10x10 五子棋模型虽然轻量，但完整演示了这一闭环。</w:t>
      </w:r>
    </w:p>
    <w:p w14:paraId="5DF858D2">
      <w:pPr>
        <w:spacing w:after="100"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1"/>
        </w:rPr>
        <w:t>局限也必须明确：10x10 版本为了可训练和可演示，使用的是图模式特征模型而非大规模深</w:t>
      </w:r>
      <w:bookmarkStart w:id="0" w:name="_GoBack"/>
      <w:bookmarkEnd w:id="0"/>
      <w:r>
        <w:rPr>
          <w:rFonts w:hint="eastAsia" w:ascii="宋体" w:hAnsi="宋体" w:eastAsia="宋体" w:cs="宋体"/>
          <w:b w:val="0"/>
          <w:sz w:val="21"/>
        </w:rPr>
        <w:t>度卷积网络；训练局数有限，评估局数也有限，因此结论只说明它强于本报告设置的基线，不能代表完整 15x15 五子棋或 19x19 围棋的棋力。</w:t>
      </w:r>
    </w:p>
    <w:tbl>
      <w:tblPr>
        <w:tblStyle w:val="33"/>
        <w:tblW w:w="9679" w:type="dxa"/>
        <w:tblInd w:w="0" w:type="dxa"/>
        <w:tblBorders>
          <w:top w:val="single" w:color="AAB8C7" w:sz="6" w:space="0"/>
          <w:left w:val="single" w:color="AAB8C7" w:sz="6" w:space="0"/>
          <w:bottom w:val="single" w:color="AAB8C7" w:sz="6" w:space="0"/>
          <w:right w:val="single" w:color="AAB8C7" w:sz="6" w:space="0"/>
          <w:insideH w:val="single" w:color="AAB8C7" w:sz="6" w:space="0"/>
          <w:insideV w:val="single" w:color="AAB8C7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5"/>
        <w:gridCol w:w="3557"/>
        <w:gridCol w:w="4667"/>
      </w:tblGrid>
      <w:tr w14:paraId="029D1FC7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55" w:type="dxa"/>
            <w:shd w:val="clear" w:color="auto" w:fill="DDEBF7"/>
            <w:vAlign w:val="center"/>
          </w:tcPr>
          <w:p w14:paraId="39497938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5"/>
              </w:rPr>
              <w:t>问题</w:t>
            </w:r>
          </w:p>
        </w:tc>
        <w:tc>
          <w:tcPr>
            <w:tcW w:w="3557" w:type="dxa"/>
            <w:shd w:val="clear" w:color="auto" w:fill="DDEBF7"/>
            <w:vAlign w:val="center"/>
          </w:tcPr>
          <w:p w14:paraId="22D4AE94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5"/>
              </w:rPr>
              <w:t>争议焦点</w:t>
            </w:r>
          </w:p>
        </w:tc>
        <w:tc>
          <w:tcPr>
            <w:tcW w:w="4667" w:type="dxa"/>
            <w:shd w:val="clear" w:color="auto" w:fill="DDEBF7"/>
            <w:vAlign w:val="center"/>
          </w:tcPr>
          <w:p w14:paraId="7B72AD55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15"/>
              </w:rPr>
              <w:t>本报告观点</w:t>
            </w:r>
          </w:p>
        </w:tc>
      </w:tr>
      <w:tr w14:paraId="5121AED6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1455" w:type="dxa"/>
            <w:vAlign w:val="center"/>
          </w:tcPr>
          <w:p w14:paraId="438E8E8A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可解释性</w:t>
            </w:r>
          </w:p>
        </w:tc>
        <w:tc>
          <w:tcPr>
            <w:tcW w:w="3557" w:type="dxa"/>
            <w:vAlign w:val="center"/>
          </w:tcPr>
          <w:p w14:paraId="5565729A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神经网络和搜索树给出的胜率不等同于人类语言解释</w:t>
            </w:r>
          </w:p>
        </w:tc>
        <w:tc>
          <w:tcPr>
            <w:tcW w:w="4667" w:type="dxa"/>
            <w:vAlign w:val="center"/>
          </w:tcPr>
          <w:p w14:paraId="6509C919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用图模式、访问次数和基线实验补充解释，但不能把胜率直接当作因果说明</w:t>
            </w:r>
          </w:p>
        </w:tc>
      </w:tr>
      <w:tr w14:paraId="12AFDD4A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1455" w:type="dxa"/>
            <w:vAlign w:val="center"/>
          </w:tcPr>
          <w:p w14:paraId="74BC676F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泛化能力</w:t>
            </w:r>
          </w:p>
        </w:tc>
        <w:tc>
          <w:tcPr>
            <w:tcW w:w="3557" w:type="dxa"/>
            <w:vAlign w:val="center"/>
          </w:tcPr>
          <w:p w14:paraId="17604BB0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小棋盘复现能否代表围棋或标准五子棋</w:t>
            </w:r>
          </w:p>
        </w:tc>
        <w:tc>
          <w:tcPr>
            <w:tcW w:w="4667" w:type="dxa"/>
            <w:vAlign w:val="center"/>
          </w:tcPr>
          <w:p w14:paraId="353170CE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本实验用于说明技术闭环，不宣称达到完整棋类系统棋力</w:t>
            </w:r>
          </w:p>
        </w:tc>
      </w:tr>
      <w:tr w14:paraId="2BB0CF5B">
        <w:tblPrEx>
          <w:tblBorders>
            <w:top w:val="single" w:color="AAB8C7" w:sz="6" w:space="0"/>
            <w:left w:val="single" w:color="AAB8C7" w:sz="6" w:space="0"/>
            <w:bottom w:val="single" w:color="AAB8C7" w:sz="6" w:space="0"/>
            <w:right w:val="single" w:color="AAB8C7" w:sz="6" w:space="0"/>
            <w:insideH w:val="single" w:color="AAB8C7" w:sz="6" w:space="0"/>
            <w:insideV w:val="single" w:color="AAB8C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455" w:type="dxa"/>
            <w:vAlign w:val="center"/>
          </w:tcPr>
          <w:p w14:paraId="09379449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评估可靠性</w:t>
            </w:r>
          </w:p>
        </w:tc>
        <w:tc>
          <w:tcPr>
            <w:tcW w:w="3557" w:type="dxa"/>
            <w:vAlign w:val="center"/>
          </w:tcPr>
          <w:p w14:paraId="2DBB1F41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少量对局容易受先后手和随机性影响</w:t>
            </w:r>
          </w:p>
        </w:tc>
        <w:tc>
          <w:tcPr>
            <w:tcW w:w="4667" w:type="dxa"/>
            <w:vAlign w:val="center"/>
          </w:tcPr>
          <w:p w14:paraId="5ED8FF8C">
            <w:pPr>
              <w:spacing w:after="20" w:line="26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sz w:val="15"/>
              </w:rPr>
              <w:t>应扩大局数、固定随机种子、分别报告先手和后手表现</w:t>
            </w:r>
          </w:p>
        </w:tc>
      </w:tr>
    </w:tbl>
    <w:p w14:paraId="3D2C2D4B">
      <w:pPr>
        <w:spacing w:after="20"/>
        <w:rPr>
          <w:rFonts w:hint="eastAsia" w:ascii="宋体" w:hAnsi="宋体" w:eastAsia="宋体" w:cs="宋体"/>
        </w:rPr>
      </w:pPr>
    </w:p>
    <w:p w14:paraId="2EDEAE31">
      <w:pPr>
        <w:pStyle w:val="3"/>
        <w:keepNext/>
        <w:spacing w:before="80" w:after="16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color w:val="1F4E79"/>
          <w:sz w:val="30"/>
        </w:rPr>
        <w:t>参考资料</w:t>
      </w:r>
    </w:p>
    <w:p w14:paraId="2F81125A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16"/>
        </w:rPr>
        <w:t xml:space="preserve">[1] Google DeepMind：AlphaGo 项目页.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"https://deepmind.google/research/alphago/"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563C1"/>
          <w:sz w:val="17"/>
          <w:u w:val="single"/>
        </w:rPr>
        <w:t>https://deepmind.google/research/alphago/</w:t>
      </w:r>
      <w:r>
        <w:rPr>
          <w:rFonts w:hint="eastAsia" w:ascii="宋体" w:hAnsi="宋体" w:eastAsia="宋体" w:cs="宋体"/>
          <w:color w:val="0563C1"/>
          <w:sz w:val="17"/>
          <w:u w:val="single"/>
        </w:rPr>
        <w:fldChar w:fldCharType="end"/>
      </w:r>
    </w:p>
    <w:p w14:paraId="07E6DAE8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16"/>
        </w:rPr>
        <w:t xml:space="preserve">[2] Silver et al. Mastering the game of Go with deep neural networks and tree search. Nature, 2016.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"https://www.nature.com/articles/nature16961"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563C1"/>
          <w:sz w:val="17"/>
          <w:u w:val="single"/>
        </w:rPr>
        <w:t>https://www.nature.com/articles/nature16961</w:t>
      </w:r>
      <w:r>
        <w:rPr>
          <w:rFonts w:hint="eastAsia" w:ascii="宋体" w:hAnsi="宋体" w:eastAsia="宋体" w:cs="宋体"/>
          <w:color w:val="0563C1"/>
          <w:sz w:val="17"/>
          <w:u w:val="single"/>
        </w:rPr>
        <w:fldChar w:fldCharType="end"/>
      </w:r>
    </w:p>
    <w:p w14:paraId="05D74332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16"/>
        </w:rPr>
        <w:t xml:space="preserve">[3] Silver et al. Mastering the game of Go without human knowledge. Nature, 2017.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"https://www.nature.com/articles/nature24270"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563C1"/>
          <w:sz w:val="17"/>
          <w:u w:val="single"/>
        </w:rPr>
        <w:t>https://www.nature.com/articles/nature24270</w:t>
      </w:r>
      <w:r>
        <w:rPr>
          <w:rFonts w:hint="eastAsia" w:ascii="宋体" w:hAnsi="宋体" w:eastAsia="宋体" w:cs="宋体"/>
          <w:color w:val="0563C1"/>
          <w:sz w:val="17"/>
          <w:u w:val="single"/>
        </w:rPr>
        <w:fldChar w:fldCharType="end"/>
      </w:r>
    </w:p>
    <w:p w14:paraId="343A122C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16"/>
        </w:rPr>
        <w:t xml:space="preserve">[4] Silver et al. Mastering Chess and Shogi by Self-Play with a General Reinforcement Learning Algorithm. arXiv, 2017.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"https://arxiv.org/abs/1712.01815"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563C1"/>
          <w:sz w:val="17"/>
          <w:u w:val="single"/>
        </w:rPr>
        <w:t>https://arxiv.org/abs/1712.01815</w:t>
      </w:r>
      <w:r>
        <w:rPr>
          <w:rFonts w:hint="eastAsia" w:ascii="宋体" w:hAnsi="宋体" w:eastAsia="宋体" w:cs="宋体"/>
          <w:color w:val="0563C1"/>
          <w:sz w:val="17"/>
          <w:u w:val="single"/>
        </w:rPr>
        <w:fldChar w:fldCharType="end"/>
      </w:r>
    </w:p>
    <w:p w14:paraId="5FBFD270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16"/>
        </w:rPr>
        <w:t xml:space="preserve">[5] junxiaosong/AlphaZero_Gomoku GitHub 仓库.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"https://github.com/junxiaosong/AlphaZero_Gomoku"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563C1"/>
          <w:sz w:val="17"/>
          <w:u w:val="single"/>
        </w:rPr>
        <w:t>https://github.com/junxiaosong/AlphaZero_Gomoku</w:t>
      </w:r>
      <w:r>
        <w:rPr>
          <w:rFonts w:hint="eastAsia" w:ascii="宋体" w:hAnsi="宋体" w:eastAsia="宋体" w:cs="宋体"/>
          <w:color w:val="0563C1"/>
          <w:sz w:val="17"/>
          <w:u w:val="single"/>
        </w:rPr>
        <w:fldChar w:fldCharType="end"/>
      </w:r>
    </w:p>
    <w:p w14:paraId="01EABF31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16"/>
        </w:rPr>
        <w:t xml:space="preserve">[6] Leela Zero GitHub 仓库.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"https://github.com/leela-zero/leela-zero"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563C1"/>
          <w:sz w:val="17"/>
          <w:u w:val="single"/>
        </w:rPr>
        <w:t>https://github.com/leela-zero/leela-zero</w:t>
      </w:r>
      <w:r>
        <w:rPr>
          <w:rFonts w:hint="eastAsia" w:ascii="宋体" w:hAnsi="宋体" w:eastAsia="宋体" w:cs="宋体"/>
          <w:color w:val="0563C1"/>
          <w:sz w:val="17"/>
          <w:u w:val="single"/>
        </w:rPr>
        <w:fldChar w:fldCharType="end"/>
      </w:r>
    </w:p>
    <w:p w14:paraId="5ACCC9F4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16"/>
        </w:rPr>
        <w:t xml:space="preserve">[7] KataGo Distributed Training.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"https://katagotraining.org/"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563C1"/>
          <w:sz w:val="17"/>
          <w:u w:val="single"/>
        </w:rPr>
        <w:t>https://katagotraining.org/</w:t>
      </w:r>
      <w:r>
        <w:rPr>
          <w:rFonts w:hint="eastAsia" w:ascii="宋体" w:hAnsi="宋体" w:eastAsia="宋体" w:cs="宋体"/>
          <w:color w:val="0563C1"/>
          <w:sz w:val="17"/>
          <w:u w:val="single"/>
        </w:rPr>
        <w:fldChar w:fldCharType="end"/>
      </w:r>
    </w:p>
    <w:p w14:paraId="33178E51">
      <w:pPr>
        <w:spacing w:after="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16"/>
        </w:rPr>
        <w:t xml:space="preserve">[8] GFW Jumper：聊聊大伙儿对 AlphaGo 的误解. </w:t>
      </w:r>
      <w:r>
        <w:rPr>
          <w:rFonts w:hint="eastAsia" w:ascii="宋体" w:hAnsi="宋体" w:eastAsia="宋体" w:cs="宋体"/>
        </w:rPr>
        <w:fldChar w:fldCharType="begin"/>
      </w:r>
      <w:r>
        <w:rPr>
          <w:rFonts w:hint="eastAsia" w:ascii="宋体" w:hAnsi="宋体" w:eastAsia="宋体" w:cs="宋体"/>
        </w:rPr>
        <w:instrText xml:space="preserve"> HYPERLINK "https://gfwjumper.medium.com/%E8%81%8A%E8%81%8A%E5%A4%A7%E4%BC%99%E5%84%BF-%E5%8C%85%E6%8B%AC%E6%9F%90%E4%BA%9B%E8%81%8C%E4%B8%9A%E5%9B%B4%E6%A3%8B%E6%89%8B-%E5%AF%B9-alphago-%E7%9A%84%E8%AF%AF%E8%A7%A3-e6fd5d034123" \h </w:instrText>
      </w:r>
      <w:r>
        <w:rPr>
          <w:rFonts w:hint="eastAsia"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color w:val="0563C1"/>
          <w:sz w:val="17"/>
          <w:u w:val="single"/>
        </w:rPr>
        <w:t>https://gfwjumper.medium.com/%E8%81%8A%E8%81%8A%E5%A4%A7%E4%BC%99%E5%84%BF-%E5%8C%85%E6%8B%AC%E6%9F%90%E4%BA%9B%E8%81%8C%E4%B8%9A%E5%9B%B4%E6%A3%8B%E6%89%8B-%E5%AF%B9-alphago-%E7%9A%84%E8%AF%AF%E8%A7%A3-e6fd5d034123</w:t>
      </w:r>
      <w:r>
        <w:rPr>
          <w:rFonts w:hint="eastAsia" w:ascii="宋体" w:hAnsi="宋体" w:eastAsia="宋体" w:cs="宋体"/>
          <w:color w:val="0563C1"/>
          <w:sz w:val="17"/>
          <w:u w:val="single"/>
        </w:rPr>
        <w:fldChar w:fldCharType="end"/>
      </w:r>
    </w:p>
    <w:sectPr>
      <w:footerReference r:id="rId5" w:type="default"/>
      <w:pgSz w:w="12240" w:h="15840"/>
      <w:pgMar w:top="879" w:right="935" w:bottom="822" w:left="9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4F43B">
    <w:pPr>
      <w:pStyle w:val="24"/>
      <w:jc w:val="center"/>
    </w:pPr>
    <w:r>
      <w:rPr>
        <w:rFonts w:ascii="Times New Roman" w:hAnsi="Times New Roman" w:eastAsia="宋体"/>
        <w:b w:val="0"/>
        <w:color w:val="646464"/>
        <w:sz w:val="17"/>
      </w:rPr>
      <w:t>AlphaGo 与围棋 AI 家族实验报告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8641AB"/>
    <w:rsid w:val="35234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4560</Words>
  <Characters>6461</Characters>
  <Lines>0</Lines>
  <Paragraphs>0</Paragraphs>
  <TotalTime>206</TotalTime>
  <ScaleCrop>false</ScaleCrop>
  <LinksUpToDate>false</LinksUpToDate>
  <CharactersWithSpaces>6788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24981</cp:lastModifiedBy>
  <dcterms:modified xsi:type="dcterms:W3CDTF">2026-05-26T05:51:50Z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eyJoZGlkIjoiMWEyMzI2MTRlZDRkMGU2MDViMWY5Mjg0MTQ0YWNhMGEiLCJ1c2VySWQiOiI4NjExODg5ODIifQ==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FFF49D5521C6475BA0B3BC435CB82DF2_12</vt:lpwstr>
  </property>
</Properties>
</file>