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bookmarkStart w:id="0" w:name="_GoBack"/>
      <w:bookmarkEnd w:id="0"/>
      <w:r w:rsidRPr="001F1AAC">
        <w:rPr>
          <w:rFonts w:ascii="Arial" w:hAnsi="Arial" w:cs="Arial" w:hint="eastAsia"/>
          <w:b/>
          <w:sz w:val="36"/>
        </w:rPr>
        <w:t xml:space="preserve">Openchain 適合仕様書</w:t>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107E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7107E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7107E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7107E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7107ED">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7107ED">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7107ED">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7107ED">
      <w:pPr>
        <w:pStyle w:val="21"/>
        <w:tabs>
          <w:tab w:val="right" w:leader="dot" w:pos="8494"/>
        </w:tabs>
        <w:rPr>
          <w:noProof/>
        </w:rPr>
      </w:pPr>
      <w:hyperlink w:anchor="_Toc476563272" w:history="1">
        <w:r w:rsidR="00783247" w:rsidRPr="002F4AD4">
          <w:rPr>
            <w:rStyle w:val="a8"/>
            <w:rFonts w:ascii="Arial" w:hAnsi="Arial" w:cs="Arial"/>
            <w:noProof/>
          </w:rPr>
          <w:t xml:space="preserve">G6: 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1" w:name="_Toc476563264"/>
      <w:r w:rsidRPr="00D20446">
        <w:lastRenderedPageBreak/>
        <w:t xml:space="preserve">はじめに</w:t>
      </w:r>
      <w:bookmarkEnd w:id="1"/>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2" w:name="_Toc476563265"/>
      <w:r w:rsidRPr="0048047F">
        <w:lastRenderedPageBreak/>
        <w:t xml:space="preserve">用語の定義</w:t>
      </w:r>
      <w:bookmarkEnd w:id="2"/>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 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供給ソフトウェア－組織が第三者に対し提供するソフトウェアのこと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3" w:name="_Toc476563266"/>
      <w:r w:rsidRPr="0048047F">
        <w:lastRenderedPageBreak/>
        <w:t xml:space="preserve">満たすべき要件</w:t>
      </w:r>
      <w:bookmarkEnd w:id="3"/>
    </w:p>
    <w:p w:rsidR="00E828D4" w:rsidRPr="0048047F" w:rsidRDefault="00E828D4" w:rsidP="00CC1B4F">
      <w:pPr>
        <w:pStyle w:val="2"/>
        <w:rPr>
          <w:rFonts w:ascii="Arial" w:hAnsi="Arial" w:cs="Arial"/>
          <w:sz w:val="20"/>
        </w:rPr>
      </w:pPr>
      <w:bookmarkStart w:id="4" w:name="_Toc476563267"/>
      <w:r w:rsidRPr="0048047F">
        <w:rPr>
          <w:rFonts w:ascii="Arial" w:hAnsi="Arial" w:cs="Arial"/>
          <w:sz w:val="20"/>
        </w:rPr>
        <w:t xml:space="preserve">G1: FOSSに係る責任を理解している</w:t>
      </w:r>
      <w:bookmarkEnd w:id="4"/>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提供されるソフトウェアのFOSSコンポーネントを確認、記録、もしくは追跡するためのプロセス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 ソフトウェアスタッフはFOSSトレーニングを（現状に即すとみなされるように）少なくとも直近24ヶ月以内に修了していなければなりません。 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8"/>
      <w:r w:rsidRPr="0048047F">
        <w:rPr>
          <w:rFonts w:ascii="Arial" w:hAnsi="Arial" w:cs="Arial"/>
          <w:sz w:val="20"/>
        </w:rPr>
        <w:lastRenderedPageBreak/>
        <w:t xml:space="preserve">G2: コンプライアンス到達のための責任者のアサインしている</w:t>
      </w:r>
      <w:bookmarkEnd w:id="5"/>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 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 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 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 組織内部のFOSSコンプライアンスを管理する責任者をアサインすること。 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 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 ここで定められたFOSS責任者が有効性をもってアサインされたことを確かなものにします。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供給されたソフトウェアを構成するために用いられる全てのFOSSコンポーネントを特定し、リスト化するためのプロセスが存在することを確かなものにします。 個々のコンポーネントの頒布に関する義務や制約を理解するために、ライセンス条項の体系的なレビューを支援するよう、本目録が存在していなければなりません。 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コピーレフトの義務を生じうる他のFOSSと統合されている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 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 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提供ソフトウェアが伴う確認済みライセンスに応じ要求される、以下の頒布・配布コンプライアンス生成物が用意されていること：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 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 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FOSSコミュニティとの（積極的な）関わり方を理解している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 公の場でのFOSSコントリビューションに関し方針を立てることについて理にかなった検討を行なったことを確かなものとします。 FOSSコントリビューション ポリシーは、組織における全体としてのFOSSポリシーの一部として、もしくは独立したポリシーとして、どちらの形でも策定可能です。 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 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 公にされているFOSSへコントリビュートするやり方について文書化されたプロセスを有していることを確かなものとします。 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OpenChainの要件を遵守していることを認定する</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組織がOpenChainに認定されるためには、本Openchain適合仕様書第1.0版に記載された基準を満たすFOSSプログラムを有していることを確認しなければなりません。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その組織が確認できている、本OpenChain適合仕様書第1.0版の要件を満たしたプログラムの存在</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 組織がOpenChainに適合したプログラムを有していると宣言した場合、当該プログラムが本仕様書のすべての要件を満たしていることを確かなものにします。 これら要件の単なる部分的な対応では、プログラムがOpenChain認定を保証するために十分なものとみなすことはできません。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7ED" w:rsidRDefault="007107ED" w:rsidP="00E84261">
      <w:r>
        <w:separator/>
      </w:r>
    </w:p>
  </w:endnote>
  <w:endnote w:type="continuationSeparator" w:id="0">
    <w:p w:rsidR="007107ED" w:rsidRDefault="007107E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514445" w:rsidRPr="00514445">
          <w:rPr>
            <w:rFonts w:asciiTheme="majorHAnsi" w:hAnsiTheme="majorHAnsi" w:cstheme="majorHAnsi"/>
            <w:noProof/>
            <w:lang w:val="ja-JP"/>
          </w:rPr>
          <w:t xml:space="preserve">1</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7ED" w:rsidRDefault="007107ED" w:rsidP="00E84261">
      <w:r>
        <w:separator/>
      </w:r>
    </w:p>
  </w:footnote>
  <w:footnote w:type="continuationSeparator" w:id="0">
    <w:p w:rsidR="007107ED" w:rsidRDefault="007107E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14445"/>
    <w:rsid w:val="00537FF1"/>
    <w:rsid w:val="00643731"/>
    <w:rsid w:val="006B4753"/>
    <w:rsid w:val="007107ED"/>
    <w:rsid w:val="00783247"/>
    <w:rsid w:val="007F3E6A"/>
    <w:rsid w:val="008C4E55"/>
    <w:rsid w:val="00931B55"/>
    <w:rsid w:val="009F733C"/>
    <w:rsid w:val="00A55D41"/>
    <w:rsid w:val="00B538CF"/>
    <w:rsid w:val="00C94D48"/>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0E9B-E853-4D31-AE0F-7E6CDD75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2266</Words>
  <Characters>12919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19</cp:revision>
  <cp:lastPrinted>2017-03-06T02:37:00Z</cp:lastPrinted>
  <dcterms:created xsi:type="dcterms:W3CDTF">2017-03-05T23:38:00Z</dcterms:created>
  <dcterms:modified xsi:type="dcterms:W3CDTF">2017-03-20T20:39:00Z</dcterms:modified>
</cp:coreProperties>
</file>