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オープン ソース</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Survey（2015年オープン ソースの未来調査）"</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クリス アンダーソン, CEO, 3DR
（ワイアード マガジン 前編集長、「ロング テール」著者）</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入るライセンス = プロプライエタリ ライセンス + ライセンスA + ライセンスB + ライセンスC</w:t>
      </w:r>
    </w:p>
    <w:p>
      <w:pPr>
        <w:pStyle w:val="BodyText"/>
        <w:spacing w:before="29"/>
        <w:ind w:left="599" w:right="2187"/>
      </w:pPr>
      <w:r>
        <w:rPr>
          <w:color w:val="6D6E71"/>
        </w:rPr>
        <w:t xml:space="preserve">出るライセンス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図19積み上げのコンプライアンスの例</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