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Models</w:t>
      </w:r>
    </w:p>
    <w:p>
      <w:pPr>
        <w:pStyle w:val="Heading1"/>
      </w:pPr>
      <w:r>
        <w:t>TICKER: CPB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CASY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CVS</w:t>
      </w:r>
    </w:p>
    <w:p>
      <w:r>
        <w:t>Something wrong happened</w:t>
      </w:r>
    </w:p>
    <w:p>
      <w:pPr>
        <w:pStyle w:val="Heading1"/>
      </w:pPr>
      <w:r>
        <w:t>TICKER: GIS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JJSF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JS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MKC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MNST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N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FIZZ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Z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RAD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SFM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F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HSY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S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TR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THS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TSN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pStyle w:val="Heading1"/>
      </w:pPr>
      <w:r>
        <w:t>TICKER: UNFI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F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