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Generative AI Guidance for Problem Set 2</w:t>
      </w:r>
    </w:p>
    <w:p>
      <w:pPr>
        <w:pStyle w:val="Subtitle"/>
      </w:pPr>
      <w:r>
        <w:t xml:space="preserve">4SSPP111: Statistics for Political Science I – 2025-2026 Semester 2</w:t>
      </w:r>
    </w:p>
    <w:p>
      <w:pPr>
        <w:pStyle w:val="FirstParagraph"/>
      </w:pPr>
      <w:r>
        <w:t xml:space="preserve">This document provides guidance on the use of generative AI tools (such as ChatGPT, Claude, Copilot, and similar) for Problem Set 2 (PS2) in 4SSPP111: Statistics for Political Science I.</w:t>
      </w:r>
    </w:p>
    <w:p>
      <w:pPr>
        <w:pStyle w:val="BodyText"/>
      </w:pPr>
      <w:r>
        <w:t xml:space="preserve">This guidance is consistent with King’s College London’s student guidance on generative AI, available at:</w:t>
      </w:r>
      <w:r>
        <w:t xml:space="preserve"> </w:t>
      </w:r>
      <w:hyperlink r:id="rId20">
        <w:r>
          <w:rPr>
            <w:rStyle w:val="Hyperlink"/>
          </w:rPr>
          <w:t xml:space="preserve">https://www.kcl.ac.uk/about/strategy/learning-and-teaching/ai-guidance/student-guidance</w:t>
        </w:r>
      </w:hyperlink>
    </w:p>
    <w:p>
      <w:pPr>
        <w:pStyle w:val="BodyText"/>
      </w:pPr>
      <w:r>
        <w:t xml:space="preserve">For PS2, the level of permitted AI use falls under</w:t>
      </w:r>
      <w:r>
        <w:t xml:space="preserve"> </w:t>
      </w:r>
      <w:r>
        <w:rPr>
          <w:b/>
          <w:bCs/>
        </w:rPr>
        <w:t xml:space="preserve">Category 2: Limited/Selective</w:t>
      </w:r>
      <w:r>
        <w:t xml:space="preserve"> </w:t>
      </w:r>
      <w:r>
        <w:t xml:space="preserve">— use for clearly delineated tasks as appropriate.</w:t>
      </w:r>
    </w:p>
    <w:bookmarkStart w:id="21" w:name="the-principle"/>
    <w:p>
      <w:pPr>
        <w:pStyle w:val="Heading2"/>
      </w:pPr>
      <w:r>
        <w:t xml:space="preserve">The principle</w:t>
      </w:r>
    </w:p>
    <w:p>
      <w:pPr>
        <w:pStyle w:val="FirstParagraph"/>
      </w:pPr>
      <w:r>
        <w:t xml:space="preserve">The guidance in this document follows from a single question:</w:t>
      </w:r>
    </w:p>
    <w:p>
      <w:pPr>
        <w:pStyle w:val="BlockText"/>
      </w:pPr>
      <w:r>
        <w:rPr>
          <w:b/>
          <w:bCs/>
        </w:rPr>
        <w:t xml:space="preserve">What does using AI mean for your skill development?</w:t>
      </w:r>
    </w:p>
    <w:p>
      <w:pPr>
        <w:pStyle w:val="FirstParagraph"/>
      </w:pPr>
      <w:r>
        <w:t xml:space="preserve">Generative AI can be a powerful learning tool. It can also be a way to skip the practice that builds the skills this module is designed to develop. The difference matters.</w:t>
      </w:r>
    </w:p>
    <w:p>
      <w:pPr>
        <w:pStyle w:val="BodyText"/>
      </w:pPr>
      <w:r>
        <w:t xml:space="preserve">This leads to three possible outcomes:</w:t>
      </w:r>
    </w:p>
    <w:p>
      <w:pPr>
        <w:pStyle w:val="Compact"/>
        <w:numPr>
          <w:ilvl w:val="0"/>
          <w:numId w:val="1001"/>
        </w:numPr>
      </w:pPr>
      <w:r>
        <w:t xml:space="preserve">If AI use</w:t>
      </w:r>
      <w:r>
        <w:t xml:space="preserve"> </w:t>
      </w:r>
      <w:r>
        <w:rPr>
          <w:b/>
          <w:bCs/>
        </w:rPr>
        <w:t xml:space="preserve">builds a skill you need</w:t>
      </w:r>
      <w:r>
        <w:t xml:space="preserve">, it is</w:t>
      </w:r>
      <w:r>
        <w:t xml:space="preserve"> </w:t>
      </w:r>
      <w:r>
        <w:rPr>
          <w:b/>
          <w:bCs/>
        </w:rPr>
        <w:t xml:space="preserve">encouraged</w:t>
      </w:r>
      <w:r>
        <w:t xml:space="preserve">.</w:t>
      </w:r>
    </w:p>
    <w:p>
      <w:pPr>
        <w:pStyle w:val="Compact"/>
        <w:numPr>
          <w:ilvl w:val="0"/>
          <w:numId w:val="1001"/>
        </w:numPr>
      </w:pPr>
      <w:r>
        <w:t xml:space="preserve">If AI use</w:t>
      </w:r>
      <w:r>
        <w:t xml:space="preserve"> </w:t>
      </w:r>
      <w:r>
        <w:rPr>
          <w:b/>
          <w:bCs/>
        </w:rPr>
        <w:t xml:space="preserve">has no effect on your skill development</w:t>
      </w:r>
      <w:r>
        <w:t xml:space="preserve">, it is</w:t>
      </w:r>
      <w:r>
        <w:t xml:space="preserve"> </w:t>
      </w:r>
      <w:r>
        <w:rPr>
          <w:b/>
          <w:bCs/>
        </w:rPr>
        <w:t xml:space="preserve">permitted</w:t>
      </w:r>
      <w:r>
        <w:t xml:space="preserve">.</w:t>
      </w:r>
    </w:p>
    <w:p>
      <w:pPr>
        <w:pStyle w:val="Compact"/>
        <w:numPr>
          <w:ilvl w:val="0"/>
          <w:numId w:val="1001"/>
        </w:numPr>
      </w:pPr>
      <w:r>
        <w:t xml:space="preserve">If AI use</w:t>
      </w:r>
      <w:r>
        <w:t xml:space="preserve"> </w:t>
      </w:r>
      <w:r>
        <w:rPr>
          <w:b/>
          <w:bCs/>
        </w:rPr>
        <w:t xml:space="preserve">replaces practice of a skill you need</w:t>
      </w:r>
      <w:r>
        <w:t xml:space="preserve">, you should</w:t>
      </w:r>
      <w:r>
        <w:t xml:space="preserve"> </w:t>
      </w:r>
      <w:r>
        <w:rPr>
          <w:b/>
          <w:bCs/>
        </w:rPr>
        <w:t xml:space="preserve">do this yourself</w:t>
      </w:r>
      <w:r>
        <w:t xml:space="preserve">.</w:t>
      </w:r>
    </w:p>
    <w:bookmarkEnd w:id="21"/>
    <w:bookmarkStart w:id="22" w:name="a-decision-tree"/>
    <w:p>
      <w:pPr>
        <w:pStyle w:val="Heading2"/>
      </w:pPr>
      <w:r>
        <w:t xml:space="preserve">A decision tree</w:t>
      </w:r>
    </w:p>
    <w:p>
      <w:pPr>
        <w:pStyle w:val="FirstParagraph"/>
      </w:pPr>
      <w:r>
        <w:t xml:space="preserve">When you are considering whether to use AI for a particular task, work through these questions in order:</w:t>
      </w:r>
    </w:p>
    <w:p>
      <w:pPr>
        <w:numPr>
          <w:ilvl w:val="0"/>
          <w:numId w:val="1002"/>
        </w:numPr>
      </w:pPr>
      <w:r>
        <w:rPr>
          <w:b/>
          <w:bCs/>
        </w:rPr>
        <w:t xml:space="preserve">Is this something I am being assessed on?</w:t>
      </w:r>
      <w:r>
        <w:t xml:space="preserve"> </w:t>
      </w:r>
      <w:r>
        <w:t xml:space="preserve">If yes →</w:t>
      </w:r>
      <w:r>
        <w:t xml:space="preserve"> </w:t>
      </w:r>
      <w:r>
        <w:rPr>
          <w:b/>
          <w:bCs/>
        </w:rPr>
        <w:t xml:space="preserve">Do this yourself.</w:t>
      </w:r>
      <w:r>
        <w:t xml:space="preserve"> </w:t>
      </w:r>
      <w:r>
        <w:t xml:space="preserve">Using AI here means skipping practice of a skill you are expected to demonstrate.</w:t>
      </w:r>
    </w:p>
    <w:p>
      <w:pPr>
        <w:numPr>
          <w:ilvl w:val="0"/>
          <w:numId w:val="1002"/>
        </w:numPr>
      </w:pPr>
      <w:r>
        <w:rPr>
          <w:b/>
          <w:bCs/>
        </w:rPr>
        <w:t xml:space="preserve">Will using AI here help me learn a skill I need?</w:t>
      </w:r>
      <w:r>
        <w:t xml:space="preserve"> </w:t>
      </w:r>
      <w:r>
        <w:t xml:space="preserve">If yes →</w:t>
      </w:r>
      <w:r>
        <w:t xml:space="preserve"> </w:t>
      </w:r>
      <w:r>
        <w:rPr>
          <w:b/>
          <w:bCs/>
        </w:rPr>
        <w:t xml:space="preserve">Encouraged.</w:t>
      </w:r>
      <w:r>
        <w:t xml:space="preserve"> </w:t>
      </w:r>
      <w:r>
        <w:t xml:space="preserve">This is an effective use of AI as a learning tool.</w:t>
      </w:r>
    </w:p>
    <w:p>
      <w:pPr>
        <w:numPr>
          <w:ilvl w:val="0"/>
          <w:numId w:val="1002"/>
        </w:numPr>
      </w:pPr>
      <w:r>
        <w:rPr>
          <w:b/>
          <w:bCs/>
        </w:rPr>
        <w:t xml:space="preserve">Neither of the above?</w:t>
      </w:r>
      <w:r>
        <w:t xml:space="preserve"> </w:t>
      </w:r>
      <w:r>
        <w:t xml:space="preserve">→</w:t>
      </w:r>
      <w:r>
        <w:t xml:space="preserve"> </w:t>
      </w:r>
      <w:r>
        <w:rPr>
          <w:b/>
          <w:bCs/>
        </w:rPr>
        <w:t xml:space="preserve">Permitted.</w:t>
      </w:r>
      <w:r>
        <w:t xml:space="preserve"> </w:t>
      </w:r>
      <w:r>
        <w:t xml:space="preserve">You may use AI here at your own judgement.</w:t>
      </w:r>
    </w:p>
    <w:bookmarkEnd w:id="22"/>
    <w:bookmarkStart w:id="26" w:name="three-tiers-with-examples"/>
    <w:p>
      <w:pPr>
        <w:pStyle w:val="Heading2"/>
      </w:pPr>
      <w:r>
        <w:t xml:space="preserve">Three tiers, with examples</w:t>
      </w:r>
    </w:p>
    <w:bookmarkStart w:id="23" w:name="X89439e512d0677f2e9aeaa924dddc7a6106a023"/>
    <w:p>
      <w:pPr>
        <w:pStyle w:val="Heading3"/>
      </w:pPr>
      <w:r>
        <w:t xml:space="preserve">Encouraged — AI use builds a skill you need</w:t>
      </w:r>
    </w:p>
    <w:p>
      <w:pPr>
        <w:pStyle w:val="FirstParagraph"/>
      </w:pPr>
      <w:r>
        <w:t xml:space="preserve">You are not assessed on whether you can memorise Stata commands. Before generative AI became widely available, looking up commands on Google or Stack Overflow was standard practice — even among experienced researchers. What matters is that you understand the basic syntax and logic of the software, so you can detect when AI makes a mistake.</w:t>
      </w:r>
    </w:p>
    <w:p>
      <w:pPr>
        <w:pStyle w:val="BodyText"/>
      </w:pPr>
      <w:r>
        <w:t xml:space="preserve">Generative AI is a powerful tool for learning how to use Stata, and you are encouraged to use it for tasks such as:</w:t>
      </w:r>
    </w:p>
    <w:p>
      <w:pPr>
        <w:pStyle w:val="Compact"/>
        <w:numPr>
          <w:ilvl w:val="0"/>
          <w:numId w:val="1003"/>
        </w:numPr>
      </w:pPr>
      <w:r>
        <w:t xml:space="preserve">Learning Stata commands and syntax (e.g.,</w:t>
      </w:r>
      <w:r>
        <w:t xml:space="preserve"> </w:t>
      </w:r>
      <w:r>
        <w:t xml:space="preserve">“How do I run a two-sample t-test in Stata?”</w:t>
      </w:r>
      <w:r>
        <w:t xml:space="preserve">)</w:t>
      </w:r>
    </w:p>
    <w:p>
      <w:pPr>
        <w:pStyle w:val="Compact"/>
        <w:numPr>
          <w:ilvl w:val="0"/>
          <w:numId w:val="1003"/>
        </w:numPr>
      </w:pPr>
      <w:r>
        <w:t xml:space="preserve">Debugging error messages (e.g., pasting an error and asking what went wrong)</w:t>
      </w:r>
    </w:p>
    <w:p>
      <w:pPr>
        <w:pStyle w:val="Compact"/>
        <w:numPr>
          <w:ilvl w:val="0"/>
          <w:numId w:val="1003"/>
        </w:numPr>
      </w:pPr>
      <w:r>
        <w:t xml:space="preserve">Understanding what a command does (e.g.,</w:t>
      </w:r>
      <w:r>
        <w:t xml:space="preserve"> </w:t>
      </w:r>
      <w:r>
        <w:t xml:space="preserve">“What does the</w:t>
      </w:r>
      <w:r>
        <w:t xml:space="preserve"> </w:t>
      </w:r>
      <w:r>
        <w:rPr>
          <w:rStyle w:val="VerbatimChar"/>
        </w:rPr>
        <w:t xml:space="preserve">robust</w:t>
      </w:r>
      <w:r>
        <w:t xml:space="preserve"> </w:t>
      </w:r>
      <w:r>
        <w:t xml:space="preserve">option do in</w:t>
      </w:r>
      <w:r>
        <w:t xml:space="preserve"> </w:t>
      </w:r>
      <w:r>
        <w:rPr>
          <w:rStyle w:val="VerbatimChar"/>
        </w:rPr>
        <w:t xml:space="preserve">regress</w:t>
      </w:r>
      <w:r>
        <w:t xml:space="preserve">?”</w:t>
      </w:r>
      <w:r>
        <w:t xml:space="preserve">)</w:t>
      </w:r>
    </w:p>
    <w:p>
      <w:pPr>
        <w:pStyle w:val="Compact"/>
        <w:numPr>
          <w:ilvl w:val="0"/>
          <w:numId w:val="1003"/>
        </w:numPr>
      </w:pPr>
      <w:r>
        <w:t xml:space="preserve">Formatting output, graphs, or tables</w:t>
      </w:r>
    </w:p>
    <w:p>
      <w:pPr>
        <w:pStyle w:val="FirstParagraph"/>
      </w:pPr>
      <w:r>
        <w:t xml:space="preserve">Use these interactions as learning opportunities. Read the AI’s explanations, try things out in Stata, and build your understanding of why the code works — not just what to type.</w:t>
      </w:r>
    </w:p>
    <w:bookmarkEnd w:id="23"/>
    <w:bookmarkStart w:id="24" w:name="X1adc65e3668460b95772cb417f15afde2872f52"/>
    <w:p>
      <w:pPr>
        <w:pStyle w:val="Heading3"/>
      </w:pPr>
      <w:r>
        <w:t xml:space="preserve">Permitted — AI use is neutral for skill development</w:t>
      </w:r>
    </w:p>
    <w:p>
      <w:pPr>
        <w:pStyle w:val="FirstParagraph"/>
      </w:pPr>
      <w:r>
        <w:t xml:space="preserve">Some tasks are not directly assessed and do not involve core analytical skills. You may use AI for these if you find it helpful, but there is no particular reason to seek it out. Examples include:</w:t>
      </w:r>
    </w:p>
    <w:p>
      <w:pPr>
        <w:pStyle w:val="Compact"/>
        <w:numPr>
          <w:ilvl w:val="0"/>
          <w:numId w:val="1004"/>
        </w:numPr>
      </w:pPr>
      <w:r>
        <w:t xml:space="preserve">Getting feedback on the clarity of your writing</w:t>
      </w:r>
    </w:p>
    <w:p>
      <w:pPr>
        <w:pStyle w:val="Compact"/>
        <w:numPr>
          <w:ilvl w:val="0"/>
          <w:numId w:val="1004"/>
        </w:numPr>
      </w:pPr>
      <w:r>
        <w:t xml:space="preserve">Proofreading or checking grammar</w:t>
      </w:r>
    </w:p>
    <w:p>
      <w:pPr>
        <w:pStyle w:val="Compact"/>
        <w:numPr>
          <w:ilvl w:val="0"/>
          <w:numId w:val="1004"/>
        </w:numPr>
      </w:pPr>
      <w:r>
        <w:t xml:space="preserve">Asking about formatting conventions (e.g.,</w:t>
      </w:r>
      <w:r>
        <w:t xml:space="preserve"> </w:t>
      </w:r>
      <w:r>
        <w:t xml:space="preserve">“How should I label a table in an academic report?”</w:t>
      </w:r>
      <w:r>
        <w:t xml:space="preserve">)</w:t>
      </w:r>
    </w:p>
    <w:bookmarkEnd w:id="24"/>
    <w:bookmarkStart w:id="25" w:name="X670fdede6c67fb0a76edfba0a0eb022565d3ff0"/>
    <w:p>
      <w:pPr>
        <w:pStyle w:val="Heading3"/>
      </w:pPr>
      <w:r>
        <w:t xml:space="preserve">Do this yourself — AI use replaces practice of a skill you need</w:t>
      </w:r>
    </w:p>
    <w:p>
      <w:pPr>
        <w:pStyle w:val="FirstParagraph"/>
      </w:pPr>
      <w:r>
        <w:t xml:space="preserve">PS2 is designed to assess your ability to reason about research questions, data, and statistical results. These are the skills you are here to develop, and they require practice using your own thinking. You should complete the following types of tasks without AI assistance:</w:t>
      </w:r>
    </w:p>
    <w:p>
      <w:pPr>
        <w:pStyle w:val="Compact"/>
        <w:numPr>
          <w:ilvl w:val="0"/>
          <w:numId w:val="1005"/>
        </w:numPr>
      </w:pPr>
      <w:r>
        <w:t xml:space="preserve">Formulating your research question and hypothesis</w:t>
      </w:r>
    </w:p>
    <w:p>
      <w:pPr>
        <w:pStyle w:val="Compact"/>
        <w:numPr>
          <w:ilvl w:val="0"/>
          <w:numId w:val="1005"/>
        </w:numPr>
      </w:pPr>
      <w:r>
        <w:t xml:space="preserve">Choosing your independent and dependent variables</w:t>
      </w:r>
    </w:p>
    <w:p>
      <w:pPr>
        <w:pStyle w:val="Compact"/>
        <w:numPr>
          <w:ilvl w:val="0"/>
          <w:numId w:val="1005"/>
        </w:numPr>
      </w:pPr>
      <w:r>
        <w:t xml:space="preserve">Selecting and justifying your statistical test</w:t>
      </w:r>
    </w:p>
    <w:p>
      <w:pPr>
        <w:pStyle w:val="Compact"/>
        <w:numPr>
          <w:ilvl w:val="0"/>
          <w:numId w:val="1005"/>
        </w:numPr>
      </w:pPr>
      <w:r>
        <w:t xml:space="preserve">Interpreting your results (e.g., explaining what a p-value means in context)</w:t>
      </w:r>
    </w:p>
    <w:p>
      <w:pPr>
        <w:pStyle w:val="Compact"/>
        <w:numPr>
          <w:ilvl w:val="0"/>
          <w:numId w:val="1005"/>
        </w:numPr>
      </w:pPr>
      <w:r>
        <w:t xml:space="preserve">Discussing causality, confounding, and the limitations of your analysis</w:t>
      </w:r>
    </w:p>
    <w:bookmarkEnd w:id="25"/>
    <w:bookmarkEnd w:id="26"/>
    <w:bookmarkStart w:id="27" w:name="a-note-on-the-grey-zone"/>
    <w:p>
      <w:pPr>
        <w:pStyle w:val="Heading2"/>
      </w:pPr>
      <w:r>
        <w:t xml:space="preserve">A note on the grey zone</w:t>
      </w:r>
    </w:p>
    <w:p>
      <w:pPr>
        <w:pStyle w:val="FirstParagraph"/>
      </w:pPr>
      <w:r>
        <w:t xml:space="preserve">There is a boundary between using AI to learn a concept and using AI to do your analysis for you. The key distinction is whether your specific research question enters the prompt.</w:t>
      </w:r>
    </w:p>
    <w:p>
      <w:pPr>
        <w:pStyle w:val="Compact"/>
        <w:numPr>
          <w:ilvl w:val="0"/>
          <w:numId w:val="1006"/>
        </w:numPr>
      </w:pPr>
      <w:r>
        <w:t xml:space="preserve">Asking AI</w:t>
      </w:r>
      <w:r>
        <w:t xml:space="preserve"> </w:t>
      </w:r>
      <w:r>
        <w:rPr>
          <w:i/>
          <w:iCs/>
        </w:rPr>
        <w:t xml:space="preserve">“What is a confounding variable?”</w:t>
      </w:r>
      <w:r>
        <w:t xml:space="preserve"> </w:t>
      </w:r>
      <w:r>
        <w:t xml:space="preserve">is fine. You are building understanding of a concept.</w:t>
      </w:r>
    </w:p>
    <w:p>
      <w:pPr>
        <w:pStyle w:val="Compact"/>
        <w:numPr>
          <w:ilvl w:val="0"/>
          <w:numId w:val="1006"/>
        </w:numPr>
      </w:pPr>
      <w:r>
        <w:t xml:space="preserve">Asking AI</w:t>
      </w:r>
      <w:r>
        <w:t xml:space="preserve"> </w:t>
      </w:r>
      <w:r>
        <w:rPr>
          <w:i/>
          <w:iCs/>
        </w:rPr>
        <w:t xml:space="preserve">“What confounding variables might affect the relationship between X and Y in my dataset?”</w:t>
      </w:r>
      <w:r>
        <w:t xml:space="preserve"> </w:t>
      </w:r>
      <w:r>
        <w:t xml:space="preserve">crosses the line. You are asking AI to do analytical reasoning that the assignment is designed for you to practise.</w:t>
      </w:r>
    </w:p>
    <w:p>
      <w:pPr>
        <w:pStyle w:val="FirstParagraph"/>
      </w:pPr>
      <w:r>
        <w:t xml:space="preserve">A useful test: if you could ask the same question without mentioning your research question, your variables, or your dataset, it is likely on the right side of the line. Once your specific analysis enters the conversation, you have moved into assessed territory.</w:t>
      </w:r>
    </w:p>
    <w:bookmarkEnd w:id="27"/>
    <w:bookmarkStart w:id="28" w:name="college-guidance-and-acknowledgement"/>
    <w:p>
      <w:pPr>
        <w:pStyle w:val="Heading2"/>
      </w:pPr>
      <w:r>
        <w:t xml:space="preserve">College guidance and acknowledgement</w:t>
      </w:r>
    </w:p>
    <w:p>
      <w:pPr>
        <w:pStyle w:val="FirstParagraph"/>
      </w:pPr>
      <w:r>
        <w:t xml:space="preserve">This document supplements — and is consistent with — King’s College London’s student guidance on generative AI:</w:t>
      </w:r>
      <w:r>
        <w:t xml:space="preserve"> </w:t>
      </w:r>
      <w:hyperlink r:id="rId20">
        <w:r>
          <w:rPr>
            <w:rStyle w:val="Hyperlink"/>
          </w:rPr>
          <w:t xml:space="preserve">https://www.kcl.ac.uk/about/strategy/learning-and-teaching/ai-guidance/student-guidance</w:t>
        </w:r>
      </w:hyperlink>
    </w:p>
    <w:p>
      <w:pPr>
        <w:pStyle w:val="BodyText"/>
      </w:pPr>
      <w:r>
        <w:t xml:space="preserve">As noted in the College guidance, you should acknowledge the use of AI tools in your submission. If you used AI for any part of your work (including permitted and encouraged uses), note this in your submission in accordance with the module’s requirements.</w:t>
      </w:r>
    </w:p>
    <w:bookmarkEnd w:id="28"/>
    <w:sectPr w:rsidR="000B09E7">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charset w:val="00"/>
    <w:family w:val="auto"/>
    <w:pitch w:val="variable"/>
    <w:sig w:usb0="E00002FF" w:usb1="1200A1FF"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092469"/>
      <w:docPartObj>
        <w:docPartGallery w:val="Page Numbers (Bottom of Page)"/>
        <w:docPartUnique/>
      </w:docPartObj>
    </w:sdtPr>
    <w:sdtEndPr>
      <w:rPr>
        <w:noProof/>
      </w:rPr>
    </w:sdtEndPr>
    <w:sdtContent>
      <w:p w14:paraId="75695AF3" w14:textId="77777777" w:rsidR="006525D4" w:rsidRDefault="006525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695AF4" w14:textId="77777777" w:rsidR="006525D4" w:rsidRDefault="006525D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37C29D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6622A8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B9AF8F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95B242F"/>
    <w:multiLevelType w:val="multilevel"/>
    <w:tmpl w:val="C00C07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77166BE0"/>
    <w:multiLevelType w:val="hybridMultilevel"/>
    <w:tmpl w:val="8216155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3369563" w:numId="1">
    <w:abstractNumId w:val="0"/>
  </w:num>
  <w:num w16cid:durableId="131946771" w:numId="2">
    <w:abstractNumId w:val="1"/>
  </w:num>
  <w:num w16cid:durableId="2089377865" w:numId="3">
    <w:abstractNumId w:val="1"/>
  </w:num>
  <w:num w16cid:durableId="729353159" w:numId="4">
    <w:abstractNumId w:val="1"/>
  </w:num>
  <w:num w16cid:durableId="1764763498" w:numId="5">
    <w:abstractNumId w:val="1"/>
  </w:num>
  <w:num w16cid:durableId="1010914327" w:numId="6">
    <w:abstractNumId w:val="1"/>
  </w:num>
  <w:num w16cid:durableId="1586762624" w:numId="7">
    <w:abstractNumId w:val="1"/>
  </w:num>
  <w:num w16cid:durableId="1843668509" w:numId="8">
    <w:abstractNumId w:val="1"/>
  </w:num>
  <w:num w16cid:durableId="1600328106" w:numId="9">
    <w:abstractNumId w:val="1"/>
  </w:num>
  <w:num w16cid:durableId="47803248" w:numId="10">
    <w:abstractNumId w:val="1"/>
  </w:num>
  <w:num w16cid:durableId="1814444799" w:numId="11">
    <w:abstractNumId w:val="1"/>
  </w:num>
  <w:num w16cid:durableId="1654262314" w:numId="12">
    <w:abstractNumId w:val="1"/>
  </w:num>
  <w:num w16cid:durableId="291903088" w:numId="13">
    <w:abstractNumId w:val="1"/>
  </w:num>
  <w:num w16cid:durableId="1812481118" w:numId="14">
    <w:abstractNumId w:val="1"/>
  </w:num>
  <w:num w16cid:durableId="1186557338" w:numId="15">
    <w:abstractNumId w:val="1"/>
  </w:num>
  <w:num w16cid:durableId="205457433" w:numId="16">
    <w:abstractNumId w:val="1"/>
  </w:num>
  <w:num w16cid:durableId="1447580999" w:numId="17">
    <w:abstractNumId w:val="1"/>
  </w:num>
  <w:num w16cid:durableId="2004357102" w:numId="18">
    <w:abstractNumId w:val="1"/>
  </w:num>
  <w:num w16cid:durableId="534587260" w:numId="19">
    <w:abstractNumId w:val="1"/>
  </w:num>
  <w:num w16cid:durableId="1122269518" w:numId="20">
    <w:abstractNumId w:val="1"/>
  </w:num>
  <w:num w16cid:durableId="576940139" w:numId="21">
    <w:abstractNumId w:val="1"/>
  </w:num>
  <w:num w16cid:durableId="964893035" w:numId="22">
    <w:abstractNumId w:val="1"/>
  </w:num>
  <w:num w16cid:durableId="1711296961" w:numId="23">
    <w:abstractNumId w:val="1"/>
  </w:num>
  <w:num w16cid:durableId="230047345" w:numId="24">
    <w:abstractNumId w:val="1"/>
  </w:num>
  <w:num w16cid:durableId="1249341769" w:numId="25">
    <w:abstractNumId w:val="1"/>
  </w:num>
  <w:num w16cid:durableId="1245262982" w:numId="26">
    <w:abstractNumId w:val="1"/>
  </w:num>
  <w:num w16cid:durableId="944924440" w:numId="27">
    <w:abstractNumId w:val="1"/>
  </w:num>
  <w:num w16cid:durableId="301615992" w:numId="28">
    <w:abstractNumId w:val="1"/>
  </w:num>
  <w:num w16cid:durableId="174459283" w:numId="29">
    <w:abstractNumId w:val="1"/>
  </w:num>
  <w:num w16cid:durableId="47144993" w:numId="30">
    <w:abstractNumId w:val="1"/>
  </w:num>
  <w:num w16cid:durableId="1148280605" w:numId="31">
    <w:abstractNumId w:val="1"/>
  </w:num>
  <w:num w16cid:durableId="1630236750" w:numId="32">
    <w:abstractNumId w:val="1"/>
  </w:num>
  <w:num w16cid:durableId="1511140275" w:numId="33">
    <w:abstractNumId w:val="1"/>
  </w:num>
  <w:num w16cid:durableId="242909144" w:numId="34">
    <w:abstractNumId w:val="1"/>
  </w:num>
  <w:num w16cid:durableId="1770346875" w:numId="35">
    <w:abstractNumId w:val="1"/>
  </w:num>
  <w:num w16cid:durableId="227544498" w:numId="36">
    <w:abstractNumId w:val="1"/>
  </w:num>
  <w:num w16cid:durableId="705914170" w:numId="37">
    <w:abstractNumId w:val="1"/>
  </w:num>
  <w:num w16cid:durableId="1547913107" w:numId="38">
    <w:abstractNumId w:val="1"/>
  </w:num>
  <w:num w16cid:durableId="98332729" w:numId="39">
    <w:abstractNumId w:val="1"/>
  </w:num>
  <w:num w16cid:durableId="1185362252" w:numId="40">
    <w:abstractNumId w:val="1"/>
  </w:num>
  <w:num w16cid:durableId="1364600640" w:numId="41">
    <w:abstractNumId w:val="1"/>
  </w:num>
  <w:num w16cid:durableId="2130510946" w:numId="42">
    <w:abstractNumId w:val="1"/>
  </w:num>
  <w:num w16cid:durableId="110250310" w:numId="43">
    <w:abstractNumId w:val="1"/>
  </w:num>
  <w:num w16cid:durableId="915359877" w:numId="44">
    <w:abstractNumId w:val="1"/>
  </w:num>
  <w:num w16cid:durableId="551698208" w:numId="45">
    <w:abstractNumId w:val="1"/>
  </w:num>
  <w:num w16cid:durableId="263734534" w:numId="46">
    <w:abstractNumId w:val="1"/>
  </w:num>
  <w:num w16cid:durableId="636381188" w:numId="47">
    <w:abstractNumId w:val="1"/>
  </w:num>
  <w:num w16cid:durableId="794983600" w:numId="48">
    <w:abstractNumId w:val="1"/>
  </w:num>
  <w:num w16cid:durableId="1793398967" w:numId="49">
    <w:abstractNumId w:val="1"/>
  </w:num>
  <w:num w16cid:durableId="146942684" w:numId="50">
    <w:abstractNumId w:val="1"/>
  </w:num>
  <w:num w16cid:durableId="864320551" w:numId="51">
    <w:abstractNumId w:val="1"/>
  </w:num>
  <w:num w16cid:durableId="972715523" w:numId="52">
    <w:abstractNumId w:val="1"/>
  </w:num>
  <w:num w16cid:durableId="1600674629" w:numId="53">
    <w:abstractNumId w:val="1"/>
  </w:num>
  <w:num w16cid:durableId="1164202037" w:numId="54">
    <w:abstractNumId w:val="1"/>
  </w:num>
  <w:num w16cid:durableId="1716153700" w:numId="55">
    <w:abstractNumId w:val="1"/>
  </w:num>
  <w:num w16cid:durableId="382294830" w:numId="56">
    <w:abstractNumId w:val="1"/>
  </w:num>
  <w:num w16cid:durableId="1178158040" w:numId="57">
    <w:abstractNumId w:val="0"/>
  </w:num>
  <w:num w16cid:durableId="1390037179" w:numId="58">
    <w:abstractNumId w:val="1"/>
  </w:num>
  <w:num w16cid:durableId="1184127011" w:numId="59">
    <w:abstractNumId w:val="1"/>
  </w:num>
  <w:num w16cid:durableId="1354107290"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05211934" w:numId="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7496621" w:numId="62">
    <w:abstractNumId w:val="1"/>
  </w:num>
  <w:num w16cid:durableId="1752971300" w:numId="63">
    <w:abstractNumId w:val="1"/>
  </w:num>
  <w:num w16cid:durableId="139427421" w:numId="64">
    <w:abstractNumId w:val="1"/>
  </w:num>
  <w:num w16cid:durableId="2016683869" w:numId="65">
    <w:abstractNumId w:val="1"/>
  </w:num>
  <w:num w16cid:durableId="1128166487" w:numId="66">
    <w:abstractNumId w:val="1"/>
  </w:num>
  <w:num w16cid:durableId="1761027778" w:numId="67">
    <w:abstractNumId w:val="1"/>
  </w:num>
  <w:num w16cid:durableId="1079595093" w:numId="68">
    <w:abstractNumId w:val="1"/>
  </w:num>
  <w:num w16cid:durableId="302927421" w:numId="69">
    <w:abstractNumId w:val="3"/>
  </w:num>
  <w:num w16cid:durableId="1240824029" w:numId="70">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233E4"/>
    <w:rsid w:val="000532E3"/>
    <w:rsid w:val="000B09E7"/>
    <w:rsid w:val="000C365D"/>
    <w:rsid w:val="00231FE8"/>
    <w:rsid w:val="002432D3"/>
    <w:rsid w:val="00247919"/>
    <w:rsid w:val="002614E7"/>
    <w:rsid w:val="00375D36"/>
    <w:rsid w:val="0040388E"/>
    <w:rsid w:val="00426D2C"/>
    <w:rsid w:val="00455F6B"/>
    <w:rsid w:val="00485401"/>
    <w:rsid w:val="004C283C"/>
    <w:rsid w:val="004F4F98"/>
    <w:rsid w:val="005233E4"/>
    <w:rsid w:val="00532AE4"/>
    <w:rsid w:val="005A0004"/>
    <w:rsid w:val="005B7978"/>
    <w:rsid w:val="006501BA"/>
    <w:rsid w:val="006525D4"/>
    <w:rsid w:val="00672FCD"/>
    <w:rsid w:val="00715DFA"/>
    <w:rsid w:val="007266ED"/>
    <w:rsid w:val="007E1BB0"/>
    <w:rsid w:val="009B1C78"/>
    <w:rsid w:val="009F6F2F"/>
    <w:rsid w:val="00A304A5"/>
    <w:rsid w:val="00A70B84"/>
    <w:rsid w:val="00AE2B9C"/>
    <w:rsid w:val="00AE2E4A"/>
    <w:rsid w:val="00AF6092"/>
    <w:rsid w:val="00B04B3D"/>
    <w:rsid w:val="00B96B4E"/>
    <w:rsid w:val="00BE1736"/>
    <w:rsid w:val="00BE3560"/>
    <w:rsid w:val="00C349B0"/>
    <w:rsid w:val="00D722F4"/>
    <w:rsid w:val="00D7247D"/>
    <w:rsid w:val="00DD4ED2"/>
    <w:rsid w:val="00DF6275"/>
    <w:rsid w:val="00E54251"/>
    <w:rsid w:val="00E55285"/>
    <w:rsid w:val="00E66FF0"/>
    <w:rsid w:val="00EE0E66"/>
    <w:rsid w:val="00F02D63"/>
    <w:rsid w:val="00F81077"/>
    <w:rsid w:val="00FA603B"/>
    <w:rsid w:val="00FC4D1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26D2C"/>
  </w:style>
  <w:style w:styleId="Heading1" w:type="paragraph">
    <w:name w:val="heading 1"/>
    <w:basedOn w:val="Normal"/>
    <w:next w:val="BodyText"/>
    <w:link w:val="Heading1Char"/>
    <w:uiPriority w:val="9"/>
    <w:qFormat/>
    <w:rsid w:val="00F81077"/>
    <w:pPr>
      <w:keepNext/>
      <w:keepLines/>
      <w:spacing w:after="80" w:before="360"/>
      <w:outlineLvl w:val="0"/>
    </w:pPr>
    <w:rPr>
      <w:rFonts w:ascii="Inter" w:cstheme="majorBidi" w:eastAsiaTheme="majorEastAsia" w:hAnsi="Inter"/>
      <w:color w:themeColor="accent1" w:themeShade="BF" w:val="0F4761"/>
      <w:sz w:val="40"/>
      <w:szCs w:val="40"/>
    </w:rPr>
  </w:style>
  <w:style w:styleId="Heading2" w:type="paragraph">
    <w:name w:val="heading 2"/>
    <w:basedOn w:val="Normal"/>
    <w:next w:val="BodyText"/>
    <w:link w:val="Heading2Char"/>
    <w:uiPriority w:val="9"/>
    <w:semiHidden/>
    <w:unhideWhenUsed/>
    <w:qFormat/>
    <w:rsid w:val="00DF6275"/>
    <w:pPr>
      <w:keepNext/>
      <w:keepLines/>
      <w:spacing w:after="80" w:before="160"/>
      <w:outlineLvl w:val="1"/>
    </w:pPr>
    <w:rPr>
      <w:rFonts w:asciiTheme="majorHAnsi" w:cstheme="majorBidi" w:eastAsiaTheme="majorEastAsia" w:hAnsiTheme="majorHAnsi"/>
      <w:b/>
      <w:color w:themeColor="text1" w:val="000000"/>
      <w:sz w:val="32"/>
      <w:szCs w:val="32"/>
    </w:rPr>
  </w:style>
  <w:style w:styleId="Heading3" w:type="paragraph">
    <w:name w:val="heading 3"/>
    <w:basedOn w:val="Normal"/>
    <w:next w:val="BodyText"/>
    <w:link w:val="Heading3Char"/>
    <w:uiPriority w:val="9"/>
    <w:semiHidden/>
    <w:unhideWhenUsed/>
    <w:qFormat/>
    <w:rsid w:val="00FA603B"/>
    <w:pPr>
      <w:keepNext/>
      <w:keepLines/>
      <w:spacing w:after="80" w:before="160"/>
      <w:outlineLvl w:val="2"/>
    </w:pPr>
    <w:rPr>
      <w:rFonts w:asciiTheme="majorHAnsi" w:cstheme="majorBidi" w:eastAsiaTheme="majorEastAsia" w:hAnsiTheme="majorHAnsi"/>
      <w:i/>
      <w:color w:themeColor="text1"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F6275"/>
    <w:pPr>
      <w:spacing w:after="80"/>
      <w:contextualSpacing/>
      <w:jc w:val="center"/>
    </w:pPr>
    <w:rPr>
      <w:rFonts w:asciiTheme="majorHAnsi" w:cstheme="majorBidi" w:eastAsiaTheme="majorEastAsia" w:hAnsiTheme="majorHAnsi"/>
      <w:b/>
      <w:sz w:val="56"/>
      <w:szCs w:val="56"/>
    </w:rPr>
  </w:style>
  <w:style w:customStyle="1" w:styleId="TitleChar" w:type="character">
    <w:name w:val="Title Char"/>
    <w:basedOn w:val="DefaultParagraphFont"/>
    <w:link w:val="Title"/>
    <w:uiPriority w:val="10"/>
    <w:rsid w:val="00DF6275"/>
    <w:rPr>
      <w:rFonts w:asciiTheme="majorHAnsi" w:cstheme="majorBidi" w:eastAsiaTheme="majorEastAsia" w:hAnsiTheme="majorHAnsi"/>
      <w:b/>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F81077"/>
    <w:rPr>
      <w:rFonts w:ascii="Inter" w:cstheme="majorBidi" w:eastAsiaTheme="majorEastAsia" w:hAnsi="Inter"/>
      <w:color w:themeColor="accent1" w:themeShade="BF" w:val="0F4761"/>
      <w:sz w:val="40"/>
      <w:szCs w:val="40"/>
    </w:rPr>
  </w:style>
  <w:style w:customStyle="1" w:styleId="Heading2Char" w:type="character">
    <w:name w:val="Heading 2 Char"/>
    <w:basedOn w:val="DefaultParagraphFont"/>
    <w:link w:val="Heading2"/>
    <w:uiPriority w:val="9"/>
    <w:semiHidden/>
    <w:rsid w:val="00DF6275"/>
    <w:rPr>
      <w:rFonts w:asciiTheme="majorHAnsi" w:cstheme="majorBidi" w:eastAsiaTheme="majorEastAsia" w:hAnsiTheme="majorHAnsi"/>
      <w:b/>
      <w:color w:themeColor="text1" w:val="000000"/>
      <w:sz w:val="32"/>
      <w:szCs w:val="32"/>
    </w:rPr>
  </w:style>
  <w:style w:customStyle="1" w:styleId="Heading3Char" w:type="character">
    <w:name w:val="Heading 3 Char"/>
    <w:basedOn w:val="DefaultParagraphFont"/>
    <w:link w:val="Heading3"/>
    <w:uiPriority w:val="9"/>
    <w:semiHidden/>
    <w:rsid w:val="00FA603B"/>
    <w:rPr>
      <w:rFonts w:asciiTheme="majorHAnsi" w:cstheme="majorBidi" w:eastAsiaTheme="majorEastAsia" w:hAnsiTheme="majorHAnsi"/>
      <w:i/>
      <w:color w:themeColor="text1"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6525D4"/>
    <w:pPr>
      <w:tabs>
        <w:tab w:pos="4680" w:val="center"/>
        <w:tab w:pos="9360" w:val="right"/>
      </w:tabs>
      <w:spacing w:after="0"/>
    </w:pPr>
  </w:style>
  <w:style w:customStyle="1" w:styleId="HeaderChar" w:type="character">
    <w:name w:val="Header Char"/>
    <w:basedOn w:val="DefaultParagraphFont"/>
    <w:link w:val="Header"/>
    <w:rsid w:val="006525D4"/>
  </w:style>
  <w:style w:styleId="Footer" w:type="paragraph">
    <w:name w:val="footer"/>
    <w:basedOn w:val="Normal"/>
    <w:link w:val="FooterChar"/>
    <w:uiPriority w:val="99"/>
    <w:rsid w:val="006525D4"/>
    <w:pPr>
      <w:tabs>
        <w:tab w:pos="4680" w:val="center"/>
        <w:tab w:pos="9360" w:val="right"/>
      </w:tabs>
      <w:spacing w:after="0"/>
    </w:pPr>
  </w:style>
  <w:style w:customStyle="1" w:styleId="FooterChar" w:type="character">
    <w:name w:val="Footer Char"/>
    <w:basedOn w:val="DefaultParagraphFont"/>
    <w:link w:val="Footer"/>
    <w:uiPriority w:val="99"/>
    <w:rsid w:val="006525D4"/>
  </w:style>
  <w:style w:styleId="UnresolvedMention" w:type="character">
    <w:name w:val="Unresolved Mention"/>
    <w:basedOn w:val="DefaultParagraphFont"/>
    <w:uiPriority w:val="99"/>
    <w:semiHidden/>
    <w:unhideWhenUsed/>
    <w:rsid w:val="00D722F4"/>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s://www.kcl.ac.uk/about/strategy/learning-and-teaching/ai-guidance/student-guidance" TargetMode="External" /></Relationships>
</file>

<file path=word/_rels/footnotes.xml.rels><?xml version="1.0" encoding="UTF-8"?><Relationships xmlns="http://schemas.openxmlformats.org/package/2006/relationships"><Relationship Type="http://schemas.openxmlformats.org/officeDocument/2006/relationships/hyperlink" Id="rId20" Target="https://www.kcl.ac.uk/about/strategy/learning-and-teaching/ai-guidance/student-guid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1994</Words>
  <Characters>11350</Characters>
  <Application>Microsoft Office Word</Application>
  <DocSecurity>0</DocSecurity>
  <Lines>291</Lines>
  <Paragraphs>211</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Guidance for Problem Set 2</dc:title>
  <dc:creator/>
  <cp:keywords/>
  <dcterms:created xsi:type="dcterms:W3CDTF">2026-03-30T10:09:45Z</dcterms:created>
  <dcterms:modified xsi:type="dcterms:W3CDTF">2026-03-30T10:09:45Z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4SSPP111: Statistics for Political Science I – 2025-2026 Semester 2</vt:lpwstr>
  </property>
  <property fmtid="{D5CDD505-2E9C-101B-9397-08002B2CF9AE}" pid="8" name="toc-title">
    <vt:lpwstr>Table of contents</vt:lpwstr>
  </property>
</Properties>
</file>