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sspp111-mock-exam-answer-key"/>
    <w:p>
      <w:pPr>
        <w:pStyle w:val="Heading1"/>
      </w:pPr>
      <w:r>
        <w:t xml:space="preserve">4SSPP111 Mock Exam — Answer Key</w:t>
      </w:r>
    </w:p>
    <w:bookmarkStart w:id="25" w:name="part-one-descriptive-analysis-25-points"/>
    <w:p>
      <w:pPr>
        <w:pStyle w:val="Heading2"/>
      </w:pPr>
      <w:r>
        <w:t xml:space="preserve">PART ONE — DESCRIPTIVE ANALYSIS (25 points)</w:t>
      </w:r>
    </w:p>
    <w:bookmarkStart w:id="20" w:name="question-1-5-points"/>
    <w:p>
      <w:pPr>
        <w:pStyle w:val="Heading3"/>
      </w:pPr>
      <w:r>
        <w:t xml:space="preserve">Question 1 (5 points)</w:t>
      </w:r>
    </w:p>
    <w:p>
      <w:pPr>
        <w:pStyle w:val="FirstParagraph"/>
      </w:pPr>
      <w:r>
        <w:t xml:space="preserve">The student satisfaction score is a</w:t>
      </w:r>
      <w:r>
        <w:t xml:space="preserve"> </w:t>
      </w:r>
      <w:r>
        <w:rPr>
          <w:b/>
          <w:bCs/>
        </w:rPr>
        <w:t xml:space="preserve">ratio</w:t>
      </w:r>
      <w:r>
        <w:t xml:space="preserve"> </w:t>
      </w:r>
      <w:r>
        <w:t xml:space="preserve">variable. It is measured in percentages (0–100%), which have equal intervals and a true zero point (0% means no students on the course reported being satisfied). This makes it ratio rather than interval, ordinal, or nominal.</w:t>
      </w:r>
    </w:p>
    <w:p>
      <w:pPr>
        <w:pStyle w:val="BlockText"/>
      </w:pPr>
      <w:r>
        <w:t xml:space="preserve">Marking note: Simply naming</w:t>
      </w:r>
      <w:r>
        <w:t xml:space="preserve"> </w:t>
      </w:r>
      <w:r>
        <w:t xml:space="preserve">“ratio”</w:t>
      </w:r>
      <w:r>
        <w:t xml:space="preserve"> </w:t>
      </w:r>
      <w:r>
        <w:t xml:space="preserve">without justification is not sufficient for full marks. A first-class answer names the variable type and briefly explains why — noting the true zero point and equal intervals — to demonstrate understanding of what distinguishes ratio from interval, ordinal, and nominal.</w:t>
      </w:r>
    </w:p>
    <w:bookmarkEnd w:id="20"/>
    <w:bookmarkStart w:id="21" w:name="question-2-5-points"/>
    <w:p>
      <w:pPr>
        <w:pStyle w:val="Heading3"/>
      </w:pPr>
      <w:r>
        <w:t xml:space="preserve">Question 2 (5 points)</w:t>
      </w:r>
    </w:p>
    <w:p>
      <w:pPr>
        <w:pStyle w:val="FirstParagraph"/>
      </w:pPr>
      <w:r>
        <w:t xml:space="preserve">Looking at the histogram, the bars covering 85–95% have heights of approximately 180 and 200. So roughly</w:t>
      </w:r>
      <w:r>
        <w:t xml:space="preserve"> </w:t>
      </w:r>
      <w:r>
        <w:rPr>
          <w:b/>
          <w:bCs/>
        </w:rPr>
        <w:t xml:space="preserve">380 courses</w:t>
      </w:r>
      <w:r>
        <w:t xml:space="preserve"> </w:t>
      </w:r>
      <w:r>
        <w:t xml:space="preserve">have satisfaction scores between 85% and 95%.</w:t>
      </w:r>
    </w:p>
    <w:p>
      <w:pPr>
        <w:pStyle w:val="BlockText"/>
      </w:pPr>
      <w:r>
        <w:t xml:space="preserve">Marking note: This is a histogram-reading question and approximations are expected. Any answer in the range of roughly 350–420 is acceptable.</w:t>
      </w:r>
    </w:p>
    <w:bookmarkEnd w:id="21"/>
    <w:bookmarkStart w:id="22" w:name="question-3-5-points"/>
    <w:p>
      <w:pPr>
        <w:pStyle w:val="Heading3"/>
      </w:pPr>
      <w:r>
        <w:t xml:space="preserve">Question 3 (5 points)</w:t>
      </w:r>
    </w:p>
    <w:p>
      <w:pPr>
        <w:pStyle w:val="FirstParagraph"/>
      </w:pPr>
      <w:r>
        <w:t xml:space="preserve">The distribution is</w:t>
      </w:r>
      <w:r>
        <w:t xml:space="preserve"> </w:t>
      </w:r>
      <w:r>
        <w:rPr>
          <w:b/>
          <w:bCs/>
        </w:rPr>
        <w:t xml:space="preserve">left-skewed</w:t>
      </w:r>
      <w:r>
        <w:t xml:space="preserve">. The bulk of courses are concentrated at the high end (80–100%), with a long tail stretching to the left toward lower satisfaction scores.</w:t>
      </w:r>
    </w:p>
    <w:bookmarkEnd w:id="22"/>
    <w:bookmarkStart w:id="23" w:name="question-4-5-points"/>
    <w:p>
      <w:pPr>
        <w:pStyle w:val="Heading3"/>
      </w:pPr>
      <w:r>
        <w:t xml:space="preserve">Question 4 (5 points)</w:t>
      </w:r>
    </w:p>
    <w:p>
      <w:pPr>
        <w:pStyle w:val="FirstParagraph"/>
      </w:pPr>
      <w:r>
        <w:t xml:space="preserve">The mean would be</w:t>
      </w:r>
      <w:r>
        <w:t xml:space="preserve"> </w:t>
      </w:r>
      <w:r>
        <w:rPr>
          <w:b/>
          <w:bCs/>
        </w:rPr>
        <w:t xml:space="preserve">less than</w:t>
      </w:r>
      <w:r>
        <w:t xml:space="preserve"> </w:t>
      </w:r>
      <w:r>
        <w:t xml:space="preserve">the median. In a left-skewed distribution, the long left tail pulls the mean downward, away from the centre of the distribution. The median, which is the middle value, is less affected by extreme low values. So the mean falls below the median.</w:t>
      </w:r>
    </w:p>
    <w:bookmarkEnd w:id="23"/>
    <w:bookmarkStart w:id="24" w:name="question-5-5-points"/>
    <w:p>
      <w:pPr>
        <w:pStyle w:val="Heading3"/>
      </w:pPr>
      <w:r>
        <w:t xml:space="preserve">Question 5 (5 points)</w:t>
      </w:r>
    </w:p>
    <w:p>
      <w:pPr>
        <w:pStyle w:val="FirstParagraph"/>
      </w:pPr>
      <w:r>
        <w:t xml:space="preserve">This is a</w:t>
      </w:r>
      <w:r>
        <w:t xml:space="preserve"> </w:t>
      </w:r>
      <w:r>
        <w:rPr>
          <w:b/>
          <w:bCs/>
        </w:rPr>
        <w:t xml:space="preserve">causal claim</w:t>
      </w:r>
      <w:r>
        <w:t xml:space="preserve">. The word</w:t>
      </w:r>
      <w:r>
        <w:t xml:space="preserve"> </w:t>
      </w:r>
      <w:r>
        <w:t xml:space="preserve">“decrease”</w:t>
      </w:r>
      <w:r>
        <w:t xml:space="preserve"> </w:t>
      </w:r>
      <w:r>
        <w:t xml:space="preserve">implies that large student-to-staff ratios</w:t>
      </w:r>
      <w:r>
        <w:t xml:space="preserve"> </w:t>
      </w:r>
      <w:r>
        <w:rPr>
          <w:i/>
          <w:iCs/>
        </w:rPr>
        <w:t xml:space="preserve">cause</w:t>
      </w:r>
      <w:r>
        <w:t xml:space="preserve"> </w:t>
      </w:r>
      <w:r>
        <w:t xml:space="preserve">student satisfaction to go down. A descriptive claim would simply state an association (e.g.,</w:t>
      </w:r>
      <w:r>
        <w:t xml:space="preserve"> </w:t>
      </w:r>
      <w:r>
        <w:t xml:space="preserve">“courses with larger student-to-staff ratios tend to have lower satisfaction scores”</w:t>
      </w:r>
      <w:r>
        <w:t xml:space="preserve">) without implying that one variable causes a change in the other.</w:t>
      </w:r>
    </w:p>
    <w:p>
      <w:pPr>
        <w:pStyle w:val="BlockText"/>
      </w:pPr>
      <w:r>
        <w:t xml:space="preserve">Marking note: A first-class answer identifies the specific word that makes the claim causal (</w:t>
      </w:r>
      <w:r>
        <w:t xml:space="preserve">“decrease”</w:t>
      </w:r>
      <w:r>
        <w:t xml:space="preserve"> </w:t>
      </w:r>
      <w:r>
        <w:t xml:space="preserve">implies one variable causes a change in the other) and contrasts it with what a descriptive version of the same claim would look like. Simply stating</w:t>
      </w:r>
      <w:r>
        <w:t xml:space="preserve"> </w:t>
      </w:r>
      <w:r>
        <w:t xml:space="preserve">“causal”</w:t>
      </w:r>
      <w:r>
        <w:t xml:space="preserve"> </w:t>
      </w:r>
      <w:r>
        <w:t xml:space="preserve">without explaining why is not sufficient for full marks.</w:t>
      </w:r>
    </w:p>
    <w:bookmarkEnd w:id="24"/>
    <w:bookmarkEnd w:id="25"/>
    <w:bookmarkStart w:id="29" w:name="X1f351a0d87078ada5f0159ce2b2f4957b208c28"/>
    <w:p>
      <w:pPr>
        <w:pStyle w:val="Heading2"/>
      </w:pPr>
      <w:r>
        <w:t xml:space="preserve">PART TWO — ESTIMATION, SAMPLING, AND UNCERTAINTY (25 points)</w:t>
      </w:r>
    </w:p>
    <w:bookmarkStart w:id="26" w:name="question-6-5-points"/>
    <w:p>
      <w:pPr>
        <w:pStyle w:val="Heading3"/>
      </w:pPr>
      <w:r>
        <w:t xml:space="preserve">Question 6 (5 points)</w:t>
      </w:r>
    </w:p>
    <w:p>
      <w:pPr>
        <w:pStyle w:val="FirstParagraph"/>
      </w:pPr>
      <w:r>
        <w:t xml:space="preserve">The population of interest is</w:t>
      </w:r>
      <w:r>
        <w:t xml:space="preserve"> </w:t>
      </w:r>
      <w:r>
        <w:rPr>
          <w:b/>
          <w:bCs/>
        </w:rPr>
        <w:t xml:space="preserve">all residents in the councillor’s ward</w:t>
      </w:r>
      <w:r>
        <w:t xml:space="preserve"> </w:t>
      </w:r>
      <w:r>
        <w:t xml:space="preserve">(i.e., all people who live in the ward she represents).</w:t>
      </w:r>
    </w:p>
    <w:bookmarkEnd w:id="26"/>
    <w:bookmarkStart w:id="27" w:name="question-7-10-points"/>
    <w:p>
      <w:pPr>
        <w:pStyle w:val="Heading3"/>
      </w:pPr>
      <w:r>
        <w:t xml:space="preserve">Question 7 (10 points)</w:t>
      </w:r>
    </w:p>
    <w:p>
      <w:pPr>
        <w:pStyle w:val="FirstParagraph"/>
      </w:pPr>
      <w:r>
        <w:t xml:space="preserve">This is a</w:t>
      </w:r>
      <w:r>
        <w:t xml:space="preserve"> </w:t>
      </w:r>
      <w:r>
        <w:rPr>
          <w:b/>
          <w:bCs/>
        </w:rPr>
        <w:t xml:space="preserve">non-probability sample</w:t>
      </w:r>
      <w:r>
        <w:t xml:space="preserve">. In a probability sample, every member of the population must have a known, non-zero probability of being selected. In this case, the councillor is only approaching people who happen to visit the leisure centre on Saturday mornings, and participation is voluntary (people choose whether or not to complete the questionnaire). Residents who do not use the leisure centre, or who visit at other times, have no chance of being included. Because not every resident has a known, non-zero probability of selection, this is a non-probability sample.</w:t>
      </w:r>
    </w:p>
    <w:p>
      <w:pPr>
        <w:pStyle w:val="BlockText"/>
      </w:pPr>
      <w:r>
        <w:t xml:space="preserve">Marking note: The question asks students to</w:t>
      </w:r>
      <w:r>
        <w:t xml:space="preserve"> </w:t>
      </w:r>
      <w:r>
        <w:t xml:space="preserve">“demonstrate that you understand the difference between probability and non-probability sampling.”</w:t>
      </w:r>
      <w:r>
        <w:t xml:space="preserve"> </w:t>
      </w:r>
      <w:r>
        <w:t xml:space="preserve">Merely stating</w:t>
      </w:r>
      <w:r>
        <w:t xml:space="preserve"> </w:t>
      </w:r>
      <w:r>
        <w:t xml:space="preserve">“non-probability”</w:t>
      </w:r>
      <w:r>
        <w:t xml:space="preserve"> </w:t>
      </w:r>
      <w:r>
        <w:t xml:space="preserve">is not sufficient. A first-class answer defines what probability sampling requires (every member of the population has a known, non-zero probability of selection) and explains why this specific procedure fails that test.</w:t>
      </w:r>
    </w:p>
    <w:bookmarkEnd w:id="27"/>
    <w:bookmarkStart w:id="28" w:name="question-8-10-points"/>
    <w:p>
      <w:pPr>
        <w:pStyle w:val="Heading3"/>
      </w:pPr>
      <w:r>
        <w:t xml:space="preserve">Question 8 (10 points)</w:t>
      </w:r>
    </w:p>
    <w:p>
      <w:pPr>
        <w:pStyle w:val="FirstParagraph"/>
      </w:pPr>
      <w:r>
        <w:t xml:space="preserve">The estimate would likely be</w:t>
      </w:r>
      <w:r>
        <w:t xml:space="preserve"> </w:t>
      </w:r>
      <w:r>
        <w:rPr>
          <w:b/>
          <w:bCs/>
        </w:rPr>
        <w:t xml:space="preserve">biased</w:t>
      </w:r>
      <w:r>
        <w:t xml:space="preserve">, and it would likely</w:t>
      </w:r>
      <w:r>
        <w:t xml:space="preserve"> </w:t>
      </w:r>
      <w:r>
        <w:rPr>
          <w:b/>
          <w:bCs/>
        </w:rPr>
        <w:t xml:space="preserve">overestimate</w:t>
      </w:r>
      <w:r>
        <w:t xml:space="preserve"> </w:t>
      </w:r>
      <w:r>
        <w:t xml:space="preserve">support for the cycle lane. People who visit a leisure centre are more physically active than the general population. Physically active people are plausibly more supportive of cycling infrastructure such as a cycle lane. Because the sample systematically over-represents physically active residents, the sample’s level of support would tend to be higher than the true level of support among all residents in the ward.</w:t>
      </w:r>
    </w:p>
    <w:p>
      <w:pPr>
        <w:pStyle w:val="BlockText"/>
      </w:pPr>
      <w:r>
        <w:t xml:space="preserve">Marking note: Full marks require the complete reasoning chain: (1) the sampling location (leisure centre) attracts a specific type of person, (2) that type of person (physically active) plausibly holds different views on the cycle lane, and (3) this produces a directional bias (overestimate). Simply stating</w:t>
      </w:r>
      <w:r>
        <w:t xml:space="preserve"> </w:t>
      </w:r>
      <w:r>
        <w:t xml:space="preserve">“biased”</w:t>
      </w:r>
      <w:r>
        <w:t xml:space="preserve"> </w:t>
      </w:r>
      <w:r>
        <w:t xml:space="preserve">without explaining the direction and mechanism is not sufficient.</w:t>
      </w:r>
    </w:p>
    <w:bookmarkEnd w:id="28"/>
    <w:bookmarkEnd w:id="29"/>
    <w:bookmarkStart w:id="35" w:name="part-three-regression-analysis-50-points"/>
    <w:p>
      <w:pPr>
        <w:pStyle w:val="Heading2"/>
      </w:pPr>
      <w:r>
        <w:t xml:space="preserve">PART THREE — REGRESSION ANALYSIS (50 points)</w:t>
      </w:r>
    </w:p>
    <w:bookmarkStart w:id="30" w:name="question-9-5-points"/>
    <w:p>
      <w:pPr>
        <w:pStyle w:val="Heading3"/>
      </w:pPr>
      <w:r>
        <w:t xml:space="preserve">Question 9 (5 points)</w:t>
      </w:r>
    </w:p>
    <w:p>
      <w:pPr>
        <w:pStyle w:val="FirstParagraph"/>
      </w:pPr>
      <w:r>
        <w:t xml:space="preserve">According to Model 1, for each one percentage point increase in the share of residents with higher education, the Leave vote share is predicted to</w:t>
      </w:r>
      <w:r>
        <w:t xml:space="preserve"> </w:t>
      </w:r>
      <w:r>
        <w:rPr>
          <w:b/>
          <w:bCs/>
        </w:rPr>
        <w:t xml:space="preserve">decrease by 1.130 percentage points</w:t>
      </w:r>
      <w:r>
        <w:t xml:space="preserve">. (The coefficient is -1.130.)</w:t>
      </w:r>
    </w:p>
    <w:p>
      <w:pPr>
        <w:pStyle w:val="BlockText"/>
      </w:pPr>
      <w:r>
        <w:t xml:space="preserve">Marking note: A first-class answer states the direction (decrease), the magnitude (1.130 percentage points), and specifies the units of both variables. Saying</w:t>
      </w:r>
      <w:r>
        <w:t xml:space="preserve"> </w:t>
      </w:r>
      <w:r>
        <w:t xml:space="preserve">“it goes down by 1.130”</w:t>
      </w:r>
      <w:r>
        <w:t xml:space="preserve"> </w:t>
      </w:r>
      <w:r>
        <w:t xml:space="preserve">without units is incomplete.</w:t>
      </w:r>
    </w:p>
    <w:bookmarkEnd w:id="30"/>
    <w:bookmarkStart w:id="31" w:name="question-10-5-points"/>
    <w:p>
      <w:pPr>
        <w:pStyle w:val="Heading3"/>
      </w:pPr>
      <w:r>
        <w:t xml:space="preserve">Question 10 (5 points)</w:t>
      </w:r>
    </w:p>
    <w:p>
      <w:pPr>
        <w:pStyle w:val="FirstParagraph"/>
      </w:pPr>
      <w:r>
        <w:t xml:space="preserve">According to Model 2, if Immigrant Share = 0%, the predicted Leave vote share equals the intercept (constant) of Model 2:</w:t>
      </w:r>
    </w:p>
    <w:p>
      <w:pPr>
        <w:pStyle w:val="BodyText"/>
      </w:pPr>
      <w:r>
        <w:rPr>
          <w:b/>
          <w:bCs/>
        </w:rPr>
        <w:t xml:space="preserve">Predicted Leave Vote Share = 56.807%</w:t>
      </w:r>
    </w:p>
    <w:p>
      <w:pPr>
        <w:pStyle w:val="BodyText"/>
      </w:pPr>
      <w:r>
        <w:t xml:space="preserve">This is because when the independent variable is zero, the predicted value equals the intercept.</w:t>
      </w:r>
    </w:p>
    <w:bookmarkEnd w:id="31"/>
    <w:bookmarkStart w:id="32" w:name="question-11-10-points"/>
    <w:p>
      <w:pPr>
        <w:pStyle w:val="Heading3"/>
      </w:pPr>
      <w:r>
        <w:t xml:space="preserve">Question 11 (10 points)</w:t>
      </w:r>
    </w:p>
    <w:p>
      <w:pPr>
        <w:pStyle w:val="FirstParagraph"/>
      </w:pPr>
      <w:r>
        <w:t xml:space="preserve">Using Model 3, with Higher Education = 30% and Immigrant Share = 10%:</w:t>
      </w:r>
    </w:p>
    <w:p>
      <w:pPr>
        <w:pStyle w:val="BodyText"/>
      </w:pPr>
      <w:r>
        <w:t xml:space="preserve">Predicted Leave Vote Share = 83.493 + (-1.143 × 30) + (0.085 × 10)</w:t>
      </w:r>
    </w:p>
    <w:p>
      <w:pPr>
        <w:pStyle w:val="BodyText"/>
      </w:pPr>
      <w:r>
        <w:t xml:space="preserve">= 83.493 - 34.290 + 0.850</w:t>
      </w:r>
    </w:p>
    <w:p>
      <w:pPr>
        <w:pStyle w:val="BodyText"/>
      </w:pPr>
      <w:r>
        <w:t xml:space="preserve">=</w:t>
      </w:r>
      <w:r>
        <w:t xml:space="preserve"> </w:t>
      </w:r>
      <w:r>
        <w:rPr>
          <w:b/>
          <w:bCs/>
        </w:rPr>
        <w:t xml:space="preserve">50.053%</w:t>
      </w:r>
    </w:p>
    <w:bookmarkEnd w:id="32"/>
    <w:bookmarkStart w:id="33" w:name="question-12-15-points"/>
    <w:p>
      <w:pPr>
        <w:pStyle w:val="Heading3"/>
      </w:pPr>
      <w:r>
        <w:t xml:space="preserve">Question 12 (15 points)</w:t>
      </w:r>
    </w:p>
    <w:p>
      <w:pPr>
        <w:pStyle w:val="FirstParagraph"/>
      </w:pPr>
      <w:r>
        <w:rPr>
          <w:b/>
          <w:bCs/>
        </w:rPr>
        <w:t xml:space="preserve">Immigrant Share</w:t>
      </w:r>
      <w:r>
        <w:t xml:space="preserve"> </w:t>
      </w:r>
      <w:r>
        <w:t xml:space="preserve">has a greater chance of having no real effect on the dependent variable. In Model 3, the coefficient on Immigrant Share (0.085) has no significance stars, meaning it is not statistically significant even at the p &lt; 0.1 level. By contrast, the coefficient on Higher Education (-1.143) is significant at p &lt; 0.01 (marked with ***).</w:t>
      </w:r>
    </w:p>
    <w:p>
      <w:pPr>
        <w:pStyle w:val="BodyText"/>
      </w:pPr>
      <w:r>
        <w:t xml:space="preserve">A non-significant coefficient means we cannot reject the null hypothesis that the true coefficient is zero — i.e., we cannot rule out the possibility that Immigrant Share has no effect on Leave Vote Share once Higher Education is controlled for. You can also see this by comparing the coefficient to its standard error: 0.085 / 0.112 ≈ 0.76, which is a very small t-statistic, far below conventional thresholds for significance.</w:t>
      </w:r>
    </w:p>
    <w:p>
      <w:pPr>
        <w:pStyle w:val="BlockText"/>
      </w:pPr>
      <w:r>
        <w:t xml:space="preserve">Marking note: Citing the significance stars (Immigrant Share has none, Higher Education has ***) and correctly identifying which variable is non-significant is sufficient for a passing answer. A first-class answer goes further and explains what non-significance means — that we cannot reject the null hypothesis that the true coefficient is zero. Mentioning the t-statistic (coefficient divided by standard error) is not required but demonstrates deeper understanding.</w:t>
      </w:r>
    </w:p>
    <w:bookmarkEnd w:id="33"/>
    <w:bookmarkStart w:id="34" w:name="question-13-15-points"/>
    <w:p>
      <w:pPr>
        <w:pStyle w:val="Heading3"/>
      </w:pPr>
      <w:r>
        <w:t xml:space="preserve">Question 13 (15 points)</w:t>
      </w:r>
    </w:p>
    <w:p>
      <w:pPr>
        <w:pStyle w:val="FirstParagraph"/>
      </w:pPr>
      <w:r>
        <w:t xml:space="preserve">A potential confounding variable is</w:t>
      </w:r>
      <w:r>
        <w:t xml:space="preserve"> </w:t>
      </w:r>
      <w:r>
        <w:rPr>
          <w:b/>
          <w:bCs/>
        </w:rPr>
        <w:t xml:space="preserve">the urban/rural character of the region</w:t>
      </w:r>
      <w:r>
        <w:t xml:space="preserve">.</w:t>
      </w:r>
    </w:p>
    <w:p>
      <w:pPr>
        <w:pStyle w:val="BodyText"/>
      </w:pPr>
      <w:r>
        <w:t xml:space="preserve">A confounding variable must satisfy two conditions: (1) it must affect the independent variable (Higher Education), and (2) it must also affect the dependent variable (Leave Vote Share), independently of the independent variable.</w:t>
      </w:r>
    </w:p>
    <w:p>
      <w:pPr>
        <w:pStyle w:val="BodyText"/>
      </w:pPr>
      <w:r>
        <w:t xml:space="preserve">Urban/rural character plausibly meets both conditions:</w:t>
      </w:r>
    </w:p>
    <w:p>
      <w:pPr>
        <w:numPr>
          <w:ilvl w:val="0"/>
          <w:numId w:val="1001"/>
        </w:numPr>
      </w:pPr>
      <w:r>
        <w:rPr>
          <w:b/>
          <w:bCs/>
        </w:rPr>
        <w:t xml:space="preserve">Affects Higher Education:</w:t>
      </w:r>
      <w:r>
        <w:t xml:space="preserve"> </w:t>
      </w:r>
      <w:r>
        <w:t xml:space="preserve">Urban areas concentrate universities, knowledge-economy employers, and graduate labour markets. This draws higher-educated residents into cities and means that urban regions end up with larger shares of degree-holders. Rural areas, with fewer higher education institutions and fewer graduate jobs, end up with lower shares. The urban/rural character of a region therefore plausibly affects its level of higher education.</w:t>
      </w:r>
    </w:p>
    <w:p>
      <w:pPr>
        <w:numPr>
          <w:ilvl w:val="0"/>
          <w:numId w:val="1001"/>
        </w:numPr>
      </w:pPr>
      <w:r>
        <w:rPr>
          <w:b/>
          <w:bCs/>
        </w:rPr>
        <w:t xml:space="preserve">Affects Leave Vote Share:</w:t>
      </w:r>
      <w:r>
        <w:t xml:space="preserve"> </w:t>
      </w:r>
      <w:r>
        <w:t xml:space="preserve">Rural areas voted more heavily for Leave, independently of education levels. This may reflect a stronger sense of local identity, greater concern about the perceived centralisation of EU governance, or a feeling of being distant from the economic benefits of EU membership — factors tied to rurality itself rather than to education.</w:t>
      </w:r>
    </w:p>
    <w:p>
      <w:pPr>
        <w:pStyle w:val="FirstParagraph"/>
      </w:pPr>
      <w:r>
        <w:t xml:space="preserve">Because urban/rural character affects both Higher Education and Leave Vote Share, some (or all) of the association observed in Model 1 could be driven by where people live rather than by education itself. This means we cannot conclude from these regressions alone that higher education</w:t>
      </w:r>
      <w:r>
        <w:t xml:space="preserve"> </w:t>
      </w:r>
      <w:r>
        <w:rPr>
          <w:i/>
          <w:iCs/>
        </w:rPr>
        <w:t xml:space="preserve">causes</w:t>
      </w:r>
      <w:r>
        <w:t xml:space="preserve"> </w:t>
      </w:r>
      <w:r>
        <w:t xml:space="preserve">lower Leave voting.</w:t>
      </w:r>
    </w:p>
    <w:p>
      <w:pPr>
        <w:pStyle w:val="BlockText"/>
      </w:pPr>
      <w:r>
        <w:t xml:space="preserve">Marking note: We will also accept the age structure of the region (e.g., share of residents over 65) as a confounding variable. Age is correlated with both Higher Education (older cohorts had lower university attendance rates) and Leave Vote Share (older voters were more likely to vote Leave). Age meets the broader definition of a confounder — a variable correlated with both the independent and dependent variables — even though it does not straightforwardly</w:t>
      </w:r>
      <w:r>
        <w:t xml:space="preserve"> </w:t>
      </w:r>
      <w:r>
        <w:t xml:space="preserve">“affect”</w:t>
      </w:r>
      <w:r>
        <w:t xml:space="preserve"> </w:t>
      </w:r>
      <w:r>
        <w:t xml:space="preserve">Higher Education in the way that urban/rural character does. However, a variable that is caused by the independent variable (i.e., a mediator on the causal pathway from Higher Education to Leave voting) would not be accepted as a confounding variable.</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2026-04-14T18:54:17Z</dcterms:created>
  <dcterms:modified xsi:type="dcterms:W3CDTF">2026-04-14T18:54:17Z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