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9.jpg" ContentType="image/jpeg"/>
  <Override PartName="/word/media/image2.jpe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spp111-statistics-for-political-science"/>
    <w:p>
      <w:pPr>
        <w:pStyle w:val="Heading1"/>
      </w:pPr>
      <w:r>
        <w:t xml:space="preserve">4SSPP111 – Statistics for Political Science</w:t>
      </w:r>
    </w:p>
    <w:bookmarkStart w:id="28" w:name="mock-exam"/>
    <w:p>
      <w:pPr>
        <w:pStyle w:val="Heading2"/>
      </w:pPr>
      <w:r>
        <w:t xml:space="preserve">Mock Exam</w:t>
      </w:r>
    </w:p>
    <w:p>
      <w:pPr>
        <w:pStyle w:val="FirstParagraph"/>
      </w:pPr>
      <w:r>
        <w:t xml:space="preserve">This is a practice exam covering the same skills as the final exam. It is designed to help you prepare by working through questions in the same format you will encounter in the real exam.</w:t>
      </w:r>
    </w:p>
    <w:p>
      <w:pPr>
        <w:pStyle w:val="BodyText"/>
      </w:pPr>
      <w:r>
        <w:rPr>
          <w:b/>
          <w:bCs/>
        </w:rPr>
        <w:t xml:space="preserve">Instructions:</w:t>
      </w:r>
    </w:p>
    <w:p>
      <w:pPr>
        <w:pStyle w:val="Compact"/>
        <w:numPr>
          <w:ilvl w:val="0"/>
          <w:numId w:val="1001"/>
        </w:numPr>
      </w:pPr>
      <w:r>
        <w:t xml:space="preserve">Attempt this mock exam under timed conditions:</w:t>
      </w:r>
      <w:r>
        <w:t xml:space="preserve"> </w:t>
      </w:r>
      <w:r>
        <w:rPr>
          <w:b/>
          <w:bCs/>
        </w:rPr>
        <w:t xml:space="preserve">2 hours</w:t>
      </w:r>
      <w:r>
        <w:t xml:space="preserve">.</w:t>
      </w:r>
    </w:p>
    <w:p>
      <w:pPr>
        <w:pStyle w:val="Compact"/>
        <w:numPr>
          <w:ilvl w:val="0"/>
          <w:numId w:val="1001"/>
        </w:numPr>
      </w:pPr>
      <w:r>
        <w:t xml:space="preserve">You may use one sheet of A4 paper with handwritten notes on both sides.</w:t>
      </w:r>
    </w:p>
    <w:p>
      <w:pPr>
        <w:pStyle w:val="Compact"/>
        <w:numPr>
          <w:ilvl w:val="0"/>
          <w:numId w:val="1001"/>
        </w:numPr>
      </w:pPr>
      <w:r>
        <w:t xml:space="preserve">Calculators (Casio Fx83 or Fx85) are permitted.</w:t>
      </w:r>
    </w:p>
    <w:p>
      <w:pPr>
        <w:pStyle w:val="Compact"/>
        <w:numPr>
          <w:ilvl w:val="0"/>
          <w:numId w:val="1001"/>
        </w:numPr>
      </w:pPr>
      <w:r>
        <w:t xml:space="preserve">Answer</w:t>
      </w:r>
      <w:r>
        <w:t xml:space="preserve"> </w:t>
      </w:r>
      <w:r>
        <w:rPr>
          <w:b/>
          <w:bCs/>
        </w:rPr>
        <w:t xml:space="preserve">all</w:t>
      </w:r>
      <w:r>
        <w:t xml:space="preserve"> </w:t>
      </w:r>
      <w:r>
        <w:t xml:space="preserve">questions.</w:t>
      </w:r>
    </w:p>
    <w:p>
      <w:pPr>
        <w:pStyle w:val="Compact"/>
        <w:numPr>
          <w:ilvl w:val="0"/>
          <w:numId w:val="1001"/>
        </w:numPr>
      </w:pPr>
      <w:r>
        <w:t xml:space="preserve">Total marks:</w:t>
      </w:r>
      <w:r>
        <w:t xml:space="preserve"> </w:t>
      </w:r>
      <w:r>
        <w:rPr>
          <w:b/>
          <w:bCs/>
        </w:rPr>
        <w:t xml:space="preserve">100</w:t>
      </w:r>
      <w:r>
        <w:t xml:space="preserve">.</w:t>
      </w:r>
    </w:p>
    <w:bookmarkEnd w:id="28"/>
    <w:bookmarkStart w:id="32" w:name="part-one-descriptive-analysis-25-points"/>
    <w:p>
      <w:pPr>
        <w:pStyle w:val="Heading2"/>
      </w:pPr>
      <w:r>
        <w:t xml:space="preserve">PART ONE – DESCRIPTIVE ANALYSIS (25 points)</w:t>
      </w:r>
    </w:p>
    <w:p>
      <w:pPr>
        <w:pStyle w:val="FirstParagraph"/>
      </w:pPr>
      <w:r>
        <w:t xml:space="preserve">Below is a histogram of student satisfaction scores by course, using data from the 2025 National Student Survey (NSS). Each observation is a university course. The variable measures the percentage of students on each course who agreed with the statement</w:t>
      </w:r>
      <w:r>
        <w:t xml:space="preserve"> </w:t>
      </w:r>
      <w:r>
        <w:t xml:space="preserve">“Overall, I am satisfied with the quality of the course.”</w:t>
      </w:r>
    </w:p>
    <w:p>
      <w:pPr>
        <w:pStyle w:val="BodyText"/>
      </w:pPr>
      <w:r>
        <w:drawing>
          <wp:inline>
            <wp:extent cx="5829300" cy="3497580"/>
            <wp:effectExtent b="0" l="0" r="0" t="0"/>
            <wp:docPr descr="" title="" id="30" name="Picture"/>
            <a:graphic>
              <a:graphicData uri="http://schemas.openxmlformats.org/drawingml/2006/picture">
                <pic:pic>
                  <pic:nvPicPr>
                    <pic:cNvPr descr="../assets/nss_hist.jpg" id="31" name="Picture"/>
                    <pic:cNvPicPr>
                      <a:picLocks noChangeArrowheads="1" noChangeAspect="1"/>
                    </pic:cNvPicPr>
                  </pic:nvPicPr>
                  <pic:blipFill>
                    <a:blip r:embed="rId29"/>
                    <a:stretch>
                      <a:fillRect/>
                    </a:stretch>
                  </pic:blipFill>
                  <pic:spPr bwMode="auto">
                    <a:xfrm>
                      <a:off x="0" y="0"/>
                      <a:ext cx="5829300" cy="3497580"/>
                    </a:xfrm>
                    <a:prstGeom prst="rect">
                      <a:avLst/>
                    </a:prstGeom>
                    <a:noFill/>
                    <a:ln w="9525">
                      <a:noFill/>
                      <a:headEnd/>
                      <a:tailEnd/>
                    </a:ln>
                  </pic:spPr>
                </pic:pic>
              </a:graphicData>
            </a:graphic>
          </wp:inline>
        </w:drawing>
      </w:r>
    </w:p>
    <w:p>
      <w:pPr>
        <w:pStyle w:val="BodyText"/>
      </w:pPr>
      <w:r>
        <w:rPr>
          <w:b/>
          <w:bCs/>
        </w:rPr>
        <w:t xml:space="preserve">Question 1 (5 points)</w:t>
      </w:r>
    </w:p>
    <w:p>
      <w:pPr>
        <w:pStyle w:val="BodyText"/>
      </w:pPr>
      <w:r>
        <w:t xml:space="preserve">What type of variable is the student satisfaction score: nominal, ordinal, interval, or ratio? Why?</w:t>
      </w:r>
    </w:p>
    <w:p>
      <w:pPr>
        <w:pStyle w:val="BodyText"/>
      </w:pPr>
      <w:r>
        <w:rPr>
          <w:b/>
          <w:bCs/>
        </w:rPr>
        <w:t xml:space="preserve">Question 2 (5 points)</w:t>
      </w:r>
    </w:p>
    <w:p>
      <w:pPr>
        <w:pStyle w:val="BodyText"/>
      </w:pPr>
      <w:r>
        <w:t xml:space="preserve">Approximately how many courses have satisfaction scores between 85% and 95%?</w:t>
      </w:r>
    </w:p>
    <w:p>
      <w:pPr>
        <w:pStyle w:val="BodyText"/>
      </w:pPr>
      <w:r>
        <w:rPr>
          <w:b/>
          <w:bCs/>
        </w:rPr>
        <w:t xml:space="preserve">Question 3 (5 points)</w:t>
      </w:r>
    </w:p>
    <w:p>
      <w:pPr>
        <w:pStyle w:val="BodyText"/>
      </w:pPr>
      <w:r>
        <w:t xml:space="preserve">Is this distribution symmetric, left-skewed, or right-skewed?</w:t>
      </w:r>
    </w:p>
    <w:p>
      <w:pPr>
        <w:pStyle w:val="BodyText"/>
      </w:pPr>
      <w:r>
        <w:rPr>
          <w:b/>
          <w:bCs/>
        </w:rPr>
        <w:t xml:space="preserve">Question 4 (5 points)</w:t>
      </w:r>
    </w:p>
    <w:p>
      <w:pPr>
        <w:pStyle w:val="BodyText"/>
      </w:pPr>
      <w:r>
        <w:t xml:space="preserve">Would you expect the mean satisfaction score to be greater than, less than, or approximately equal to the median? Explain your reasoning in terms of the shape of the distribution.</w:t>
      </w:r>
    </w:p>
    <w:p>
      <w:pPr>
        <w:pStyle w:val="BodyText"/>
      </w:pPr>
      <w:r>
        <w:rPr>
          <w:b/>
          <w:bCs/>
        </w:rPr>
        <w:t xml:space="preserve">Question 5 (5 points)</w:t>
      </w:r>
    </w:p>
    <w:p>
      <w:pPr>
        <w:pStyle w:val="BodyText"/>
      </w:pPr>
      <w:r>
        <w:t xml:space="preserve">A researcher states:</w:t>
      </w:r>
      <w:r>
        <w:t xml:space="preserve"> </w:t>
      </w:r>
      <w:r>
        <w:t xml:space="preserve">“Large student-to-staff ratios decrease student satisfaction.”</w:t>
      </w:r>
      <w:r>
        <w:t xml:space="preserve"> </w:t>
      </w:r>
      <w:r>
        <w:t xml:space="preserve">Is this a descriptive claim or a causal claim? Explain.</w:t>
      </w:r>
    </w:p>
    <w:bookmarkEnd w:id="32"/>
    <w:bookmarkStart w:id="33" w:name="X1f351a0d87078ada5f0159ce2b2f4957b208c28"/>
    <w:p>
      <w:pPr>
        <w:pStyle w:val="Heading2"/>
      </w:pPr>
      <w:r>
        <w:t xml:space="preserve">PART TWO – ESTIMATION, SAMPLING, AND UNCERTAINTY (25 points)</w:t>
      </w:r>
    </w:p>
    <w:p>
      <w:pPr>
        <w:pStyle w:val="FirstParagraph"/>
      </w:pPr>
      <w:r>
        <w:t xml:space="preserve">A local councillor wants to know whether residents in her ward support building a new cycle lane on the high street. She sets up a stall at the entrance to the local leisure centre on Saturday mornings for four consecutive weeks and asks people entering the centre to complete a short questionnaire about the proposal. People who see the stall can choose whether or not to participate.</w:t>
      </w:r>
    </w:p>
    <w:p>
      <w:pPr>
        <w:pStyle w:val="BodyText"/>
      </w:pPr>
      <w:r>
        <w:rPr>
          <w:b/>
          <w:bCs/>
        </w:rPr>
        <w:t xml:space="preserve">Question 6 (5 points)</w:t>
      </w:r>
    </w:p>
    <w:p>
      <w:pPr>
        <w:pStyle w:val="BodyText"/>
      </w:pPr>
      <w:r>
        <w:t xml:space="preserve">What is the population of interest in this study?</w:t>
      </w:r>
    </w:p>
    <w:p>
      <w:pPr>
        <w:pStyle w:val="BodyText"/>
      </w:pPr>
      <w:r>
        <w:rPr>
          <w:b/>
          <w:bCs/>
        </w:rPr>
        <w:t xml:space="preserve">Question 7 (10 points)</w:t>
      </w:r>
    </w:p>
    <w:p>
      <w:pPr>
        <w:pStyle w:val="BodyText"/>
      </w:pPr>
      <w:r>
        <w:t xml:space="preserve">Is the sample obtained through this procedure a probability sample or a non-probability sample? Please justify your answer. In your justification, be sure to demonstrate that you understand the difference between probability and non-probability sampling.</w:t>
      </w:r>
    </w:p>
    <w:p>
      <w:pPr>
        <w:pStyle w:val="BodyText"/>
      </w:pPr>
      <w:r>
        <w:rPr>
          <w:b/>
          <w:bCs/>
        </w:rPr>
        <w:t xml:space="preserve">Question 8 (10 points)</w:t>
      </w:r>
    </w:p>
    <w:p>
      <w:pPr>
        <w:pStyle w:val="BodyText"/>
      </w:pPr>
      <w:r>
        <w:t xml:space="preserve">Would you expect this sampling procedure to result in a statistically biased or unbiased estimate of residents’ support for the cycle lane? If you expect the estimate to be biased, would it likely overestimate or underestimate support? Please justify your answer.</w:t>
      </w:r>
    </w:p>
    <w:bookmarkEnd w:id="33"/>
    <w:bookmarkStart w:id="34" w:name="part-three-regression-analysis-50-points"/>
    <w:p>
      <w:pPr>
        <w:pStyle w:val="Heading2"/>
      </w:pPr>
      <w:r>
        <w:t xml:space="preserve">PART THREE – REGRESSION ANALYSIS (50 points)</w:t>
      </w:r>
    </w:p>
    <w:p>
      <w:pPr>
        <w:pStyle w:val="FirstParagraph"/>
      </w:pPr>
      <w:r>
        <w:t xml:space="preserve">The three regression models in Table 1 use regional-level data from England and Wales. The variables are the following:</w:t>
      </w:r>
    </w:p>
    <w:p>
      <w:pPr>
        <w:pStyle w:val="BodyText"/>
      </w:pPr>
      <w:r>
        <w:rPr>
          <w:b/>
          <w:bCs/>
        </w:rPr>
        <w:t xml:space="preserve">Dependent Variable:</w:t>
      </w:r>
    </w:p>
    <w:p>
      <w:pPr>
        <w:pStyle w:val="Compact"/>
        <w:numPr>
          <w:ilvl w:val="0"/>
          <w:numId w:val="1002"/>
        </w:numPr>
      </w:pPr>
      <w:r>
        <w:rPr>
          <w:b/>
          <w:bCs/>
        </w:rPr>
        <w:t xml:space="preserve">Leave Vote Share (%):</w:t>
      </w:r>
      <w:r>
        <w:t xml:space="preserve"> </w:t>
      </w:r>
      <w:r>
        <w:t xml:space="preserve">the percentage of voters in each region who voted to leave the European Union in the 2016 Brexit referendum.</w:t>
      </w:r>
    </w:p>
    <w:p>
      <w:pPr>
        <w:pStyle w:val="FirstParagraph"/>
      </w:pPr>
      <w:r>
        <w:rPr>
          <w:b/>
          <w:bCs/>
        </w:rPr>
        <w:t xml:space="preserve">Independent Variables:</w:t>
      </w:r>
    </w:p>
    <w:p>
      <w:pPr>
        <w:pStyle w:val="Compact"/>
        <w:numPr>
          <w:ilvl w:val="0"/>
          <w:numId w:val="1003"/>
        </w:numPr>
      </w:pPr>
      <w:r>
        <w:rPr>
          <w:b/>
          <w:bCs/>
        </w:rPr>
        <w:t xml:space="preserve">Higher Education (%):</w:t>
      </w:r>
      <w:r>
        <w:t xml:space="preserve"> </w:t>
      </w:r>
      <w:r>
        <w:t xml:space="preserve">the percentage of the region’s population with a higher education qualification. Source: Census data.</w:t>
      </w:r>
    </w:p>
    <w:p>
      <w:pPr>
        <w:pStyle w:val="Compact"/>
        <w:numPr>
          <w:ilvl w:val="0"/>
          <w:numId w:val="1003"/>
        </w:numPr>
      </w:pPr>
      <w:r>
        <w:rPr>
          <w:b/>
          <w:bCs/>
        </w:rPr>
        <w:t xml:space="preserve">Immigrant Share (%):</w:t>
      </w:r>
      <w:r>
        <w:t xml:space="preserve"> </w:t>
      </w:r>
      <w:r>
        <w:t xml:space="preserve">the percentage of the region’s population born outside the UK. Source: Census data.</w:t>
      </w:r>
    </w:p>
    <w:p>
      <w:pPr>
        <w:pStyle w:val="FirstParagraph"/>
      </w:pPr>
      <w:r>
        <w:t xml:space="preserve">The regression table reports three models. Models 1 and 2 are bivariate regression models, each including a single independent variable. Model 3 is a multivariate regression model that includes both independent variables simultaneously.</w:t>
      </w:r>
    </w:p>
    <w:p>
      <w:pPr>
        <w:pStyle w:val="TableCaption"/>
      </w:pPr>
      <w:r>
        <w:t xml:space="preserve">Table 1: Models 1 and 2 are bivariate regression models, whereas Model 3 is a multivariate model.</w:t>
      </w:r>
    </w:p>
    <w:tbl>
      <w:tblPr>
        <w:tblStyle w:val="Table"/>
        <w:tblW w:type="pct" w:w="4842"/>
        <w:tblLayout w:type="fixed"/>
        <w:tblLook w:firstRow="0" w:lastRow="0" w:firstColumn="0" w:lastColumn="0" w:noHBand="0" w:noVBand="0" w:val="0000"/>
        <w:tblCaption w:val="Table 1: Models 1 and 2 are bivariate regression models, whereas Model 3 is a multivariate model."/>
      </w:tblPr>
      <w:tblGrid>
        <w:gridCol w:w="2501"/>
        <w:gridCol w:w="2334"/>
        <w:gridCol w:w="1250"/>
        <w:gridCol w:w="1333"/>
        <w:gridCol w:w="250"/>
      </w:tblGrid>
      <w:tr>
        <w:tc>
          <w:tcPr>
            <w:vMerge w:val="restart"/>
          </w:tcPr>
          <w:p>
            <w:pPr>
              <w:pStyle w:val="Compact"/>
            </w:pPr>
            <w:r>
              <w:t xml:space="preserve">=============================</w:t>
            </w:r>
            <w:r>
              <w:t xml:space="preserve"> </w:t>
            </w:r>
            <w:r>
              <w:rPr>
                <w:b/>
                <w:bCs/>
              </w:rPr>
              <w:t xml:space="preserve">Independent variables:</w:t>
            </w:r>
          </w:p>
        </w:tc>
        <w:tc>
          <w:tcPr>
            <w:vMerge w:val="restart"/>
          </w:tcPr>
          <w:p>
            <w:pPr>
              <w:pStyle w:val="Compact"/>
            </w:pPr>
            <w:r>
              <w:t xml:space="preserve">Dependent variable:</w:t>
            </w:r>
            <w:r>
              <w:t xml:space="preserve"> </w:t>
            </w:r>
            <w:r>
              <w:t xml:space="preserve">Leave Vote Share (%)</w:t>
            </w:r>
            <w:r>
              <w:t xml:space="preserve"> </w:t>
            </w:r>
            <w:r>
              <w:t xml:space="preserve">===========================</w:t>
            </w:r>
            <w:r>
              <w:t xml:space="preserve"> </w:t>
            </w:r>
            <w:r>
              <w:rPr>
                <w:b/>
                <w:bCs/>
              </w:rPr>
              <w:t xml:space="preserve">Model 1</w:t>
            </w:r>
          </w:p>
        </w:tc>
        <w:tc>
          <w:tcPr>
            <w:vMerge w:val="restart"/>
          </w:tcPr>
          <w:p>
            <w:pPr>
              <w:pStyle w:val="Compact"/>
            </w:pPr>
            <w:r>
              <w:t xml:space="preserve">==============</w:t>
            </w:r>
            <w:r>
              <w:t xml:space="preserve"> </w:t>
            </w:r>
            <w:r>
              <w:rPr>
                <w:b/>
                <w:bCs/>
              </w:rPr>
              <w:t xml:space="preserve">Model 2</w:t>
            </w:r>
          </w:p>
        </w:tc>
        <w:tc>
          <w:tcPr>
            <w:vMerge w:val="restart"/>
          </w:tcPr>
          <w:p>
            <w:pPr>
              <w:pStyle w:val="Compact"/>
            </w:pPr>
            <w:r>
              <w:t xml:space="preserve">===============</w:t>
            </w:r>
            <w:r>
              <w:t xml:space="preserve"> </w:t>
            </w:r>
            <w:r>
              <w:rPr>
                <w:b/>
                <w:bCs/>
              </w:rPr>
              <w:t xml:space="preserve">Model 3</w:t>
            </w:r>
          </w:p>
        </w:tc>
        <w:tc>
          <w:tcPr/>
          <w:p>
            <w:pPr>
              <w:pStyle w:val="Compact"/>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pPr>
          </w:p>
        </w:tc>
      </w:tr>
      <w:tr>
        <w:tc>
          <w:tcPr/>
          <w:p>
            <w:pPr>
              <w:pStyle w:val="Compact"/>
            </w:pPr>
            <w:r>
              <w:t xml:space="preserve">Higher Education (%)</w:t>
            </w:r>
          </w:p>
        </w:tc>
        <w:tc>
          <w:tcPr/>
          <w:p>
            <w:pPr>
              <w:pStyle w:val="Compact"/>
            </w:pPr>
            <w:r>
              <w:t xml:space="preserve">-1.130^(***)</w:t>
            </w:r>
          </w:p>
        </w:tc>
        <w:tc>
          <w:tcPr/>
          <w:p>
            <w:pPr>
              <w:pStyle w:val="Compact"/>
            </w:pPr>
          </w:p>
        </w:tc>
        <w:tc>
          <w:tcPr>
            <w:gridSpan w:val="2"/>
          </w:tcPr>
          <w:p>
            <w:pPr>
              <w:pStyle w:val="Compact"/>
            </w:pPr>
            <w:r>
              <w:t xml:space="preserve">-1.143^(***)|</w:t>
            </w:r>
          </w:p>
        </w:tc>
      </w:tr>
      <w:tr>
        <w:tc>
          <w:tcPr/>
          <w:p>
            <w:pPr>
              <w:pStyle w:val="Compact"/>
            </w:pPr>
          </w:p>
        </w:tc>
        <w:tc>
          <w:tcPr/>
          <w:p>
            <w:pPr>
              <w:pStyle w:val="Compact"/>
            </w:pPr>
            <w:r>
              <w:t xml:space="preserve">(0.147)</w:t>
            </w:r>
          </w:p>
        </w:tc>
        <w:tc>
          <w:tcPr/>
          <w:p>
            <w:pPr>
              <w:pStyle w:val="Compact"/>
            </w:pPr>
          </w:p>
        </w:tc>
        <w:tc>
          <w:tcPr/>
          <w:p>
            <w:pPr>
              <w:pStyle w:val="Compact"/>
            </w:pPr>
            <w:r>
              <w:t xml:space="preserve">(0.148)</w:t>
            </w:r>
          </w:p>
        </w:tc>
        <w:tc>
          <w:tcPr/>
          <w:p>
            <w:pPr>
              <w:pStyle w:val="Compact"/>
            </w:pPr>
          </w:p>
        </w:tc>
      </w:tr>
      <w:tr>
        <w:tc>
          <w:tcPr/>
          <w:p>
            <w:pPr>
              <w:pStyle w:val="Compact"/>
            </w:pPr>
            <w:r>
              <w:t xml:space="preserve">Immigrant Share (%)</w:t>
            </w:r>
          </w:p>
        </w:tc>
        <w:tc>
          <w:tcPr/>
          <w:p>
            <w:pPr>
              <w:pStyle w:val="Compact"/>
            </w:pPr>
          </w:p>
        </w:tc>
        <w:tc>
          <w:tcPr>
            <w:gridSpan w:val="3"/>
          </w:tcPr>
          <w:p>
            <w:pPr>
              <w:pStyle w:val="Compact"/>
            </w:pPr>
            <w:r>
              <w:t xml:space="preserve">-0.414^(***)| 0.085 |</w:t>
            </w:r>
          </w:p>
        </w:tc>
      </w:tr>
      <w:tr>
        <w:tc>
          <w:tcPr/>
          <w:p>
            <w:pPr>
              <w:pStyle w:val="Compact"/>
            </w:pPr>
          </w:p>
        </w:tc>
        <w:tc>
          <w:tcPr/>
          <w:p>
            <w:pPr>
              <w:pStyle w:val="Compact"/>
            </w:pPr>
          </w:p>
        </w:tc>
        <w:tc>
          <w:tcPr/>
          <w:p>
            <w:pPr>
              <w:pStyle w:val="Compact"/>
            </w:pPr>
            <w:r>
              <w:t xml:space="preserve">(0.066)</w:t>
            </w:r>
          </w:p>
        </w:tc>
        <w:tc>
          <w:tcPr/>
          <w:p>
            <w:pPr>
              <w:pStyle w:val="Compact"/>
            </w:pPr>
            <w:r>
              <w:t xml:space="preserve">(0.112)</w:t>
            </w:r>
          </w:p>
        </w:tc>
        <w:tc>
          <w:tcPr/>
          <w:p>
            <w:pPr>
              <w:pStyle w:val="Compact"/>
            </w:pPr>
          </w:p>
        </w:tc>
      </w:tr>
      <w:tr>
        <w:tc>
          <w:tcPr/>
          <w:p>
            <w:pPr>
              <w:pStyle w:val="Compact"/>
            </w:pPr>
            <w:r>
              <w:t xml:space="preserve">Constant (Intercept)</w:t>
            </w:r>
          </w:p>
        </w:tc>
        <w:tc>
          <w:tcPr/>
          <w:p>
            <w:pPr>
              <w:pStyle w:val="Compact"/>
            </w:pPr>
            <w:r>
              <w:t xml:space="preserve">83.918^(***)</w:t>
            </w:r>
          </w:p>
        </w:tc>
        <w:tc>
          <w:tcPr>
            <w:gridSpan w:val="3"/>
          </w:tcPr>
          <w:p>
            <w:pPr>
              <w:pStyle w:val="Compact"/>
            </w:pPr>
            <w:r>
              <w:t xml:space="preserve">56.807^(***)| 83.493^(***)</w:t>
            </w:r>
          </w:p>
        </w:tc>
      </w:tr>
      <w:tr>
        <w:tc>
          <w:tcPr/>
          <w:p>
            <w:pPr>
              <w:pStyle w:val="Compact"/>
            </w:pPr>
          </w:p>
        </w:tc>
        <w:tc>
          <w:tcPr/>
          <w:p>
            <w:pPr>
              <w:pStyle w:val="Compact"/>
            </w:pPr>
            <w:r>
              <w:t xml:space="preserve">(3.995)</w:t>
            </w:r>
          </w:p>
        </w:tc>
        <w:tc>
          <w:tcPr/>
          <w:p>
            <w:pPr>
              <w:pStyle w:val="Compact"/>
            </w:pPr>
            <w:r>
              <w:t xml:space="preserve">(1.110)</w:t>
            </w:r>
          </w:p>
        </w:tc>
        <w:tc>
          <w:tcPr/>
          <w:p>
            <w:pPr>
              <w:pStyle w:val="Compact"/>
            </w:pPr>
            <w:r>
              <w:t xml:space="preserve">(4.040)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Observations</w:t>
            </w:r>
          </w:p>
        </w:tc>
        <w:tc>
          <w:tcPr/>
          <w:p>
            <w:pPr>
              <w:pStyle w:val="Compact"/>
            </w:pPr>
            <w:r>
              <w:t xml:space="preserve">139</w:t>
            </w:r>
          </w:p>
        </w:tc>
        <w:tc>
          <w:tcPr/>
          <w:p>
            <w:pPr>
              <w:pStyle w:val="Compact"/>
            </w:pPr>
            <w:r>
              <w:t xml:space="preserve">167</w:t>
            </w:r>
          </w:p>
        </w:tc>
        <w:tc>
          <w:tcPr/>
          <w:p>
            <w:pPr>
              <w:pStyle w:val="Compact"/>
            </w:pPr>
            <w:r>
              <w:t xml:space="preserve">139</w:t>
            </w:r>
          </w:p>
        </w:tc>
        <w:tc>
          <w:tcPr/>
          <w:p>
            <w:pPr>
              <w:pStyle w:val="Compact"/>
            </w:pPr>
          </w:p>
        </w:tc>
      </w:tr>
      <w:tr>
        <w:tc>
          <w:tcPr/>
          <w:p>
            <w:pPr>
              <w:pStyle w:val="Compact"/>
            </w:pPr>
            <w:r>
              <w:t xml:space="preserve">R</w:t>
            </w:r>
            <w:r>
              <w:rPr>
                <w:vertAlign w:val="superscript"/>
              </w:rPr>
              <w:t xml:space="preserve">2</w:t>
            </w:r>
          </w:p>
        </w:tc>
        <w:tc>
          <w:tcPr/>
          <w:p>
            <w:pPr>
              <w:pStyle w:val="Compact"/>
            </w:pPr>
            <w:r>
              <w:t xml:space="preserve">0.301</w:t>
            </w:r>
          </w:p>
        </w:tc>
        <w:tc>
          <w:tcPr/>
          <w:p>
            <w:pPr>
              <w:pStyle w:val="Compact"/>
            </w:pPr>
            <w:r>
              <w:t xml:space="preserve">0.193</w:t>
            </w:r>
          </w:p>
        </w:tc>
        <w:tc>
          <w:tcPr/>
          <w:p>
            <w:pPr>
              <w:pStyle w:val="Compact"/>
            </w:pPr>
            <w:r>
              <w:t xml:space="preserve">0.304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Note:</w:t>
            </w:r>
          </w:p>
        </w:tc>
        <w:tc>
          <w:tcPr>
            <w:gridSpan w:val="2"/>
          </w:tcPr>
          <w:p>
            <w:pPr>
              <w:pStyle w:val="Compact"/>
            </w:pPr>
            <w:r>
              <w:t xml:space="preserve">*p&lt;0.1; **p&lt;0.05; ***p&lt;0.01|</w:t>
            </w:r>
          </w:p>
        </w:tc>
        <w:tc>
          <w:tcPr>
            <w:gridSpan w:val="2"/>
          </w:tcPr>
          <w:p>
            <w:pPr>
              <w:pStyle w:val="Compact"/>
            </w:pPr>
            <w:r>
              <w:t xml:space="preserve">p&lt;0.01| | |</w:t>
            </w:r>
          </w:p>
        </w:tc>
      </w:tr>
    </w:tbl>
    <w:p>
      <w:pPr>
        <w:pStyle w:val="BodyText"/>
      </w:pPr>
      <w:r>
        <w:rPr>
          <w:b/>
          <w:bCs/>
        </w:rPr>
        <w:t xml:space="preserve">Question 9 (5 points)</w:t>
      </w:r>
    </w:p>
    <w:p>
      <w:pPr>
        <w:pStyle w:val="BodyText"/>
      </w:pPr>
      <w:r>
        <w:t xml:space="preserve">According to Model 1, for each one percentage point increase in the share of residents with higher education, what is the associated variation in the Leave vote share?</w:t>
      </w:r>
    </w:p>
    <w:p>
      <w:pPr>
        <w:pStyle w:val="BodyText"/>
      </w:pPr>
      <w:r>
        <w:rPr>
          <w:b/>
          <w:bCs/>
        </w:rPr>
        <w:t xml:space="preserve">Question 10 (5 points)</w:t>
      </w:r>
    </w:p>
    <w:p>
      <w:pPr>
        <w:pStyle w:val="BodyText"/>
      </w:pPr>
      <w:r>
        <w:t xml:space="preserve">According to Model 2, if there existed a region where none of the residents were born outside the UK, what would be this region’s predicted Leave vote share?</w:t>
      </w:r>
    </w:p>
    <w:p>
      <w:pPr>
        <w:pStyle w:val="BodyText"/>
      </w:pPr>
      <w:r>
        <w:rPr>
          <w:b/>
          <w:bCs/>
        </w:rPr>
        <w:t xml:space="preserve">Question 11 (10 points)</w:t>
      </w:r>
    </w:p>
    <w:p>
      <w:pPr>
        <w:pStyle w:val="BodyText"/>
      </w:pPr>
      <w:r>
        <w:t xml:space="preserve">Imagine a region where 30% of residents have higher education and 10% were born outside the UK. Using estimates from Model 3, what would be the predicted Leave vote share for this region? Please show your calculations.</w:t>
      </w:r>
    </w:p>
    <w:p>
      <w:pPr>
        <w:pStyle w:val="BodyText"/>
      </w:pPr>
      <w:r>
        <w:rPr>
          <w:b/>
          <w:bCs/>
        </w:rPr>
        <w:t xml:space="preserve">Question 12 (15 points)</w:t>
      </w:r>
    </w:p>
    <w:p>
      <w:pPr>
        <w:pStyle w:val="BodyText"/>
      </w:pPr>
      <w:r>
        <w:t xml:space="preserve">According to Model 3, which of the two independent variables has a greater chance of having no real effect on the dependent variable? How can you tell from the table?</w:t>
      </w:r>
    </w:p>
    <w:p>
      <w:pPr>
        <w:pStyle w:val="BodyText"/>
      </w:pPr>
      <w:r>
        <w:rPr>
          <w:b/>
          <w:bCs/>
        </w:rPr>
        <w:t xml:space="preserve">Question 13 (15 points)</w:t>
      </w:r>
    </w:p>
    <w:p>
      <w:pPr>
        <w:pStyle w:val="BodyText"/>
      </w:pPr>
      <w:r>
        <w:t xml:space="preserve">Suppose that a researcher reads the regressions in Table 1 and concludes:</w:t>
      </w:r>
      <w:r>
        <w:t xml:space="preserve"> </w:t>
      </w:r>
      <w:r>
        <w:t xml:space="preserve">“These regressions prove that higher education has a causal effect on Brexit voting.”</w:t>
      </w:r>
    </w:p>
    <w:p>
      <w:pPr>
        <w:pStyle w:val="BodyText"/>
      </w:pPr>
      <w:r>
        <w:t xml:space="preserve">Can you think of a potential confounding variable, not included in the regressions in Table 1, that would raise concerns about the validity of this causal claim? Please justify your answer. In your justification, be sure to demonstrate that you understand the concept of confounding variables by explaining how the potential confounding variable meets the definition.</w:t>
      </w:r>
    </w:p>
    <w:bookmarkEnd w:id="34"/>
    <w:bookmarkEnd w:id="35"/>
    <w:sectPr w:rsidR="001D09A4" w:rsidRPr="008A0A3E" w:rsidSect="003F5EB9">
      <w:footerReference r:id="rId17" w:type="default"/>
      <w:headerReference r:id="rId18" w:type="first"/>
      <w:footerReference r:id="rId19" w:type="first"/>
      <w:pgSz w:h="16838" w:w="11906"/>
      <w:pgMar w:bottom="1440" w:footer="708" w:gutter="0" w:header="708" w:left="1276"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418643"/>
      <w:docPartObj>
        <w:docPartGallery w:val="Page Numbers (Bottom of Page)"/>
        <w:docPartUnique/>
      </w:docPartObj>
    </w:sdtPr>
    <w:sdtEndPr>
      <w:rPr>
        <w:noProof/>
      </w:rPr>
    </w:sdtEndPr>
    <w:sdtContent>
      <w:p w14:paraId="565B43DD" w14:textId="031B2B26" w:rsidR="0095146F" w:rsidRDefault="0095146F">
        <w:pPr>
          <w:pStyle w:val="Footer"/>
          <w:jc w:val="right"/>
        </w:pPr>
        <w:r w:rsidRPr="0095146F">
          <w:rPr>
            <w:rFonts w:ascii="Times New Roman" w:hAnsi="Times New Roman" w:cs="Times New Roman"/>
          </w:rPr>
          <w:fldChar w:fldCharType="begin"/>
        </w:r>
        <w:r w:rsidRPr="0095146F">
          <w:rPr>
            <w:rFonts w:ascii="Times New Roman" w:hAnsi="Times New Roman" w:cs="Times New Roman"/>
          </w:rPr>
          <w:instrText xml:space="preserve"> PAGE   \* MERGEFORMAT </w:instrText>
        </w:r>
        <w:r w:rsidRPr="0095146F">
          <w:rPr>
            <w:rFonts w:ascii="Times New Roman" w:hAnsi="Times New Roman" w:cs="Times New Roman"/>
          </w:rPr>
          <w:fldChar w:fldCharType="separate"/>
        </w:r>
        <w:r w:rsidRPr="0095146F">
          <w:rPr>
            <w:rFonts w:ascii="Times New Roman" w:hAnsi="Times New Roman" w:cs="Times New Roman"/>
            <w:noProof/>
          </w:rPr>
          <w:t>2</w:t>
        </w:r>
        <w:r w:rsidRPr="0095146F">
          <w:rPr>
            <w:rFonts w:ascii="Times New Roman" w:hAnsi="Times New Roman" w:cs="Times New Roman"/>
            <w:noProof/>
          </w:rPr>
          <w:fldChar w:fldCharType="end"/>
        </w:r>
      </w:p>
    </w:sdtContent>
  </w:sdt>
  <w:p w14:paraId="77320E4B" w14:textId="77777777" w:rsidR="0095146F" w:rsidRDefault="00951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789C58CE" w14:paraId="41EB4FC4" w14:textId="77777777" w:rsidTr="789C58CE">
      <w:trPr>
        <w:trHeight w:val="300"/>
      </w:trPr>
      <w:tc>
        <w:tcPr>
          <w:tcW w:w="3060" w:type="dxa"/>
        </w:tcPr>
        <w:p w14:paraId="7C01F17F" w14:textId="1C8AC443" w:rsidR="789C58CE" w:rsidRDefault="789C58CE" w:rsidP="789C58CE">
          <w:pPr>
            <w:pStyle w:val="Header"/>
            <w:ind w:left="-115"/>
          </w:pPr>
        </w:p>
      </w:tc>
      <w:tc>
        <w:tcPr>
          <w:tcW w:w="3060" w:type="dxa"/>
        </w:tcPr>
        <w:p w14:paraId="2A792823" w14:textId="36840077" w:rsidR="789C58CE" w:rsidRDefault="789C58CE" w:rsidP="789C58CE">
          <w:pPr>
            <w:pStyle w:val="Header"/>
            <w:jc w:val="center"/>
          </w:pPr>
        </w:p>
      </w:tc>
      <w:tc>
        <w:tcPr>
          <w:tcW w:w="3060" w:type="dxa"/>
        </w:tcPr>
        <w:p w14:paraId="60ADE639" w14:textId="2058E715" w:rsidR="789C58CE" w:rsidRDefault="789C58CE" w:rsidP="789C58CE">
          <w:pPr>
            <w:pStyle w:val="Header"/>
            <w:ind w:right="-115"/>
            <w:jc w:val="right"/>
          </w:pPr>
        </w:p>
      </w:tc>
    </w:tr>
  </w:tbl>
  <w:p w14:paraId="06222239" w14:textId="33218042" w:rsidR="789C58CE" w:rsidRDefault="003A163F" w:rsidP="789C58CE">
    <w:pPr>
      <w:pStyle w:val="Footer"/>
    </w:pPr>
    <w:r w:rsidRPr="005F20EE">
      <w:rPr>
        <w:b/>
        <w:bCs/>
      </w:rPr>
      <w:t>202</w:t>
    </w:r>
    <w:r w:rsidR="0068757F">
      <w:rPr>
        <w:b/>
        <w:bCs/>
      </w:rPr>
      <w:t>6</w:t>
    </w:r>
    <w:r w:rsidRPr="005F20EE">
      <w:rPr>
        <w:b/>
        <w:bCs/>
      </w:rPr>
      <w:t xml:space="preserve"> © King’s College London </w:t>
    </w:r>
    <w:r>
      <w:rPr>
        <w:b/>
        <w:bC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223B" w14:textId="77777777" w:rsidR="005F20EE" w:rsidRPr="00AE75CD" w:rsidRDefault="005F20EE" w:rsidP="003F5EB9">
    <w:pPr>
      <w:ind w:left="-284"/>
      <w:rPr>
        <w:rFonts w:ascii="Trebuchet MS" w:hAnsi="Trebuchet MS"/>
        <w:b/>
        <w:bCs/>
      </w:rPr>
    </w:pPr>
    <w:r w:rsidRPr="00AE75CD">
      <w:rPr>
        <w:rFonts w:ascii="Trebuchet MS" w:hAnsi="Trebuchet MS"/>
        <w:b/>
        <w:bCs/>
        <w:noProof/>
      </w:rPr>
      <w:drawing>
        <wp:anchor distT="0" distB="0" distL="114300" distR="114300" simplePos="0" relativeHeight="251658240" behindDoc="0" locked="0" layoutInCell="1" allowOverlap="1" wp14:anchorId="63507B9F" wp14:editId="50AD4658">
          <wp:simplePos x="0" y="0"/>
          <wp:positionH relativeFrom="page">
            <wp:posOffset>5981435</wp:posOffset>
          </wp:positionH>
          <wp:positionV relativeFrom="paragraph">
            <wp:posOffset>-373996</wp:posOffset>
          </wp:positionV>
          <wp:extent cx="1422400" cy="1082040"/>
          <wp:effectExtent l="0" t="0" r="6350" b="3810"/>
          <wp:wrapSquare wrapText="bothSides"/>
          <wp:docPr id="898501526" name="Picture 1"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1118" name="Picture 1" descr="A red sign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2400" cy="1082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08EC">
      <w:rPr>
        <w:rFonts w:ascii="Trebuchet MS" w:hAnsi="Trebuchet MS"/>
        <w:b/>
        <w:bCs/>
        <w:lang w:val="en-US"/>
      </w:rPr>
      <w:t>DO NOT REMOVE FROM THE EXAMINATION HALL</w:t>
    </w:r>
    <w:r w:rsidRPr="006808EC">
      <w:rPr>
        <w:rFonts w:ascii="Trebuchet MS" w:hAnsi="Trebuchet MS"/>
        <w:b/>
        <w:bCs/>
      </w:rPr>
      <w:t> </w:t>
    </w:r>
  </w:p>
  <w:p w14:paraId="4D2ED547" w14:textId="17BEDC99" w:rsidR="005F20EE" w:rsidRPr="005F20EE" w:rsidRDefault="005F20EE" w:rsidP="003F5EB9">
    <w:pPr>
      <w:ind w:left="-284"/>
      <w:rPr>
        <w:rFonts w:ascii="Trebuchet MS" w:hAnsi="Trebuchet MS"/>
        <w:b/>
        <w:bCs/>
      </w:rPr>
    </w:pPr>
    <w:r w:rsidRPr="006808EC">
      <w:rPr>
        <w:rFonts w:ascii="Trebuchet MS" w:hAnsi="Trebuchet MS"/>
        <w:b/>
        <w:bCs/>
        <w:lang w:val="en-US"/>
      </w:rPr>
      <w:t>PLACE THIS PAPER AND ANY ANSWER BOOKLETS IN THE EXAM ENVELOPE PROVIDED</w:t>
    </w:r>
    <w:r w:rsidRPr="006808EC">
      <w:rPr>
        <w:rFonts w:ascii="Trebuchet MS" w:hAnsi="Trebuchet MS"/>
        <w:b/>
        <w:bCs/>
      </w:rPr>
      <w:t>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6D3A1EB1"/>
    <w:multiLevelType w:val="hybridMultilevel"/>
    <w:tmpl w:val="4CDAC01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7EC3617D"/>
    <w:multiLevelType w:val="hybridMultilevel"/>
    <w:tmpl w:val="B0A08716"/>
    <w:lvl w:ilvl="0" w:tplc="D2F6B232">
      <w:numFmt w:val="bullet"/>
      <w:lvlText w:val="-"/>
      <w:lvlJc w:val="left"/>
      <w:pPr>
        <w:ind w:hanging="360" w:left="720"/>
      </w:pPr>
      <w:rPr>
        <w:rFonts w:ascii="Times New Roman" w:cs="Times New Roman" w:eastAsiaTheme="minorHAnsi"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01106206" w:numId="1">
    <w:abstractNumId w:val="1"/>
  </w:num>
  <w:num w16cid:durableId="1004163136" w:numId="2">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95"/>
    <w:rsid w:val="00002ABC"/>
    <w:rsid w:val="00037162"/>
    <w:rsid w:val="00045F0A"/>
    <w:rsid w:val="000570ED"/>
    <w:rsid w:val="00060942"/>
    <w:rsid w:val="000626A0"/>
    <w:rsid w:val="000914E4"/>
    <w:rsid w:val="00095110"/>
    <w:rsid w:val="00097B3E"/>
    <w:rsid w:val="000C6268"/>
    <w:rsid w:val="000D2D56"/>
    <w:rsid w:val="000F4740"/>
    <w:rsid w:val="0010375B"/>
    <w:rsid w:val="001238BC"/>
    <w:rsid w:val="00136CAD"/>
    <w:rsid w:val="001828E2"/>
    <w:rsid w:val="001964C9"/>
    <w:rsid w:val="00197696"/>
    <w:rsid w:val="001A60B2"/>
    <w:rsid w:val="001A7B05"/>
    <w:rsid w:val="001C282F"/>
    <w:rsid w:val="001C51AA"/>
    <w:rsid w:val="001D09A4"/>
    <w:rsid w:val="001E639A"/>
    <w:rsid w:val="001E7078"/>
    <w:rsid w:val="001F55B9"/>
    <w:rsid w:val="00206993"/>
    <w:rsid w:val="002135FD"/>
    <w:rsid w:val="00231715"/>
    <w:rsid w:val="00237F76"/>
    <w:rsid w:val="00260074"/>
    <w:rsid w:val="0027761D"/>
    <w:rsid w:val="0028555A"/>
    <w:rsid w:val="00292790"/>
    <w:rsid w:val="002A0627"/>
    <w:rsid w:val="002C297C"/>
    <w:rsid w:val="003223E7"/>
    <w:rsid w:val="0033382B"/>
    <w:rsid w:val="00350258"/>
    <w:rsid w:val="00352653"/>
    <w:rsid w:val="003577A2"/>
    <w:rsid w:val="003716C2"/>
    <w:rsid w:val="0038025E"/>
    <w:rsid w:val="003A0663"/>
    <w:rsid w:val="003A163F"/>
    <w:rsid w:val="003A678D"/>
    <w:rsid w:val="003C5995"/>
    <w:rsid w:val="003D57CC"/>
    <w:rsid w:val="003E344A"/>
    <w:rsid w:val="003E7B29"/>
    <w:rsid w:val="003F234F"/>
    <w:rsid w:val="003F5EB9"/>
    <w:rsid w:val="00430E9A"/>
    <w:rsid w:val="0043103E"/>
    <w:rsid w:val="00443790"/>
    <w:rsid w:val="00447D7C"/>
    <w:rsid w:val="00453727"/>
    <w:rsid w:val="00457C9A"/>
    <w:rsid w:val="004635B2"/>
    <w:rsid w:val="0046632D"/>
    <w:rsid w:val="00472FB7"/>
    <w:rsid w:val="00492C64"/>
    <w:rsid w:val="00495BDB"/>
    <w:rsid w:val="004A5B09"/>
    <w:rsid w:val="004B2EC2"/>
    <w:rsid w:val="004B77D2"/>
    <w:rsid w:val="004C3E24"/>
    <w:rsid w:val="004D0600"/>
    <w:rsid w:val="004D0621"/>
    <w:rsid w:val="0050764E"/>
    <w:rsid w:val="00513C5F"/>
    <w:rsid w:val="00517D1F"/>
    <w:rsid w:val="00521849"/>
    <w:rsid w:val="00524945"/>
    <w:rsid w:val="00526503"/>
    <w:rsid w:val="00534C41"/>
    <w:rsid w:val="0053705A"/>
    <w:rsid w:val="005372A4"/>
    <w:rsid w:val="005502FD"/>
    <w:rsid w:val="00553CE6"/>
    <w:rsid w:val="00562326"/>
    <w:rsid w:val="00565E32"/>
    <w:rsid w:val="005662DB"/>
    <w:rsid w:val="005868C7"/>
    <w:rsid w:val="00594E02"/>
    <w:rsid w:val="005A644F"/>
    <w:rsid w:val="005B6889"/>
    <w:rsid w:val="005E224D"/>
    <w:rsid w:val="005F1631"/>
    <w:rsid w:val="005F1A96"/>
    <w:rsid w:val="005F20EE"/>
    <w:rsid w:val="00621C8E"/>
    <w:rsid w:val="006245F6"/>
    <w:rsid w:val="00646B3E"/>
    <w:rsid w:val="006808EC"/>
    <w:rsid w:val="0068757F"/>
    <w:rsid w:val="0069407B"/>
    <w:rsid w:val="006A1772"/>
    <w:rsid w:val="006A47AE"/>
    <w:rsid w:val="006A7E28"/>
    <w:rsid w:val="006B518B"/>
    <w:rsid w:val="006C750B"/>
    <w:rsid w:val="006E1EA4"/>
    <w:rsid w:val="00702032"/>
    <w:rsid w:val="00702A70"/>
    <w:rsid w:val="00721199"/>
    <w:rsid w:val="0073362E"/>
    <w:rsid w:val="00761E11"/>
    <w:rsid w:val="0076458E"/>
    <w:rsid w:val="00772C54"/>
    <w:rsid w:val="0077429D"/>
    <w:rsid w:val="00774470"/>
    <w:rsid w:val="00777A82"/>
    <w:rsid w:val="0078730E"/>
    <w:rsid w:val="007B31B1"/>
    <w:rsid w:val="007D5A61"/>
    <w:rsid w:val="007F219B"/>
    <w:rsid w:val="007F6E1D"/>
    <w:rsid w:val="008017C4"/>
    <w:rsid w:val="00807FEA"/>
    <w:rsid w:val="008402DF"/>
    <w:rsid w:val="00840412"/>
    <w:rsid w:val="00842B1C"/>
    <w:rsid w:val="00866836"/>
    <w:rsid w:val="00871A14"/>
    <w:rsid w:val="00875C9E"/>
    <w:rsid w:val="00882705"/>
    <w:rsid w:val="008845AD"/>
    <w:rsid w:val="008A0A3E"/>
    <w:rsid w:val="008B634B"/>
    <w:rsid w:val="008B7835"/>
    <w:rsid w:val="008D3DA9"/>
    <w:rsid w:val="008D6479"/>
    <w:rsid w:val="008D7673"/>
    <w:rsid w:val="008E0608"/>
    <w:rsid w:val="008E315B"/>
    <w:rsid w:val="008E6C11"/>
    <w:rsid w:val="00916C7B"/>
    <w:rsid w:val="009235A2"/>
    <w:rsid w:val="009309FE"/>
    <w:rsid w:val="00937585"/>
    <w:rsid w:val="009506BF"/>
    <w:rsid w:val="0095146F"/>
    <w:rsid w:val="00970B39"/>
    <w:rsid w:val="0098236D"/>
    <w:rsid w:val="00985217"/>
    <w:rsid w:val="009933F1"/>
    <w:rsid w:val="00997284"/>
    <w:rsid w:val="009A705F"/>
    <w:rsid w:val="009A753B"/>
    <w:rsid w:val="009B1173"/>
    <w:rsid w:val="009E0E67"/>
    <w:rsid w:val="009F2221"/>
    <w:rsid w:val="009F25DA"/>
    <w:rsid w:val="00A03E85"/>
    <w:rsid w:val="00A04DF1"/>
    <w:rsid w:val="00A33087"/>
    <w:rsid w:val="00A62C68"/>
    <w:rsid w:val="00A71F01"/>
    <w:rsid w:val="00A744E7"/>
    <w:rsid w:val="00A75C56"/>
    <w:rsid w:val="00A8676E"/>
    <w:rsid w:val="00A868A9"/>
    <w:rsid w:val="00A92382"/>
    <w:rsid w:val="00A95BC4"/>
    <w:rsid w:val="00A969FE"/>
    <w:rsid w:val="00AA741C"/>
    <w:rsid w:val="00AD39CD"/>
    <w:rsid w:val="00AD4016"/>
    <w:rsid w:val="00AE4B2D"/>
    <w:rsid w:val="00AE75CD"/>
    <w:rsid w:val="00AF7E6D"/>
    <w:rsid w:val="00B16AE8"/>
    <w:rsid w:val="00B20AE2"/>
    <w:rsid w:val="00B25952"/>
    <w:rsid w:val="00B346D4"/>
    <w:rsid w:val="00B34CBE"/>
    <w:rsid w:val="00B41969"/>
    <w:rsid w:val="00B50723"/>
    <w:rsid w:val="00B56991"/>
    <w:rsid w:val="00B748BC"/>
    <w:rsid w:val="00B74BBA"/>
    <w:rsid w:val="00B91882"/>
    <w:rsid w:val="00BB1359"/>
    <w:rsid w:val="00BC3771"/>
    <w:rsid w:val="00BC7BC8"/>
    <w:rsid w:val="00BE5EF4"/>
    <w:rsid w:val="00BE7A6C"/>
    <w:rsid w:val="00BF61D1"/>
    <w:rsid w:val="00C340CA"/>
    <w:rsid w:val="00C455D4"/>
    <w:rsid w:val="00C55445"/>
    <w:rsid w:val="00C67D6D"/>
    <w:rsid w:val="00C960A0"/>
    <w:rsid w:val="00CA2BD4"/>
    <w:rsid w:val="00CA5CD3"/>
    <w:rsid w:val="00CA70AA"/>
    <w:rsid w:val="00CA7350"/>
    <w:rsid w:val="00CB3BC2"/>
    <w:rsid w:val="00CB4320"/>
    <w:rsid w:val="00CB6A49"/>
    <w:rsid w:val="00CC5962"/>
    <w:rsid w:val="00CC6EAB"/>
    <w:rsid w:val="00CD550F"/>
    <w:rsid w:val="00CE3EB3"/>
    <w:rsid w:val="00CF6676"/>
    <w:rsid w:val="00D05CB3"/>
    <w:rsid w:val="00D1732F"/>
    <w:rsid w:val="00D42660"/>
    <w:rsid w:val="00D66692"/>
    <w:rsid w:val="00D75A66"/>
    <w:rsid w:val="00DA1F2D"/>
    <w:rsid w:val="00DA3784"/>
    <w:rsid w:val="00DC089A"/>
    <w:rsid w:val="00DC2F41"/>
    <w:rsid w:val="00DC4BC4"/>
    <w:rsid w:val="00DF6850"/>
    <w:rsid w:val="00E157AF"/>
    <w:rsid w:val="00E23D60"/>
    <w:rsid w:val="00E24805"/>
    <w:rsid w:val="00E345F5"/>
    <w:rsid w:val="00E500F5"/>
    <w:rsid w:val="00E57D35"/>
    <w:rsid w:val="00E94C56"/>
    <w:rsid w:val="00EA67D2"/>
    <w:rsid w:val="00EC2FEA"/>
    <w:rsid w:val="00EC3743"/>
    <w:rsid w:val="00EE181C"/>
    <w:rsid w:val="00EE3B0D"/>
    <w:rsid w:val="00EF14BC"/>
    <w:rsid w:val="00F039ED"/>
    <w:rsid w:val="00F15758"/>
    <w:rsid w:val="00F367EA"/>
    <w:rsid w:val="00F4604C"/>
    <w:rsid w:val="00F51C28"/>
    <w:rsid w:val="00F54610"/>
    <w:rsid w:val="00F54AB1"/>
    <w:rsid w:val="00F6182F"/>
    <w:rsid w:val="00F8535F"/>
    <w:rsid w:val="00FA17E6"/>
    <w:rsid w:val="00FA1841"/>
    <w:rsid w:val="00FB412E"/>
    <w:rsid w:val="00FC32E8"/>
    <w:rsid w:val="00FD1F8B"/>
    <w:rsid w:val="789C58CE"/>
    <w:rsid w:val="7C5B5D82"/>
  </w:rsids>
  <w:themeFontLang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GB"/>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3C599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3C599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3C599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3C599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3C599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3C599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C599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C599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C599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C599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3C599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3C599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C599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3C599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3C599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C599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C599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C5995"/>
    <w:rPr>
      <w:rFonts w:cstheme="majorBidi" w:eastAsiaTheme="majorEastAsia"/>
      <w:color w:themeColor="text1" w:themeTint="D8" w:val="272727"/>
    </w:rPr>
  </w:style>
  <w:style w:styleId="Title" w:type="paragraph">
    <w:name w:val="Title"/>
    <w:basedOn w:val="Normal"/>
    <w:next w:val="Normal"/>
    <w:link w:val="TitleChar"/>
    <w:uiPriority w:val="10"/>
    <w:qFormat/>
    <w:rsid w:val="003C5995"/>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C599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C599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C599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C5995"/>
    <w:pPr>
      <w:spacing w:before="160"/>
      <w:jc w:val="center"/>
    </w:pPr>
    <w:rPr>
      <w:i/>
      <w:iCs/>
      <w:color w:themeColor="text1" w:themeTint="BF" w:val="404040"/>
    </w:rPr>
  </w:style>
  <w:style w:customStyle="1" w:styleId="QuoteChar" w:type="character">
    <w:name w:val="Quote Char"/>
    <w:basedOn w:val="DefaultParagraphFont"/>
    <w:link w:val="Quote"/>
    <w:uiPriority w:val="29"/>
    <w:rsid w:val="003C5995"/>
    <w:rPr>
      <w:i/>
      <w:iCs/>
      <w:color w:themeColor="text1" w:themeTint="BF" w:val="404040"/>
    </w:rPr>
  </w:style>
  <w:style w:styleId="ListParagraph" w:type="paragraph">
    <w:name w:val="List Paragraph"/>
    <w:basedOn w:val="Normal"/>
    <w:uiPriority w:val="34"/>
    <w:qFormat/>
    <w:rsid w:val="003C5995"/>
    <w:pPr>
      <w:ind w:left="720"/>
      <w:contextualSpacing/>
    </w:pPr>
  </w:style>
  <w:style w:styleId="IntenseEmphasis" w:type="character">
    <w:name w:val="Intense Emphasis"/>
    <w:basedOn w:val="DefaultParagraphFont"/>
    <w:uiPriority w:val="21"/>
    <w:qFormat/>
    <w:rsid w:val="003C5995"/>
    <w:rPr>
      <w:i/>
      <w:iCs/>
      <w:color w:themeColor="accent1" w:themeShade="BF" w:val="0F4761"/>
    </w:rPr>
  </w:style>
  <w:style w:styleId="IntenseQuote" w:type="paragraph">
    <w:name w:val="Intense Quote"/>
    <w:basedOn w:val="Normal"/>
    <w:next w:val="Normal"/>
    <w:link w:val="IntenseQuoteChar"/>
    <w:uiPriority w:val="30"/>
    <w:qFormat/>
    <w:rsid w:val="003C599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C5995"/>
    <w:rPr>
      <w:i/>
      <w:iCs/>
      <w:color w:themeColor="accent1" w:themeShade="BF" w:val="0F4761"/>
    </w:rPr>
  </w:style>
  <w:style w:styleId="IntenseReference" w:type="character">
    <w:name w:val="Intense Reference"/>
    <w:basedOn w:val="DefaultParagraphFont"/>
    <w:uiPriority w:val="32"/>
    <w:qFormat/>
    <w:rsid w:val="003C5995"/>
    <w:rPr>
      <w:b/>
      <w:bCs/>
      <w:smallCaps/>
      <w:color w:themeColor="accent1" w:themeShade="BF" w:val="0F4761"/>
      <w:spacing w:val="5"/>
    </w:rPr>
  </w:style>
  <w:style w:styleId="Header" w:type="paragraph">
    <w:name w:val="header"/>
    <w:basedOn w:val="Normal"/>
    <w:link w:val="HeaderChar"/>
    <w:uiPriority w:val="99"/>
    <w:unhideWhenUsed/>
    <w:rsid w:val="006808EC"/>
    <w:pPr>
      <w:tabs>
        <w:tab w:pos="4513" w:val="center"/>
        <w:tab w:pos="9026" w:val="right"/>
      </w:tabs>
      <w:spacing w:after="0" w:line="240" w:lineRule="auto"/>
    </w:pPr>
  </w:style>
  <w:style w:customStyle="1" w:styleId="HeaderChar" w:type="character">
    <w:name w:val="Header Char"/>
    <w:basedOn w:val="DefaultParagraphFont"/>
    <w:link w:val="Header"/>
    <w:uiPriority w:val="99"/>
    <w:rsid w:val="006808EC"/>
  </w:style>
  <w:style w:styleId="Footer" w:type="paragraph">
    <w:name w:val="footer"/>
    <w:basedOn w:val="Normal"/>
    <w:link w:val="FooterChar"/>
    <w:uiPriority w:val="99"/>
    <w:unhideWhenUsed/>
    <w:rsid w:val="006808EC"/>
    <w:pPr>
      <w:tabs>
        <w:tab w:pos="4513" w:val="center"/>
        <w:tab w:pos="9026" w:val="right"/>
      </w:tabs>
      <w:spacing w:after="0" w:line="240" w:lineRule="auto"/>
    </w:pPr>
  </w:style>
  <w:style w:customStyle="1" w:styleId="FooterChar" w:type="character">
    <w:name w:val="Footer Char"/>
    <w:basedOn w:val="DefaultParagraphFont"/>
    <w:link w:val="Footer"/>
    <w:uiPriority w:val="99"/>
    <w:rsid w:val="006808EC"/>
  </w:style>
  <w:style w:styleId="TableGrid" w:type="table">
    <w:name w:val="Table Grid"/>
    <w:basedOn w:val="TableNormal"/>
    <w:uiPriority w:val="3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Hyperlink" w:type="character">
    <w:name w:val="Hyperlink"/>
    <w:basedOn w:val="DefaultParagraphFont"/>
    <w:uiPriority w:val="99"/>
    <w:unhideWhenUsed/>
    <w:rsid w:val="00BB1359"/>
    <w:rPr>
      <w:color w:themeColor="hyperlink" w:val="467886"/>
      <w:u w:val="single"/>
    </w:rPr>
  </w:style>
  <w:style w:styleId="UnresolvedMention" w:type="character">
    <w:name w:val="Unresolved Mention"/>
    <w:basedOn w:val="DefaultParagraphFont"/>
    <w:uiPriority w:val="99"/>
    <w:semiHidden/>
    <w:unhideWhenUsed/>
    <w:rsid w:val="00BB1359"/>
    <w:rPr>
      <w:color w:val="605E5C"/>
      <w:shd w:color="auto" w:fill="E1DFDD" w:val="clear"/>
    </w:rPr>
  </w:style>
  <w:style w:styleId="Caption" w:type="paragraph">
    <w:name w:val="caption"/>
    <w:basedOn w:val="Normal"/>
    <w:next w:val="Normal"/>
    <w:uiPriority w:val="35"/>
    <w:unhideWhenUsed/>
    <w:qFormat/>
    <w:rsid w:val="00EF14BC"/>
    <w:pPr>
      <w:spacing w:after="200" w:line="240" w:lineRule="auto"/>
    </w:pPr>
    <w:rPr>
      <w:rFonts w:ascii="Times New Roman" w:hAnsi="Times New Roman"/>
      <w:i/>
      <w:iCs/>
      <w:color w:themeColor="text2" w:val="0E2841"/>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70009">
      <w:bodyDiv w:val="1"/>
      <w:marLeft w:val="0"/>
      <w:marRight w:val="0"/>
      <w:marTop w:val="0"/>
      <w:marBottom w:val="0"/>
      <w:divBdr>
        <w:top w:val="none" w:sz="0" w:space="0" w:color="auto"/>
        <w:left w:val="none" w:sz="0" w:space="0" w:color="auto"/>
        <w:bottom w:val="none" w:sz="0" w:space="0" w:color="auto"/>
        <w:right w:val="none" w:sz="0" w:space="0" w:color="auto"/>
      </w:divBdr>
      <w:divsChild>
        <w:div w:id="734206022">
          <w:marLeft w:val="0"/>
          <w:marRight w:val="0"/>
          <w:marTop w:val="0"/>
          <w:marBottom w:val="0"/>
          <w:divBdr>
            <w:top w:val="none" w:sz="0" w:space="0" w:color="auto"/>
            <w:left w:val="none" w:sz="0" w:space="0" w:color="auto"/>
            <w:bottom w:val="none" w:sz="0" w:space="0" w:color="auto"/>
            <w:right w:val="none" w:sz="0" w:space="0" w:color="auto"/>
          </w:divBdr>
        </w:div>
        <w:div w:id="932977515">
          <w:marLeft w:val="0"/>
          <w:marRight w:val="0"/>
          <w:marTop w:val="0"/>
          <w:marBottom w:val="0"/>
          <w:divBdr>
            <w:top w:val="none" w:sz="0" w:space="0" w:color="auto"/>
            <w:left w:val="none" w:sz="0" w:space="0" w:color="auto"/>
            <w:bottom w:val="none" w:sz="0" w:space="0" w:color="auto"/>
            <w:right w:val="none" w:sz="0" w:space="0" w:color="auto"/>
          </w:divBdr>
        </w:div>
        <w:div w:id="1927419775">
          <w:marLeft w:val="0"/>
          <w:marRight w:val="0"/>
          <w:marTop w:val="0"/>
          <w:marBottom w:val="0"/>
          <w:divBdr>
            <w:top w:val="none" w:sz="0" w:space="0" w:color="auto"/>
            <w:left w:val="none" w:sz="0" w:space="0" w:color="auto"/>
            <w:bottom w:val="none" w:sz="0" w:space="0" w:color="auto"/>
            <w:right w:val="none" w:sz="0" w:space="0" w:color="auto"/>
          </w:divBdr>
        </w:div>
        <w:div w:id="2048092880">
          <w:marLeft w:val="0"/>
          <w:marRight w:val="0"/>
          <w:marTop w:val="0"/>
          <w:marBottom w:val="0"/>
          <w:divBdr>
            <w:top w:val="none" w:sz="0" w:space="0" w:color="auto"/>
            <w:left w:val="none" w:sz="0" w:space="0" w:color="auto"/>
            <w:bottom w:val="none" w:sz="0" w:space="0" w:color="auto"/>
            <w:right w:val="none" w:sz="0" w:space="0" w:color="auto"/>
          </w:divBdr>
        </w:div>
        <w:div w:id="1493371351">
          <w:marLeft w:val="0"/>
          <w:marRight w:val="0"/>
          <w:marTop w:val="0"/>
          <w:marBottom w:val="0"/>
          <w:divBdr>
            <w:top w:val="none" w:sz="0" w:space="0" w:color="auto"/>
            <w:left w:val="none" w:sz="0" w:space="0" w:color="auto"/>
            <w:bottom w:val="none" w:sz="0" w:space="0" w:color="auto"/>
            <w:right w:val="none" w:sz="0" w:space="0" w:color="auto"/>
          </w:divBdr>
        </w:div>
      </w:divsChild>
    </w:div>
    <w:div w:id="941572917">
      <w:bodyDiv w:val="1"/>
      <w:marLeft w:val="0"/>
      <w:marRight w:val="0"/>
      <w:marTop w:val="0"/>
      <w:marBottom w:val="0"/>
      <w:divBdr>
        <w:top w:val="none" w:sz="0" w:space="0" w:color="auto"/>
        <w:left w:val="none" w:sz="0" w:space="0" w:color="auto"/>
        <w:bottom w:val="none" w:sz="0" w:space="0" w:color="auto"/>
        <w:right w:val="none" w:sz="0" w:space="0" w:color="auto"/>
      </w:divBdr>
      <w:divsChild>
        <w:div w:id="19015058">
          <w:marLeft w:val="0"/>
          <w:marRight w:val="0"/>
          <w:marTop w:val="0"/>
          <w:marBottom w:val="0"/>
          <w:divBdr>
            <w:top w:val="none" w:sz="0" w:space="0" w:color="auto"/>
            <w:left w:val="none" w:sz="0" w:space="0" w:color="auto"/>
            <w:bottom w:val="none" w:sz="0" w:space="0" w:color="auto"/>
            <w:right w:val="none" w:sz="0" w:space="0" w:color="auto"/>
          </w:divBdr>
        </w:div>
        <w:div w:id="1673681114">
          <w:marLeft w:val="0"/>
          <w:marRight w:val="0"/>
          <w:marTop w:val="0"/>
          <w:marBottom w:val="0"/>
          <w:divBdr>
            <w:top w:val="none" w:sz="0" w:space="0" w:color="auto"/>
            <w:left w:val="none" w:sz="0" w:space="0" w:color="auto"/>
            <w:bottom w:val="none" w:sz="0" w:space="0" w:color="auto"/>
            <w:right w:val="none" w:sz="0" w:space="0" w:color="auto"/>
          </w:divBdr>
        </w:div>
        <w:div w:id="935865299">
          <w:marLeft w:val="0"/>
          <w:marRight w:val="0"/>
          <w:marTop w:val="0"/>
          <w:marBottom w:val="0"/>
          <w:divBdr>
            <w:top w:val="none" w:sz="0" w:space="0" w:color="auto"/>
            <w:left w:val="none" w:sz="0" w:space="0" w:color="auto"/>
            <w:bottom w:val="none" w:sz="0" w:space="0" w:color="auto"/>
            <w:right w:val="none" w:sz="0" w:space="0" w:color="auto"/>
          </w:divBdr>
        </w:div>
        <w:div w:id="1616907239">
          <w:marLeft w:val="0"/>
          <w:marRight w:val="0"/>
          <w:marTop w:val="0"/>
          <w:marBottom w:val="0"/>
          <w:divBdr>
            <w:top w:val="none" w:sz="0" w:space="0" w:color="auto"/>
            <w:left w:val="none" w:sz="0" w:space="0" w:color="auto"/>
            <w:bottom w:val="none" w:sz="0" w:space="0" w:color="auto"/>
            <w:right w:val="none" w:sz="0" w:space="0" w:color="auto"/>
          </w:divBdr>
        </w:div>
        <w:div w:id="819619065">
          <w:marLeft w:val="0"/>
          <w:marRight w:val="0"/>
          <w:marTop w:val="0"/>
          <w:marBottom w:val="0"/>
          <w:divBdr>
            <w:top w:val="none" w:sz="0" w:space="0" w:color="auto"/>
            <w:left w:val="none" w:sz="0" w:space="0" w:color="auto"/>
            <w:bottom w:val="none" w:sz="0" w:space="0" w:color="auto"/>
            <w:right w:val="none" w:sz="0" w:space="0" w:color="auto"/>
          </w:divBdr>
        </w:div>
        <w:div w:id="1161387291">
          <w:marLeft w:val="0"/>
          <w:marRight w:val="0"/>
          <w:marTop w:val="0"/>
          <w:marBottom w:val="0"/>
          <w:divBdr>
            <w:top w:val="none" w:sz="0" w:space="0" w:color="auto"/>
            <w:left w:val="none" w:sz="0" w:space="0" w:color="auto"/>
            <w:bottom w:val="none" w:sz="0" w:space="0" w:color="auto"/>
            <w:right w:val="none" w:sz="0" w:space="0" w:color="auto"/>
          </w:divBdr>
        </w:div>
        <w:div w:id="2122068943">
          <w:marLeft w:val="0"/>
          <w:marRight w:val="0"/>
          <w:marTop w:val="0"/>
          <w:marBottom w:val="0"/>
          <w:divBdr>
            <w:top w:val="none" w:sz="0" w:space="0" w:color="auto"/>
            <w:left w:val="none" w:sz="0" w:space="0" w:color="auto"/>
            <w:bottom w:val="none" w:sz="0" w:space="0" w:color="auto"/>
            <w:right w:val="none" w:sz="0" w:space="0" w:color="auto"/>
          </w:divBdr>
        </w:div>
        <w:div w:id="713192152">
          <w:marLeft w:val="0"/>
          <w:marRight w:val="0"/>
          <w:marTop w:val="0"/>
          <w:marBottom w:val="0"/>
          <w:divBdr>
            <w:top w:val="none" w:sz="0" w:space="0" w:color="auto"/>
            <w:left w:val="none" w:sz="0" w:space="0" w:color="auto"/>
            <w:bottom w:val="none" w:sz="0" w:space="0" w:color="auto"/>
            <w:right w:val="none" w:sz="0" w:space="0" w:color="auto"/>
          </w:divBdr>
        </w:div>
        <w:div w:id="1629429243">
          <w:marLeft w:val="0"/>
          <w:marRight w:val="0"/>
          <w:marTop w:val="0"/>
          <w:marBottom w:val="0"/>
          <w:divBdr>
            <w:top w:val="none" w:sz="0" w:space="0" w:color="auto"/>
            <w:left w:val="none" w:sz="0" w:space="0" w:color="auto"/>
            <w:bottom w:val="none" w:sz="0" w:space="0" w:color="auto"/>
            <w:right w:val="none" w:sz="0" w:space="0" w:color="auto"/>
          </w:divBdr>
        </w:div>
        <w:div w:id="872113170">
          <w:marLeft w:val="0"/>
          <w:marRight w:val="0"/>
          <w:marTop w:val="0"/>
          <w:marBottom w:val="0"/>
          <w:divBdr>
            <w:top w:val="none" w:sz="0" w:space="0" w:color="auto"/>
            <w:left w:val="none" w:sz="0" w:space="0" w:color="auto"/>
            <w:bottom w:val="none" w:sz="0" w:space="0" w:color="auto"/>
            <w:right w:val="none" w:sz="0" w:space="0" w:color="auto"/>
          </w:divBdr>
        </w:div>
        <w:div w:id="648873415">
          <w:marLeft w:val="0"/>
          <w:marRight w:val="0"/>
          <w:marTop w:val="0"/>
          <w:marBottom w:val="0"/>
          <w:divBdr>
            <w:top w:val="none" w:sz="0" w:space="0" w:color="auto"/>
            <w:left w:val="none" w:sz="0" w:space="0" w:color="auto"/>
            <w:bottom w:val="none" w:sz="0" w:space="0" w:color="auto"/>
            <w:right w:val="none" w:sz="0" w:space="0" w:color="auto"/>
          </w:divBdr>
        </w:div>
      </w:divsChild>
    </w:div>
    <w:div w:id="1268738684">
      <w:bodyDiv w:val="1"/>
      <w:marLeft w:val="0"/>
      <w:marRight w:val="0"/>
      <w:marTop w:val="0"/>
      <w:marBottom w:val="0"/>
      <w:divBdr>
        <w:top w:val="none" w:sz="0" w:space="0" w:color="auto"/>
        <w:left w:val="none" w:sz="0" w:space="0" w:color="auto"/>
        <w:bottom w:val="none" w:sz="0" w:space="0" w:color="auto"/>
        <w:right w:val="none" w:sz="0" w:space="0" w:color="auto"/>
      </w:divBdr>
      <w:divsChild>
        <w:div w:id="66002982">
          <w:marLeft w:val="0"/>
          <w:marRight w:val="0"/>
          <w:marTop w:val="0"/>
          <w:marBottom w:val="0"/>
          <w:divBdr>
            <w:top w:val="none" w:sz="0" w:space="0" w:color="auto"/>
            <w:left w:val="none" w:sz="0" w:space="0" w:color="auto"/>
            <w:bottom w:val="none" w:sz="0" w:space="0" w:color="auto"/>
            <w:right w:val="none" w:sz="0" w:space="0" w:color="auto"/>
          </w:divBdr>
        </w:div>
        <w:div w:id="1587493866">
          <w:marLeft w:val="0"/>
          <w:marRight w:val="0"/>
          <w:marTop w:val="0"/>
          <w:marBottom w:val="0"/>
          <w:divBdr>
            <w:top w:val="none" w:sz="0" w:space="0" w:color="auto"/>
            <w:left w:val="none" w:sz="0" w:space="0" w:color="auto"/>
            <w:bottom w:val="none" w:sz="0" w:space="0" w:color="auto"/>
            <w:right w:val="none" w:sz="0" w:space="0" w:color="auto"/>
          </w:divBdr>
        </w:div>
        <w:div w:id="377126248">
          <w:marLeft w:val="0"/>
          <w:marRight w:val="0"/>
          <w:marTop w:val="0"/>
          <w:marBottom w:val="0"/>
          <w:divBdr>
            <w:top w:val="none" w:sz="0" w:space="0" w:color="auto"/>
            <w:left w:val="none" w:sz="0" w:space="0" w:color="auto"/>
            <w:bottom w:val="none" w:sz="0" w:space="0" w:color="auto"/>
            <w:right w:val="none" w:sz="0" w:space="0" w:color="auto"/>
          </w:divBdr>
        </w:div>
        <w:div w:id="558247871">
          <w:marLeft w:val="0"/>
          <w:marRight w:val="0"/>
          <w:marTop w:val="0"/>
          <w:marBottom w:val="0"/>
          <w:divBdr>
            <w:top w:val="none" w:sz="0" w:space="0" w:color="auto"/>
            <w:left w:val="none" w:sz="0" w:space="0" w:color="auto"/>
            <w:bottom w:val="none" w:sz="0" w:space="0" w:color="auto"/>
            <w:right w:val="none" w:sz="0" w:space="0" w:color="auto"/>
          </w:divBdr>
        </w:div>
        <w:div w:id="919750137">
          <w:marLeft w:val="0"/>
          <w:marRight w:val="0"/>
          <w:marTop w:val="0"/>
          <w:marBottom w:val="0"/>
          <w:divBdr>
            <w:top w:val="none" w:sz="0" w:space="0" w:color="auto"/>
            <w:left w:val="none" w:sz="0" w:space="0" w:color="auto"/>
            <w:bottom w:val="none" w:sz="0" w:space="0" w:color="auto"/>
            <w:right w:val="none" w:sz="0" w:space="0" w:color="auto"/>
          </w:divBdr>
        </w:div>
        <w:div w:id="148908905">
          <w:marLeft w:val="0"/>
          <w:marRight w:val="0"/>
          <w:marTop w:val="0"/>
          <w:marBottom w:val="0"/>
          <w:divBdr>
            <w:top w:val="none" w:sz="0" w:space="0" w:color="auto"/>
            <w:left w:val="none" w:sz="0" w:space="0" w:color="auto"/>
            <w:bottom w:val="none" w:sz="0" w:space="0" w:color="auto"/>
            <w:right w:val="none" w:sz="0" w:space="0" w:color="auto"/>
          </w:divBdr>
        </w:div>
        <w:div w:id="1952466411">
          <w:marLeft w:val="0"/>
          <w:marRight w:val="0"/>
          <w:marTop w:val="0"/>
          <w:marBottom w:val="0"/>
          <w:divBdr>
            <w:top w:val="none" w:sz="0" w:space="0" w:color="auto"/>
            <w:left w:val="none" w:sz="0" w:space="0" w:color="auto"/>
            <w:bottom w:val="none" w:sz="0" w:space="0" w:color="auto"/>
            <w:right w:val="none" w:sz="0" w:space="0" w:color="auto"/>
          </w:divBdr>
        </w:div>
        <w:div w:id="1624458795">
          <w:marLeft w:val="0"/>
          <w:marRight w:val="0"/>
          <w:marTop w:val="0"/>
          <w:marBottom w:val="0"/>
          <w:divBdr>
            <w:top w:val="none" w:sz="0" w:space="0" w:color="auto"/>
            <w:left w:val="none" w:sz="0" w:space="0" w:color="auto"/>
            <w:bottom w:val="none" w:sz="0" w:space="0" w:color="auto"/>
            <w:right w:val="none" w:sz="0" w:space="0" w:color="auto"/>
          </w:divBdr>
        </w:div>
        <w:div w:id="1832328138">
          <w:marLeft w:val="0"/>
          <w:marRight w:val="0"/>
          <w:marTop w:val="0"/>
          <w:marBottom w:val="0"/>
          <w:divBdr>
            <w:top w:val="none" w:sz="0" w:space="0" w:color="auto"/>
            <w:left w:val="none" w:sz="0" w:space="0" w:color="auto"/>
            <w:bottom w:val="none" w:sz="0" w:space="0" w:color="auto"/>
            <w:right w:val="none" w:sz="0" w:space="0" w:color="auto"/>
          </w:divBdr>
        </w:div>
        <w:div w:id="659385197">
          <w:marLeft w:val="0"/>
          <w:marRight w:val="0"/>
          <w:marTop w:val="0"/>
          <w:marBottom w:val="0"/>
          <w:divBdr>
            <w:top w:val="none" w:sz="0" w:space="0" w:color="auto"/>
            <w:left w:val="none" w:sz="0" w:space="0" w:color="auto"/>
            <w:bottom w:val="none" w:sz="0" w:space="0" w:color="auto"/>
            <w:right w:val="none" w:sz="0" w:space="0" w:color="auto"/>
          </w:divBdr>
        </w:div>
        <w:div w:id="1595090041">
          <w:marLeft w:val="0"/>
          <w:marRight w:val="0"/>
          <w:marTop w:val="0"/>
          <w:marBottom w:val="0"/>
          <w:divBdr>
            <w:top w:val="none" w:sz="0" w:space="0" w:color="auto"/>
            <w:left w:val="none" w:sz="0" w:space="0" w:color="auto"/>
            <w:bottom w:val="none" w:sz="0" w:space="0" w:color="auto"/>
            <w:right w:val="none" w:sz="0" w:space="0" w:color="auto"/>
          </w:divBdr>
        </w:div>
      </w:divsChild>
    </w:div>
    <w:div w:id="1450276505">
      <w:bodyDiv w:val="1"/>
      <w:marLeft w:val="0"/>
      <w:marRight w:val="0"/>
      <w:marTop w:val="0"/>
      <w:marBottom w:val="0"/>
      <w:divBdr>
        <w:top w:val="none" w:sz="0" w:space="0" w:color="auto"/>
        <w:left w:val="none" w:sz="0" w:space="0" w:color="auto"/>
        <w:bottom w:val="none" w:sz="0" w:space="0" w:color="auto"/>
        <w:right w:val="none" w:sz="0" w:space="0" w:color="auto"/>
      </w:divBdr>
      <w:divsChild>
        <w:div w:id="2090231149">
          <w:marLeft w:val="0"/>
          <w:marRight w:val="0"/>
          <w:marTop w:val="0"/>
          <w:marBottom w:val="0"/>
          <w:divBdr>
            <w:top w:val="none" w:sz="0" w:space="0" w:color="auto"/>
            <w:left w:val="none" w:sz="0" w:space="0" w:color="auto"/>
            <w:bottom w:val="none" w:sz="0" w:space="0" w:color="auto"/>
            <w:right w:val="none" w:sz="0" w:space="0" w:color="auto"/>
          </w:divBdr>
        </w:div>
        <w:div w:id="1004480599">
          <w:marLeft w:val="0"/>
          <w:marRight w:val="0"/>
          <w:marTop w:val="0"/>
          <w:marBottom w:val="0"/>
          <w:divBdr>
            <w:top w:val="none" w:sz="0" w:space="0" w:color="auto"/>
            <w:left w:val="none" w:sz="0" w:space="0" w:color="auto"/>
            <w:bottom w:val="none" w:sz="0" w:space="0" w:color="auto"/>
            <w:right w:val="none" w:sz="0" w:space="0" w:color="auto"/>
          </w:divBdr>
        </w:div>
        <w:div w:id="394819086">
          <w:marLeft w:val="0"/>
          <w:marRight w:val="0"/>
          <w:marTop w:val="0"/>
          <w:marBottom w:val="0"/>
          <w:divBdr>
            <w:top w:val="none" w:sz="0" w:space="0" w:color="auto"/>
            <w:left w:val="none" w:sz="0" w:space="0" w:color="auto"/>
            <w:bottom w:val="none" w:sz="0" w:space="0" w:color="auto"/>
            <w:right w:val="none" w:sz="0" w:space="0" w:color="auto"/>
          </w:divBdr>
        </w:div>
        <w:div w:id="895622190">
          <w:marLeft w:val="0"/>
          <w:marRight w:val="0"/>
          <w:marTop w:val="0"/>
          <w:marBottom w:val="0"/>
          <w:divBdr>
            <w:top w:val="none" w:sz="0" w:space="0" w:color="auto"/>
            <w:left w:val="none" w:sz="0" w:space="0" w:color="auto"/>
            <w:bottom w:val="none" w:sz="0" w:space="0" w:color="auto"/>
            <w:right w:val="none" w:sz="0" w:space="0" w:color="auto"/>
          </w:divBdr>
        </w:div>
        <w:div w:id="389155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8" Target="header1.xml" Type="http://schemas.openxmlformats.org/officeDocument/2006/relationships/header" /><Relationship Id="rId17" Target="footer1.xml" Type="http://schemas.openxmlformats.org/officeDocument/2006/relationships/footer" /><Relationship Id="rId11" Target="media/image1.png" Type="http://schemas.openxmlformats.org/officeDocument/2006/relationships/image" /><Relationship Id="rId19" Target="footer2.xml" Type="http://schemas.openxmlformats.org/officeDocument/2006/relationships/footer" /><Relationship Type="http://schemas.openxmlformats.org/officeDocument/2006/relationships/image" Id="rId29" Target="media/rId29.jp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2026-04-28T17:27:58Z</dcterms:created>
  <dcterms:modified xsi:type="dcterms:W3CDTF">2026-04-28T17:27:58Z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