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7FF" w:rsidRDefault="001C37FF" w:rsidP="00BF69F5"/>
    <w:p w:rsidR="003C17E9" w:rsidRDefault="003C17E9" w:rsidP="00BF69F5"/>
    <w:p w:rsidR="0057700F" w:rsidRDefault="0057700F" w:rsidP="00BF69F5"/>
    <w:p w:rsidR="0057700F" w:rsidRDefault="0057700F" w:rsidP="00BF69F5"/>
    <w:p w:rsidR="0057700F" w:rsidRDefault="0057700F" w:rsidP="00BF69F5"/>
    <w:p w:rsidR="000D2B39" w:rsidRDefault="000D2B39" w:rsidP="00BF69F5"/>
    <w:p w:rsidR="00570DFD" w:rsidRDefault="00570DFD" w:rsidP="00BF69F5"/>
    <w:p w:rsidR="00570DFD" w:rsidRDefault="00570DFD" w:rsidP="00BF69F5"/>
    <w:p w:rsidR="00570DFD" w:rsidRDefault="00570DFD" w:rsidP="00BF69F5"/>
    <w:p w:rsidR="0057700F" w:rsidRDefault="0057700F" w:rsidP="00BF69F5"/>
    <w:p w:rsidR="0057700F" w:rsidRDefault="0057700F" w:rsidP="00BF69F5"/>
    <w:p w:rsidR="00FD2B67" w:rsidRDefault="00FD2B67" w:rsidP="00BF69F5"/>
    <w:p w:rsidR="00360229" w:rsidRPr="005943A9" w:rsidRDefault="00576A37" w:rsidP="00360229">
      <w:pPr>
        <w:pStyle w:val="Title"/>
        <w:spacing w:before="0"/>
        <w:rPr>
          <w:color w:val="EC700A"/>
          <w:sz w:val="28"/>
          <w:szCs w:val="28"/>
        </w:rPr>
      </w:pPr>
      <w:r w:rsidRPr="005943A9">
        <w:rPr>
          <w:color w:val="EC700A"/>
          <w:sz w:val="28"/>
          <w:szCs w:val="28"/>
        </w:rPr>
        <w:t xml:space="preserve">2014 </w:t>
      </w:r>
      <w:r w:rsidR="00FA54A4" w:rsidRPr="005943A9">
        <w:rPr>
          <w:color w:val="EC700A"/>
          <w:sz w:val="28"/>
          <w:szCs w:val="28"/>
        </w:rPr>
        <w:t xml:space="preserve">Pew Political </w:t>
      </w:r>
      <w:r w:rsidRPr="005943A9">
        <w:rPr>
          <w:color w:val="EC700A"/>
          <w:sz w:val="28"/>
          <w:szCs w:val="28"/>
        </w:rPr>
        <w:t>Typology</w:t>
      </w:r>
      <w:r w:rsidR="00073C86">
        <w:rPr>
          <w:color w:val="EC700A"/>
          <w:sz w:val="28"/>
          <w:szCs w:val="28"/>
        </w:rPr>
        <w:t>/Polarization</w:t>
      </w:r>
      <w:r w:rsidRPr="005943A9">
        <w:rPr>
          <w:color w:val="EC700A"/>
          <w:sz w:val="28"/>
          <w:szCs w:val="28"/>
        </w:rPr>
        <w:t xml:space="preserve"> Survey</w:t>
      </w:r>
    </w:p>
    <w:p w:rsidR="007B1BD2" w:rsidRPr="005943A9" w:rsidRDefault="00605839" w:rsidP="007B1BD2">
      <w:pPr>
        <w:pStyle w:val="Title"/>
        <w:rPr>
          <w:color w:val="EC700A"/>
          <w:sz w:val="28"/>
          <w:szCs w:val="28"/>
        </w:rPr>
      </w:pPr>
      <w:r w:rsidRPr="005943A9">
        <w:rPr>
          <w:color w:val="EC700A"/>
          <w:sz w:val="28"/>
          <w:szCs w:val="28"/>
        </w:rPr>
        <w:t>Methodology Report</w:t>
      </w:r>
    </w:p>
    <w:p w:rsidR="00FD2B67" w:rsidRPr="009E37E2" w:rsidRDefault="00FD2B67" w:rsidP="00FD2B67">
      <w:pPr>
        <w:pStyle w:val="BodyText"/>
        <w:jc w:val="center"/>
        <w:rPr>
          <w:rFonts w:cs="Arial"/>
          <w:bCs/>
          <w:color w:val="000080"/>
        </w:rPr>
      </w:pPr>
    </w:p>
    <w:p w:rsidR="00FD2B67" w:rsidRPr="009E37E2" w:rsidRDefault="00FD2B67" w:rsidP="00FD2B67">
      <w:pPr>
        <w:pStyle w:val="BodyText"/>
        <w:jc w:val="center"/>
        <w:rPr>
          <w:rFonts w:cs="Arial"/>
          <w:bCs/>
        </w:rPr>
      </w:pPr>
    </w:p>
    <w:p w:rsidR="00FD2B67" w:rsidRPr="009E37E2" w:rsidRDefault="00FD2B67" w:rsidP="00FD2B67">
      <w:pPr>
        <w:pStyle w:val="BodyText"/>
        <w:jc w:val="center"/>
        <w:rPr>
          <w:rFonts w:cs="Arial"/>
          <w:bCs/>
        </w:rPr>
      </w:pPr>
    </w:p>
    <w:p w:rsidR="00FD2B67" w:rsidRPr="009E37E2" w:rsidRDefault="00FD2B67" w:rsidP="00FD2B67">
      <w:pPr>
        <w:pStyle w:val="Subtitle"/>
      </w:pPr>
      <w:r w:rsidRPr="009E37E2">
        <w:t>Submitted to:</w:t>
      </w:r>
    </w:p>
    <w:p w:rsidR="007B1BD2" w:rsidRPr="0057700F" w:rsidRDefault="00605839" w:rsidP="007B1BD2">
      <w:pPr>
        <w:pStyle w:val="BodyText"/>
        <w:spacing w:after="0"/>
        <w:jc w:val="center"/>
        <w:rPr>
          <w:snapToGrid/>
        </w:rPr>
      </w:pPr>
      <w:r w:rsidRPr="0057700F">
        <w:rPr>
          <w:snapToGrid/>
        </w:rPr>
        <w:t xml:space="preserve">The </w:t>
      </w:r>
      <w:r w:rsidR="00360229" w:rsidRPr="0057700F">
        <w:rPr>
          <w:snapToGrid/>
        </w:rPr>
        <w:t>Pew Research Center</w:t>
      </w:r>
    </w:p>
    <w:p w:rsidR="00360229" w:rsidRPr="00360229" w:rsidRDefault="00360229" w:rsidP="00360229">
      <w:pPr>
        <w:pStyle w:val="BodyText"/>
        <w:spacing w:after="0"/>
        <w:jc w:val="center"/>
        <w:rPr>
          <w:snapToGrid/>
        </w:rPr>
      </w:pPr>
      <w:smartTag w:uri="urn:schemas-microsoft-com:office:smarttags" w:element="address">
        <w:smartTag w:uri="urn:schemas-microsoft-com:office:smarttags" w:element="Street">
          <w:r w:rsidRPr="00360229">
            <w:t>1615 L Street, NW</w:t>
          </w:r>
          <w:r w:rsidRPr="00360229">
            <w:br/>
            <w:t>Suite 700</w:t>
          </w:r>
        </w:smartTag>
        <w:r w:rsidRPr="00360229">
          <w:br/>
        </w:r>
        <w:smartTag w:uri="urn:schemas-microsoft-com:office:smarttags" w:element="City">
          <w:r w:rsidRPr="00360229">
            <w:t>Washington</w:t>
          </w:r>
        </w:smartTag>
        <w:r w:rsidRPr="00360229">
          <w:t xml:space="preserve">, </w:t>
        </w:r>
        <w:smartTag w:uri="urn:schemas-microsoft-com:office:smarttags" w:element="State">
          <w:r w:rsidRPr="00360229">
            <w:t>DC</w:t>
          </w:r>
        </w:smartTag>
        <w:r w:rsidRPr="00360229">
          <w:t xml:space="preserve"> </w:t>
        </w:r>
        <w:smartTag w:uri="urn:schemas-microsoft-com:office:smarttags" w:element="PostalCode">
          <w:r w:rsidRPr="00360229">
            <w:t>20036</w:t>
          </w:r>
        </w:smartTag>
      </w:smartTag>
    </w:p>
    <w:p w:rsidR="00FD2B67" w:rsidRDefault="00FD2B67" w:rsidP="00FD2B67">
      <w:pPr>
        <w:spacing w:line="288" w:lineRule="exact"/>
        <w:jc w:val="center"/>
        <w:rPr>
          <w:rFonts w:cs="Arial"/>
        </w:rPr>
      </w:pPr>
    </w:p>
    <w:p w:rsidR="00605839" w:rsidRDefault="00605839" w:rsidP="00FD2B67">
      <w:pPr>
        <w:spacing w:line="288" w:lineRule="exact"/>
        <w:jc w:val="center"/>
        <w:rPr>
          <w:rFonts w:cs="Arial"/>
        </w:rPr>
      </w:pPr>
    </w:p>
    <w:p w:rsidR="00360229" w:rsidRDefault="00360229" w:rsidP="007F4C7A">
      <w:pPr>
        <w:pStyle w:val="BodyText"/>
        <w:rPr>
          <w:rFonts w:cs="Arial"/>
        </w:rPr>
      </w:pPr>
    </w:p>
    <w:p w:rsidR="00360229" w:rsidRPr="009E37E2" w:rsidRDefault="00360229" w:rsidP="00FD2B67">
      <w:pPr>
        <w:pStyle w:val="BodyText"/>
        <w:jc w:val="center"/>
        <w:rPr>
          <w:rFonts w:cs="Arial"/>
        </w:rPr>
      </w:pPr>
    </w:p>
    <w:p w:rsidR="00FD2B67" w:rsidRPr="009E37E2" w:rsidRDefault="00451055" w:rsidP="00605839">
      <w:pPr>
        <w:pStyle w:val="BodyText"/>
        <w:spacing w:after="0"/>
        <w:jc w:val="center"/>
      </w:pPr>
      <w:r>
        <w:t>Prepared</w:t>
      </w:r>
      <w:r w:rsidR="00FD2B67" w:rsidRPr="009E37E2">
        <w:t xml:space="preserve"> by:</w:t>
      </w:r>
    </w:p>
    <w:p w:rsidR="00FD2B67" w:rsidRPr="0057700F" w:rsidRDefault="00605839" w:rsidP="00605839">
      <w:pPr>
        <w:pStyle w:val="BodyText"/>
        <w:spacing w:after="0"/>
        <w:jc w:val="center"/>
        <w:rPr>
          <w:rFonts w:cs="Arial"/>
        </w:rPr>
      </w:pPr>
      <w:r w:rsidRPr="0057700F">
        <w:rPr>
          <w:rFonts w:cs="Arial"/>
        </w:rPr>
        <w:t>Abt SRBI</w:t>
      </w:r>
    </w:p>
    <w:p w:rsidR="00FD2B67" w:rsidRPr="009E37E2" w:rsidRDefault="00FD2B67" w:rsidP="00FD2B67">
      <w:pPr>
        <w:jc w:val="center"/>
        <w:rPr>
          <w:rFonts w:cs="Arial"/>
        </w:rPr>
      </w:pPr>
      <w:hyperlink r:id="rId8" w:history="1">
        <w:r w:rsidRPr="009E37E2">
          <w:rPr>
            <w:rStyle w:val="Hyperlink"/>
            <w:rFonts w:cs="Arial"/>
          </w:rPr>
          <w:t>www.srbi.com</w:t>
        </w:r>
      </w:hyperlink>
    </w:p>
    <w:p w:rsidR="00605839" w:rsidRDefault="00605839" w:rsidP="003C2310">
      <w:pPr>
        <w:rPr>
          <w:rFonts w:cs="Arial"/>
        </w:rPr>
      </w:pPr>
    </w:p>
    <w:p w:rsidR="003C2310" w:rsidRPr="009E37E2" w:rsidRDefault="003C2310" w:rsidP="003C2310">
      <w:pPr>
        <w:rPr>
          <w:rFonts w:cs="Arial"/>
        </w:rPr>
      </w:pPr>
    </w:p>
    <w:p w:rsidR="00ED272D" w:rsidRDefault="00FC5F82" w:rsidP="007306AA">
      <w:pPr>
        <w:pStyle w:val="Date"/>
        <w:jc w:val="center"/>
        <w:rPr>
          <w:noProof/>
          <w:snapToGrid/>
        </w:rPr>
      </w:pPr>
      <w:r w:rsidRPr="00D33C8B">
        <w:rPr>
          <w:noProof/>
          <w:snapToGrid/>
        </w:rPr>
        <w:pict>
          <v:rect id="_x0000_s1328" style="position:absolute;left:0;text-align:left;margin-left:454.05pt;margin-top:43.8pt;width:27pt;height:27pt;z-index:251657728" stroked="f"/>
        </w:pict>
      </w:r>
      <w:r w:rsidR="00C51326">
        <w:rPr>
          <w:noProof/>
          <w:snapToGrid/>
        </w:rPr>
        <w:t>April</w:t>
      </w:r>
      <w:r w:rsidR="00C4074F">
        <w:rPr>
          <w:noProof/>
          <w:snapToGrid/>
        </w:rPr>
        <w:t xml:space="preserve"> 23</w:t>
      </w:r>
      <w:r w:rsidR="00576A37" w:rsidRPr="00D33C8B">
        <w:rPr>
          <w:noProof/>
          <w:snapToGrid/>
        </w:rPr>
        <w:t>, 2014</w:t>
      </w:r>
    </w:p>
    <w:p w:rsidR="004549AA" w:rsidRDefault="004549AA" w:rsidP="004549AA"/>
    <w:p w:rsidR="004549AA" w:rsidRPr="004549AA" w:rsidRDefault="004549AA" w:rsidP="004549AA"/>
    <w:p w:rsidR="003C17E9" w:rsidRDefault="004549AA" w:rsidP="007306AA">
      <w:pPr>
        <w:pStyle w:val="Date"/>
        <w:jc w:val="center"/>
      </w:pPr>
      <w:bookmarkStart w:id="0" w:name="_GoBack"/>
      <w:r>
        <w:rPr>
          <w:noProof/>
          <w:snapToGrid/>
        </w:rPr>
        <w:t>Revised by Pew Research Center 1-8-15</w:t>
      </w:r>
      <w:bookmarkEnd w:id="0"/>
      <w:r w:rsidR="00ED272D">
        <w:rPr>
          <w:noProof/>
          <w:snapToGrid/>
        </w:rPr>
        <w:br w:type="page"/>
      </w:r>
    </w:p>
    <w:p w:rsidR="00570DFD" w:rsidRDefault="00570DFD" w:rsidP="00570DFD"/>
    <w:p w:rsidR="003C2310" w:rsidRPr="00570DFD" w:rsidRDefault="003C2310" w:rsidP="00570DFD"/>
    <w:p w:rsidR="00802C8F" w:rsidRPr="005943A9" w:rsidRDefault="00802C8F" w:rsidP="00802C8F">
      <w:pPr>
        <w:pStyle w:val="BodyofReport"/>
        <w:spacing w:line="288" w:lineRule="auto"/>
        <w:ind w:firstLine="0"/>
        <w:rPr>
          <w:rFonts w:ascii="Calibri" w:hAnsi="Calibri" w:cs="Arial"/>
          <w:b/>
          <w:bCs/>
          <w:color w:val="E60000"/>
          <w:sz w:val="28"/>
          <w:szCs w:val="28"/>
        </w:rPr>
      </w:pPr>
      <w:r w:rsidRPr="005943A9">
        <w:rPr>
          <w:rFonts w:ascii="Calibri" w:hAnsi="Calibri" w:cs="Arial"/>
          <w:b/>
          <w:bCs/>
          <w:color w:val="E60000"/>
          <w:sz w:val="28"/>
          <w:szCs w:val="28"/>
        </w:rPr>
        <w:t>I.  SUMMARY</w:t>
      </w:r>
    </w:p>
    <w:p w:rsidR="00877309" w:rsidRDefault="00B727F9" w:rsidP="00877309">
      <w:pPr>
        <w:pStyle w:val="BodyofReport"/>
        <w:spacing w:line="288" w:lineRule="auto"/>
        <w:ind w:firstLine="0"/>
        <w:jc w:val="both"/>
        <w:rPr>
          <w:rFonts w:ascii="Calibri" w:hAnsi="Calibri" w:cs="Arial"/>
          <w:szCs w:val="24"/>
        </w:rPr>
      </w:pPr>
      <w:r w:rsidRPr="00E068E6">
        <w:rPr>
          <w:rFonts w:ascii="Calibri" w:hAnsi="Calibri" w:cs="Arial"/>
          <w:szCs w:val="24"/>
        </w:rPr>
        <w:t xml:space="preserve">The </w:t>
      </w:r>
      <w:r w:rsidR="00576A37">
        <w:rPr>
          <w:rFonts w:ascii="Calibri" w:hAnsi="Calibri" w:cs="Arial"/>
          <w:szCs w:val="24"/>
        </w:rPr>
        <w:t xml:space="preserve">2014 </w:t>
      </w:r>
      <w:r w:rsidR="00FA54A4">
        <w:rPr>
          <w:rFonts w:ascii="Calibri" w:hAnsi="Calibri" w:cs="Arial"/>
          <w:szCs w:val="24"/>
        </w:rPr>
        <w:t xml:space="preserve">Pew Political </w:t>
      </w:r>
      <w:r w:rsidR="00576A37">
        <w:rPr>
          <w:rFonts w:ascii="Calibri" w:hAnsi="Calibri" w:cs="Arial"/>
          <w:szCs w:val="24"/>
        </w:rPr>
        <w:t>Typology</w:t>
      </w:r>
      <w:r w:rsidR="003857B7">
        <w:rPr>
          <w:rFonts w:ascii="Calibri" w:hAnsi="Calibri" w:cs="Arial"/>
          <w:szCs w:val="24"/>
        </w:rPr>
        <w:t xml:space="preserve"> </w:t>
      </w:r>
      <w:r w:rsidR="00DA7191">
        <w:rPr>
          <w:rFonts w:ascii="Calibri" w:hAnsi="Calibri" w:cs="Arial"/>
          <w:szCs w:val="24"/>
        </w:rPr>
        <w:t>Survey</w:t>
      </w:r>
      <w:r w:rsidRPr="00E068E6">
        <w:rPr>
          <w:rFonts w:ascii="Calibri" w:hAnsi="Calibri" w:cs="Arial"/>
          <w:szCs w:val="24"/>
        </w:rPr>
        <w:t xml:space="preserve">, </w:t>
      </w:r>
      <w:r>
        <w:rPr>
          <w:rFonts w:ascii="Calibri" w:hAnsi="Calibri" w:cs="Arial"/>
          <w:szCs w:val="24"/>
        </w:rPr>
        <w:t xml:space="preserve">fielded </w:t>
      </w:r>
      <w:r w:rsidRPr="00E068E6">
        <w:rPr>
          <w:rFonts w:ascii="Calibri" w:hAnsi="Calibri" w:cs="Arial"/>
          <w:szCs w:val="24"/>
        </w:rPr>
        <w:t xml:space="preserve">for </w:t>
      </w:r>
      <w:r w:rsidR="00DA7191">
        <w:rPr>
          <w:rFonts w:ascii="Calibri" w:hAnsi="Calibri" w:cs="Arial"/>
          <w:szCs w:val="24"/>
        </w:rPr>
        <w:t>the Pew Research Center for the People &amp; the Press</w:t>
      </w:r>
      <w:r w:rsidRPr="00E068E6">
        <w:rPr>
          <w:rFonts w:ascii="Calibri" w:hAnsi="Calibri" w:cs="Arial"/>
          <w:szCs w:val="24"/>
        </w:rPr>
        <w:t xml:space="preserve"> by Abt SRBI</w:t>
      </w:r>
      <w:r w:rsidRPr="00DE1A20">
        <w:rPr>
          <w:rFonts w:ascii="Calibri" w:hAnsi="Calibri" w:cs="Arial"/>
          <w:szCs w:val="24"/>
        </w:rPr>
        <w:t xml:space="preserve">, </w:t>
      </w:r>
      <w:r w:rsidR="006D087D">
        <w:rPr>
          <w:rFonts w:ascii="Calibri" w:hAnsi="Calibri" w:cs="Arial"/>
          <w:szCs w:val="24"/>
        </w:rPr>
        <w:t>completed</w:t>
      </w:r>
      <w:r w:rsidRPr="00DE1A20">
        <w:rPr>
          <w:rFonts w:ascii="Calibri" w:hAnsi="Calibri" w:cs="Arial"/>
          <w:szCs w:val="24"/>
        </w:rPr>
        <w:t xml:space="preserve"> telephone interviews with a representative sample </w:t>
      </w:r>
      <w:r w:rsidRPr="00AA1270">
        <w:rPr>
          <w:rFonts w:ascii="Calibri" w:hAnsi="Calibri" w:cs="Arial"/>
          <w:szCs w:val="24"/>
        </w:rPr>
        <w:t>o</w:t>
      </w:r>
      <w:r w:rsidRPr="006D087D">
        <w:rPr>
          <w:rFonts w:ascii="Calibri" w:hAnsi="Calibri" w:cs="Arial"/>
          <w:szCs w:val="24"/>
        </w:rPr>
        <w:t xml:space="preserve">f </w:t>
      </w:r>
      <w:r w:rsidR="00AA1270" w:rsidRPr="006D087D">
        <w:rPr>
          <w:rFonts w:ascii="Calibri" w:hAnsi="Calibri" w:cs="Arial"/>
          <w:szCs w:val="24"/>
        </w:rPr>
        <w:t>10,0</w:t>
      </w:r>
      <w:r w:rsidR="00F77471">
        <w:rPr>
          <w:rFonts w:ascii="Calibri" w:hAnsi="Calibri" w:cs="Arial"/>
          <w:szCs w:val="24"/>
        </w:rPr>
        <w:t>13</w:t>
      </w:r>
      <w:r w:rsidRPr="006D087D">
        <w:rPr>
          <w:rFonts w:ascii="Calibri" w:hAnsi="Calibri" w:cs="Arial"/>
          <w:szCs w:val="24"/>
        </w:rPr>
        <w:t xml:space="preserve"> </w:t>
      </w:r>
      <w:r w:rsidR="00DA7191" w:rsidRPr="006D087D">
        <w:rPr>
          <w:rFonts w:ascii="Calibri" w:hAnsi="Calibri" w:cs="Arial"/>
          <w:szCs w:val="24"/>
        </w:rPr>
        <w:t>adults</w:t>
      </w:r>
      <w:r w:rsidRPr="006D087D">
        <w:rPr>
          <w:rFonts w:ascii="Calibri" w:hAnsi="Calibri" w:cs="Arial"/>
          <w:szCs w:val="24"/>
        </w:rPr>
        <w:t xml:space="preserve"> living in </w:t>
      </w:r>
      <w:r w:rsidR="00DE1A20" w:rsidRPr="006D087D">
        <w:rPr>
          <w:rFonts w:ascii="Calibri" w:hAnsi="Calibri" w:cs="Arial"/>
          <w:szCs w:val="24"/>
        </w:rPr>
        <w:t>the U</w:t>
      </w:r>
      <w:r w:rsidR="00412BD0" w:rsidRPr="006D087D">
        <w:rPr>
          <w:rFonts w:ascii="Calibri" w:hAnsi="Calibri" w:cs="Arial"/>
          <w:szCs w:val="24"/>
        </w:rPr>
        <w:t>nited States</w:t>
      </w:r>
      <w:r w:rsidR="00773E1E" w:rsidRPr="006D087D">
        <w:rPr>
          <w:rFonts w:ascii="Calibri" w:hAnsi="Calibri" w:cs="Arial"/>
          <w:szCs w:val="24"/>
        </w:rPr>
        <w:t xml:space="preserve"> (</w:t>
      </w:r>
      <w:r w:rsidR="00AA1270" w:rsidRPr="006D087D">
        <w:rPr>
          <w:rFonts w:ascii="Calibri" w:hAnsi="Calibri" w:cs="Arial"/>
          <w:szCs w:val="24"/>
        </w:rPr>
        <w:t>5,0</w:t>
      </w:r>
      <w:r w:rsidR="00F77471">
        <w:rPr>
          <w:rFonts w:ascii="Calibri" w:hAnsi="Calibri" w:cs="Arial"/>
          <w:szCs w:val="24"/>
        </w:rPr>
        <w:t>10</w:t>
      </w:r>
      <w:r w:rsidRPr="006D087D">
        <w:rPr>
          <w:rFonts w:ascii="Calibri" w:hAnsi="Calibri"/>
          <w:szCs w:val="24"/>
        </w:rPr>
        <w:t xml:space="preserve"> respondents were interviewed on a landline telephone and </w:t>
      </w:r>
      <w:r w:rsidR="00487527" w:rsidRPr="006D087D">
        <w:rPr>
          <w:rFonts w:ascii="Calibri" w:hAnsi="Calibri"/>
          <w:szCs w:val="24"/>
        </w:rPr>
        <w:t>5</w:t>
      </w:r>
      <w:r w:rsidR="00FB555D" w:rsidRPr="006D087D">
        <w:rPr>
          <w:rFonts w:ascii="Calibri" w:hAnsi="Calibri"/>
          <w:szCs w:val="24"/>
        </w:rPr>
        <w:t>,</w:t>
      </w:r>
      <w:r w:rsidR="00AA1270" w:rsidRPr="006D087D">
        <w:rPr>
          <w:rFonts w:ascii="Calibri" w:hAnsi="Calibri"/>
          <w:szCs w:val="24"/>
        </w:rPr>
        <w:t>0</w:t>
      </w:r>
      <w:r w:rsidR="00F77471">
        <w:rPr>
          <w:rFonts w:ascii="Calibri" w:hAnsi="Calibri"/>
          <w:szCs w:val="24"/>
        </w:rPr>
        <w:t>03</w:t>
      </w:r>
      <w:r w:rsidRPr="006D087D">
        <w:rPr>
          <w:rFonts w:ascii="Calibri" w:hAnsi="Calibri"/>
          <w:szCs w:val="24"/>
        </w:rPr>
        <w:t xml:space="preserve"> w</w:t>
      </w:r>
      <w:r w:rsidRPr="000B5373">
        <w:rPr>
          <w:rFonts w:ascii="Calibri" w:hAnsi="Calibri"/>
          <w:szCs w:val="24"/>
        </w:rPr>
        <w:t>ere interviewed on a cell phone</w:t>
      </w:r>
      <w:r w:rsidR="00773E1E" w:rsidRPr="000B5373">
        <w:rPr>
          <w:rFonts w:ascii="Calibri" w:hAnsi="Calibri"/>
          <w:szCs w:val="24"/>
        </w:rPr>
        <w:t>)</w:t>
      </w:r>
      <w:r w:rsidRPr="000B5373">
        <w:rPr>
          <w:rFonts w:ascii="Calibri" w:hAnsi="Calibri" w:cs="Arial"/>
          <w:szCs w:val="24"/>
        </w:rPr>
        <w:t>.</w:t>
      </w:r>
      <w:r w:rsidRPr="004F6334">
        <w:rPr>
          <w:rFonts w:ascii="Calibri" w:hAnsi="Calibri" w:cs="Arial"/>
          <w:szCs w:val="24"/>
        </w:rPr>
        <w:t xml:space="preserve"> </w:t>
      </w:r>
      <w:r w:rsidR="00B00557">
        <w:rPr>
          <w:rFonts w:ascii="Calibri" w:hAnsi="Calibri" w:cs="Arial"/>
          <w:szCs w:val="24"/>
        </w:rPr>
        <w:t>Interviewing was</w:t>
      </w:r>
      <w:r w:rsidRPr="004F6334">
        <w:rPr>
          <w:rFonts w:ascii="Calibri" w:hAnsi="Calibri" w:cs="Arial"/>
          <w:szCs w:val="24"/>
        </w:rPr>
        <w:t xml:space="preserve"> conducted fr</w:t>
      </w:r>
      <w:r w:rsidRPr="00E068E6">
        <w:rPr>
          <w:rFonts w:ascii="Calibri" w:hAnsi="Calibri" w:cs="Arial"/>
          <w:szCs w:val="24"/>
        </w:rPr>
        <w:t xml:space="preserve">om </w:t>
      </w:r>
      <w:r w:rsidR="00487527" w:rsidRPr="0093092C">
        <w:rPr>
          <w:rFonts w:ascii="Calibri" w:hAnsi="Calibri" w:cs="Arial"/>
          <w:szCs w:val="24"/>
        </w:rPr>
        <w:t>January 23</w:t>
      </w:r>
      <w:r w:rsidR="00487527" w:rsidRPr="0093092C">
        <w:rPr>
          <w:rFonts w:ascii="Calibri" w:hAnsi="Calibri" w:cs="Arial"/>
          <w:szCs w:val="24"/>
          <w:vertAlign w:val="superscript"/>
        </w:rPr>
        <w:t>rd</w:t>
      </w:r>
      <w:r w:rsidR="00487527" w:rsidRPr="0093092C">
        <w:rPr>
          <w:rFonts w:ascii="Calibri" w:hAnsi="Calibri" w:cs="Arial"/>
          <w:szCs w:val="24"/>
        </w:rPr>
        <w:t xml:space="preserve"> to March 16</w:t>
      </w:r>
      <w:r w:rsidR="00487527" w:rsidRPr="0093092C">
        <w:rPr>
          <w:rFonts w:ascii="Calibri" w:hAnsi="Calibri" w:cs="Arial"/>
          <w:szCs w:val="24"/>
          <w:vertAlign w:val="superscript"/>
        </w:rPr>
        <w:t>th</w:t>
      </w:r>
      <w:r w:rsidR="00487527" w:rsidRPr="0093092C">
        <w:rPr>
          <w:rFonts w:ascii="Calibri" w:hAnsi="Calibri" w:cs="Arial"/>
          <w:szCs w:val="24"/>
        </w:rPr>
        <w:t>, 2014</w:t>
      </w:r>
      <w:r w:rsidR="00487527" w:rsidRPr="00487527">
        <w:rPr>
          <w:rFonts w:ascii="Calibri" w:hAnsi="Calibri" w:cs="Arial"/>
          <w:szCs w:val="24"/>
        </w:rPr>
        <w:t xml:space="preserve"> </w:t>
      </w:r>
      <w:r w:rsidRPr="00487527">
        <w:rPr>
          <w:rFonts w:ascii="Calibri" w:hAnsi="Calibri" w:cs="Arial"/>
          <w:szCs w:val="24"/>
        </w:rPr>
        <w:t>in</w:t>
      </w:r>
      <w:r>
        <w:rPr>
          <w:rFonts w:ascii="Calibri" w:hAnsi="Calibri" w:cs="Arial"/>
          <w:szCs w:val="24"/>
        </w:rPr>
        <w:t xml:space="preserve"> </w:t>
      </w:r>
      <w:r w:rsidR="00163BD6" w:rsidRPr="000C3903">
        <w:rPr>
          <w:rFonts w:ascii="Calibri" w:hAnsi="Calibri" w:cs="Arial"/>
          <w:szCs w:val="24"/>
        </w:rPr>
        <w:t>English and Spanish</w:t>
      </w:r>
      <w:r w:rsidRPr="000C3903">
        <w:rPr>
          <w:rFonts w:ascii="Calibri" w:hAnsi="Calibri" w:cs="Arial"/>
          <w:szCs w:val="24"/>
        </w:rPr>
        <w:t>.</w:t>
      </w:r>
      <w:r w:rsidR="0093092C">
        <w:rPr>
          <w:rFonts w:ascii="Calibri" w:hAnsi="Calibri" w:cs="Arial"/>
          <w:szCs w:val="24"/>
        </w:rPr>
        <w:t xml:space="preserve"> </w:t>
      </w:r>
      <w:r w:rsidR="00877309">
        <w:rPr>
          <w:rFonts w:ascii="Calibri" w:hAnsi="Calibri" w:cs="Arial"/>
          <w:szCs w:val="24"/>
        </w:rPr>
        <w:t>D</w:t>
      </w:r>
      <w:r w:rsidR="00B00557">
        <w:rPr>
          <w:rFonts w:ascii="Calibri" w:hAnsi="Calibri" w:cs="Arial"/>
          <w:szCs w:val="24"/>
        </w:rPr>
        <w:t>ata collection was divided</w:t>
      </w:r>
      <w:r w:rsidR="0093092C" w:rsidRPr="0093092C">
        <w:rPr>
          <w:rFonts w:ascii="Calibri" w:hAnsi="Calibri" w:cs="Arial"/>
          <w:szCs w:val="24"/>
        </w:rPr>
        <w:t xml:space="preserve"> </w:t>
      </w:r>
      <w:r w:rsidR="00B00557">
        <w:rPr>
          <w:rFonts w:ascii="Calibri" w:hAnsi="Calibri" w:cs="Arial"/>
          <w:szCs w:val="24"/>
        </w:rPr>
        <w:t xml:space="preserve">equally </w:t>
      </w:r>
      <w:r w:rsidR="0093092C" w:rsidRPr="0093092C">
        <w:rPr>
          <w:rFonts w:ascii="Calibri" w:hAnsi="Calibri" w:cs="Arial"/>
          <w:szCs w:val="24"/>
        </w:rPr>
        <w:t xml:space="preserve">into three </w:t>
      </w:r>
      <w:r w:rsidR="00A4553E">
        <w:rPr>
          <w:rFonts w:ascii="Calibri" w:hAnsi="Calibri" w:cs="Arial"/>
          <w:szCs w:val="24"/>
        </w:rPr>
        <w:t>phases (A, B, and C)</w:t>
      </w:r>
      <w:r w:rsidR="00280B7C">
        <w:rPr>
          <w:rFonts w:ascii="Calibri" w:hAnsi="Calibri" w:cs="Arial"/>
          <w:szCs w:val="24"/>
        </w:rPr>
        <w:t xml:space="preserve"> with </w:t>
      </w:r>
      <w:r w:rsidR="00B00557">
        <w:rPr>
          <w:rFonts w:ascii="Calibri" w:hAnsi="Calibri" w:cs="Arial"/>
          <w:szCs w:val="24"/>
        </w:rPr>
        <w:t>non-overlapping field dates</w:t>
      </w:r>
      <w:r w:rsidR="00877309">
        <w:rPr>
          <w:rFonts w:ascii="Calibri" w:hAnsi="Calibri" w:cs="Arial"/>
          <w:szCs w:val="24"/>
        </w:rPr>
        <w:t>, as shown in Table 1</w:t>
      </w:r>
      <w:r w:rsidR="00B00557">
        <w:rPr>
          <w:rFonts w:ascii="Calibri" w:hAnsi="Calibri" w:cs="Arial"/>
          <w:szCs w:val="24"/>
        </w:rPr>
        <w:t xml:space="preserve">. </w:t>
      </w:r>
      <w:r w:rsidR="0093092C" w:rsidRPr="0093092C">
        <w:rPr>
          <w:rFonts w:ascii="Calibri" w:hAnsi="Calibri" w:cs="Arial"/>
          <w:szCs w:val="24"/>
        </w:rPr>
        <w:t>Each third of the overall 10,004 interviews was essentially treated as a separate study with separate samples, field dates, weighting, and questionnaires, although some questions were asked throughout all three phases.</w:t>
      </w:r>
      <w:r w:rsidR="00877309">
        <w:rPr>
          <w:rFonts w:ascii="Calibri" w:hAnsi="Calibri" w:cs="Arial"/>
          <w:szCs w:val="24"/>
        </w:rPr>
        <w:t xml:space="preserve"> </w:t>
      </w:r>
      <w:r w:rsidR="00D33C8B">
        <w:rPr>
          <w:rFonts w:ascii="Calibri" w:hAnsi="Calibri" w:cs="Arial"/>
          <w:szCs w:val="24"/>
        </w:rPr>
        <w:t xml:space="preserve"> </w:t>
      </w:r>
    </w:p>
    <w:p w:rsidR="00877309" w:rsidRDefault="00877309" w:rsidP="00877309">
      <w:pPr>
        <w:pStyle w:val="BodyofReport"/>
        <w:spacing w:line="288" w:lineRule="auto"/>
        <w:ind w:firstLine="0"/>
        <w:jc w:val="both"/>
        <w:rPr>
          <w:rFonts w:ascii="Calibri" w:hAnsi="Calibri"/>
          <w:b/>
          <w:sz w:val="22"/>
          <w:szCs w:val="22"/>
        </w:rPr>
      </w:pPr>
    </w:p>
    <w:p w:rsidR="00877309" w:rsidRPr="00F415B6" w:rsidRDefault="00877309" w:rsidP="003E0F97">
      <w:pPr>
        <w:pStyle w:val="BodyofReport"/>
        <w:spacing w:line="288" w:lineRule="auto"/>
        <w:ind w:firstLine="0"/>
        <w:jc w:val="center"/>
        <w:rPr>
          <w:rFonts w:ascii="Calibri" w:hAnsi="Calibri"/>
          <w:b/>
          <w:sz w:val="22"/>
          <w:szCs w:val="22"/>
        </w:rPr>
      </w:pPr>
      <w:proofErr w:type="gramStart"/>
      <w:r w:rsidRPr="00F415B6">
        <w:rPr>
          <w:rFonts w:ascii="Calibri" w:hAnsi="Calibri"/>
          <w:b/>
          <w:sz w:val="22"/>
          <w:szCs w:val="22"/>
        </w:rPr>
        <w:t>Table 1.</w:t>
      </w:r>
      <w:proofErr w:type="gramEnd"/>
      <w:r w:rsidRPr="00F415B6">
        <w:rPr>
          <w:rFonts w:ascii="Calibri" w:hAnsi="Calibri"/>
          <w:b/>
          <w:sz w:val="22"/>
          <w:szCs w:val="22"/>
        </w:rPr>
        <w:t xml:space="preserve"> Completed Interviews by Data Collection Phase and Sampling Frame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420"/>
        <w:gridCol w:w="1715"/>
        <w:gridCol w:w="1276"/>
        <w:gridCol w:w="1080"/>
      </w:tblGrid>
      <w:tr w:rsidR="00877309" w:rsidRPr="00277AC1" w:rsidTr="003E0F97">
        <w:trPr>
          <w:jc w:val="center"/>
        </w:trPr>
        <w:tc>
          <w:tcPr>
            <w:tcW w:w="0" w:type="auto"/>
            <w:vMerge w:val="restart"/>
            <w:tcBorders>
              <w:top w:val="single" w:sz="12" w:space="0" w:color="auto"/>
              <w:left w:val="nil"/>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r w:rsidRPr="00C502DC">
              <w:rPr>
                <w:rFonts w:ascii="Calibri" w:hAnsi="Calibri"/>
                <w:b/>
                <w:sz w:val="22"/>
                <w:szCs w:val="22"/>
              </w:rPr>
              <w:t>Phase</w:t>
            </w:r>
          </w:p>
        </w:tc>
        <w:tc>
          <w:tcPr>
            <w:tcW w:w="0" w:type="auto"/>
            <w:vMerge w:val="restart"/>
            <w:tcBorders>
              <w:top w:val="single" w:sz="12" w:space="0" w:color="auto"/>
              <w:left w:val="nil"/>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r w:rsidRPr="00C502DC">
              <w:rPr>
                <w:rFonts w:ascii="Calibri" w:hAnsi="Calibri"/>
                <w:b/>
                <w:sz w:val="22"/>
                <w:szCs w:val="22"/>
              </w:rPr>
              <w:t>Dates of Data Collection</w:t>
            </w:r>
          </w:p>
        </w:tc>
        <w:tc>
          <w:tcPr>
            <w:tcW w:w="3839" w:type="dxa"/>
            <w:gridSpan w:val="3"/>
            <w:tcBorders>
              <w:top w:val="single" w:sz="12" w:space="0" w:color="auto"/>
              <w:left w:val="nil"/>
              <w:bottom w:val="nil"/>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r w:rsidRPr="00C502DC">
              <w:rPr>
                <w:rFonts w:ascii="Calibri" w:hAnsi="Calibri"/>
                <w:b/>
                <w:sz w:val="22"/>
                <w:szCs w:val="22"/>
              </w:rPr>
              <w:t>Completed Interviews</w:t>
            </w:r>
          </w:p>
        </w:tc>
      </w:tr>
      <w:tr w:rsidR="00877309" w:rsidRPr="00277AC1" w:rsidTr="003E0F97">
        <w:trPr>
          <w:jc w:val="center"/>
        </w:trPr>
        <w:tc>
          <w:tcPr>
            <w:tcW w:w="0" w:type="auto"/>
            <w:vMerge/>
            <w:tcBorders>
              <w:left w:val="nil"/>
              <w:bottom w:val="single" w:sz="8" w:space="0" w:color="auto"/>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p>
        </w:tc>
        <w:tc>
          <w:tcPr>
            <w:tcW w:w="0" w:type="auto"/>
            <w:vMerge/>
            <w:tcBorders>
              <w:left w:val="nil"/>
              <w:bottom w:val="single" w:sz="8" w:space="0" w:color="auto"/>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highlight w:val="cyan"/>
              </w:rPr>
            </w:pPr>
          </w:p>
        </w:tc>
        <w:tc>
          <w:tcPr>
            <w:tcW w:w="0" w:type="auto"/>
            <w:tcBorders>
              <w:top w:val="nil"/>
              <w:left w:val="nil"/>
              <w:bottom w:val="single" w:sz="8" w:space="0" w:color="auto"/>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r w:rsidRPr="00C502DC">
              <w:rPr>
                <w:rFonts w:ascii="Calibri" w:hAnsi="Calibri"/>
                <w:b/>
                <w:sz w:val="22"/>
                <w:szCs w:val="22"/>
              </w:rPr>
              <w:t>Landline Sample</w:t>
            </w:r>
          </w:p>
        </w:tc>
        <w:tc>
          <w:tcPr>
            <w:tcW w:w="0" w:type="auto"/>
            <w:tcBorders>
              <w:top w:val="nil"/>
              <w:left w:val="nil"/>
              <w:bottom w:val="single" w:sz="8" w:space="0" w:color="auto"/>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r w:rsidRPr="00C502DC">
              <w:rPr>
                <w:rFonts w:ascii="Calibri" w:hAnsi="Calibri"/>
                <w:b/>
                <w:sz w:val="22"/>
                <w:szCs w:val="22"/>
              </w:rPr>
              <w:t>Cell Sample</w:t>
            </w:r>
          </w:p>
        </w:tc>
        <w:tc>
          <w:tcPr>
            <w:tcW w:w="1080" w:type="dxa"/>
            <w:tcBorders>
              <w:top w:val="nil"/>
              <w:left w:val="nil"/>
              <w:bottom w:val="single" w:sz="8" w:space="0" w:color="auto"/>
              <w:right w:val="nil"/>
            </w:tcBorders>
            <w:shd w:val="clear" w:color="auto" w:fill="auto"/>
            <w:vAlign w:val="bottom"/>
          </w:tcPr>
          <w:p w:rsidR="00877309" w:rsidRPr="00C502DC" w:rsidRDefault="00877309" w:rsidP="003E0F97">
            <w:pPr>
              <w:pStyle w:val="BodyofReport"/>
              <w:spacing w:after="120" w:line="240" w:lineRule="auto"/>
              <w:ind w:firstLine="0"/>
              <w:jc w:val="center"/>
              <w:rPr>
                <w:rFonts w:ascii="Calibri" w:hAnsi="Calibri"/>
                <w:b/>
                <w:sz w:val="22"/>
                <w:szCs w:val="22"/>
              </w:rPr>
            </w:pPr>
            <w:r w:rsidRPr="00C502DC">
              <w:rPr>
                <w:rFonts w:ascii="Calibri" w:hAnsi="Calibri"/>
                <w:b/>
                <w:sz w:val="22"/>
                <w:szCs w:val="22"/>
              </w:rPr>
              <w:t>Total</w:t>
            </w:r>
          </w:p>
        </w:tc>
      </w:tr>
      <w:tr w:rsidR="00877309" w:rsidRPr="00277AC1" w:rsidTr="003E0F97">
        <w:trPr>
          <w:jc w:val="center"/>
        </w:trPr>
        <w:tc>
          <w:tcPr>
            <w:tcW w:w="0" w:type="auto"/>
            <w:tcBorders>
              <w:top w:val="single" w:sz="8" w:space="0" w:color="auto"/>
              <w:left w:val="nil"/>
              <w:bottom w:val="nil"/>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b/>
                <w:sz w:val="20"/>
              </w:rPr>
            </w:pPr>
            <w:r w:rsidRPr="00277AC1">
              <w:rPr>
                <w:rFonts w:ascii="Calibri" w:hAnsi="Calibri"/>
                <w:b/>
                <w:sz w:val="20"/>
              </w:rPr>
              <w:t>A</w:t>
            </w:r>
          </w:p>
        </w:tc>
        <w:tc>
          <w:tcPr>
            <w:tcW w:w="0" w:type="auto"/>
            <w:tcBorders>
              <w:top w:val="single" w:sz="8" w:space="0" w:color="auto"/>
              <w:left w:val="nil"/>
              <w:bottom w:val="nil"/>
              <w:right w:val="nil"/>
            </w:tcBorders>
            <w:shd w:val="clear" w:color="auto" w:fill="auto"/>
          </w:tcPr>
          <w:p w:rsidR="00877309" w:rsidRPr="0093092C" w:rsidRDefault="00877309" w:rsidP="00077212">
            <w:pPr>
              <w:pStyle w:val="BodyofReport"/>
              <w:spacing w:after="120" w:line="240" w:lineRule="auto"/>
              <w:ind w:firstLine="0"/>
              <w:jc w:val="both"/>
              <w:rPr>
                <w:rFonts w:ascii="Calibri" w:hAnsi="Calibri"/>
                <w:sz w:val="20"/>
              </w:rPr>
            </w:pPr>
            <w:r w:rsidRPr="0093092C">
              <w:rPr>
                <w:rFonts w:ascii="Calibri" w:hAnsi="Calibri"/>
                <w:sz w:val="20"/>
              </w:rPr>
              <w:t>1/23/14 – 2/9/14</w:t>
            </w:r>
          </w:p>
        </w:tc>
        <w:tc>
          <w:tcPr>
            <w:tcW w:w="0" w:type="auto"/>
            <w:tcBorders>
              <w:top w:val="single" w:sz="8" w:space="0" w:color="auto"/>
              <w:left w:val="nil"/>
              <w:bottom w:val="nil"/>
              <w:right w:val="nil"/>
            </w:tcBorders>
            <w:shd w:val="clear" w:color="auto" w:fill="auto"/>
          </w:tcPr>
          <w:p w:rsidR="00877309" w:rsidRPr="00277AC1" w:rsidRDefault="00877309" w:rsidP="00F77471">
            <w:pPr>
              <w:pStyle w:val="BodyofReport"/>
              <w:spacing w:after="120" w:line="240" w:lineRule="auto"/>
              <w:ind w:firstLine="0"/>
              <w:jc w:val="center"/>
              <w:rPr>
                <w:rFonts w:ascii="Calibri" w:hAnsi="Calibri"/>
                <w:sz w:val="20"/>
              </w:rPr>
            </w:pPr>
            <w:r w:rsidRPr="00277AC1">
              <w:rPr>
                <w:rFonts w:ascii="Calibri" w:hAnsi="Calibri"/>
                <w:sz w:val="20"/>
              </w:rPr>
              <w:t>1,6</w:t>
            </w:r>
            <w:r w:rsidR="00F77471">
              <w:rPr>
                <w:rFonts w:ascii="Calibri" w:hAnsi="Calibri"/>
                <w:sz w:val="20"/>
              </w:rPr>
              <w:t>71</w:t>
            </w:r>
          </w:p>
        </w:tc>
        <w:tc>
          <w:tcPr>
            <w:tcW w:w="0" w:type="auto"/>
            <w:tcBorders>
              <w:top w:val="single" w:sz="8" w:space="0" w:color="auto"/>
              <w:left w:val="nil"/>
              <w:bottom w:val="nil"/>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1,670</w:t>
            </w:r>
          </w:p>
        </w:tc>
        <w:tc>
          <w:tcPr>
            <w:tcW w:w="1080" w:type="dxa"/>
            <w:tcBorders>
              <w:top w:val="single" w:sz="8" w:space="0" w:color="auto"/>
              <w:left w:val="nil"/>
              <w:bottom w:val="nil"/>
              <w:right w:val="nil"/>
            </w:tcBorders>
            <w:shd w:val="clear" w:color="auto" w:fill="auto"/>
          </w:tcPr>
          <w:p w:rsidR="00877309" w:rsidRPr="00277AC1" w:rsidRDefault="00877309" w:rsidP="00F77471">
            <w:pPr>
              <w:pStyle w:val="BodyofReport"/>
              <w:spacing w:after="120" w:line="240" w:lineRule="auto"/>
              <w:ind w:firstLine="0"/>
              <w:jc w:val="center"/>
              <w:rPr>
                <w:rFonts w:ascii="Calibri" w:hAnsi="Calibri"/>
                <w:sz w:val="20"/>
              </w:rPr>
            </w:pPr>
            <w:r w:rsidRPr="00277AC1">
              <w:rPr>
                <w:rFonts w:ascii="Calibri" w:hAnsi="Calibri"/>
                <w:sz w:val="20"/>
              </w:rPr>
              <w:t>3,3</w:t>
            </w:r>
            <w:r w:rsidR="00F77471">
              <w:rPr>
                <w:rFonts w:ascii="Calibri" w:hAnsi="Calibri"/>
                <w:sz w:val="20"/>
              </w:rPr>
              <w:t>41</w:t>
            </w:r>
          </w:p>
        </w:tc>
      </w:tr>
      <w:tr w:rsidR="00877309" w:rsidRPr="00277AC1" w:rsidTr="003E0F97">
        <w:trPr>
          <w:jc w:val="center"/>
        </w:trPr>
        <w:tc>
          <w:tcPr>
            <w:tcW w:w="0" w:type="auto"/>
            <w:tcBorders>
              <w:top w:val="nil"/>
              <w:left w:val="nil"/>
              <w:bottom w:val="nil"/>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b/>
                <w:sz w:val="20"/>
              </w:rPr>
            </w:pPr>
            <w:r w:rsidRPr="00277AC1">
              <w:rPr>
                <w:rFonts w:ascii="Calibri" w:hAnsi="Calibri"/>
                <w:b/>
                <w:sz w:val="20"/>
              </w:rPr>
              <w:t>B</w:t>
            </w:r>
          </w:p>
        </w:tc>
        <w:tc>
          <w:tcPr>
            <w:tcW w:w="0" w:type="auto"/>
            <w:tcBorders>
              <w:top w:val="nil"/>
              <w:left w:val="nil"/>
              <w:bottom w:val="nil"/>
              <w:right w:val="nil"/>
            </w:tcBorders>
            <w:shd w:val="clear" w:color="auto" w:fill="auto"/>
          </w:tcPr>
          <w:p w:rsidR="00877309" w:rsidRPr="0093092C" w:rsidRDefault="00877309" w:rsidP="00077212">
            <w:pPr>
              <w:pStyle w:val="BodyofReport"/>
              <w:spacing w:after="120" w:line="240" w:lineRule="auto"/>
              <w:ind w:firstLine="0"/>
              <w:jc w:val="both"/>
              <w:rPr>
                <w:rFonts w:ascii="Calibri" w:hAnsi="Calibri"/>
                <w:sz w:val="20"/>
              </w:rPr>
            </w:pPr>
            <w:r w:rsidRPr="0093092C">
              <w:rPr>
                <w:rFonts w:ascii="Calibri" w:hAnsi="Calibri"/>
                <w:sz w:val="20"/>
              </w:rPr>
              <w:t>2/12/14 – 2/26/14</w:t>
            </w:r>
          </w:p>
        </w:tc>
        <w:tc>
          <w:tcPr>
            <w:tcW w:w="0" w:type="auto"/>
            <w:tcBorders>
              <w:top w:val="nil"/>
              <w:left w:val="nil"/>
              <w:bottom w:val="nil"/>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1,671</w:t>
            </w:r>
          </w:p>
        </w:tc>
        <w:tc>
          <w:tcPr>
            <w:tcW w:w="0" w:type="auto"/>
            <w:tcBorders>
              <w:top w:val="nil"/>
              <w:left w:val="nil"/>
              <w:bottom w:val="nil"/>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1,666</w:t>
            </w:r>
          </w:p>
        </w:tc>
        <w:tc>
          <w:tcPr>
            <w:tcW w:w="1080" w:type="dxa"/>
            <w:tcBorders>
              <w:top w:val="nil"/>
              <w:left w:val="nil"/>
              <w:bottom w:val="nil"/>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3,337</w:t>
            </w:r>
          </w:p>
        </w:tc>
      </w:tr>
      <w:tr w:rsidR="00877309" w:rsidRPr="00277AC1" w:rsidTr="003E0F97">
        <w:trPr>
          <w:jc w:val="center"/>
        </w:trPr>
        <w:tc>
          <w:tcPr>
            <w:tcW w:w="0" w:type="auto"/>
            <w:tcBorders>
              <w:top w:val="nil"/>
              <w:left w:val="nil"/>
              <w:bottom w:val="single" w:sz="8" w:space="0" w:color="auto"/>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b/>
                <w:sz w:val="20"/>
              </w:rPr>
            </w:pPr>
            <w:r w:rsidRPr="00277AC1">
              <w:rPr>
                <w:rFonts w:ascii="Calibri" w:hAnsi="Calibri"/>
                <w:b/>
                <w:sz w:val="20"/>
              </w:rPr>
              <w:t>C</w:t>
            </w:r>
          </w:p>
        </w:tc>
        <w:tc>
          <w:tcPr>
            <w:tcW w:w="0" w:type="auto"/>
            <w:tcBorders>
              <w:top w:val="nil"/>
              <w:left w:val="nil"/>
              <w:bottom w:val="single" w:sz="8" w:space="0" w:color="auto"/>
              <w:right w:val="nil"/>
            </w:tcBorders>
            <w:shd w:val="clear" w:color="auto" w:fill="auto"/>
          </w:tcPr>
          <w:p w:rsidR="00877309" w:rsidRPr="0093092C" w:rsidRDefault="00877309" w:rsidP="00077212">
            <w:pPr>
              <w:pStyle w:val="BodyofReport"/>
              <w:spacing w:after="120" w:line="240" w:lineRule="auto"/>
              <w:ind w:firstLine="0"/>
              <w:jc w:val="both"/>
              <w:rPr>
                <w:rFonts w:ascii="Calibri" w:hAnsi="Calibri"/>
                <w:sz w:val="20"/>
              </w:rPr>
            </w:pPr>
            <w:r w:rsidRPr="0093092C">
              <w:rPr>
                <w:rFonts w:ascii="Calibri" w:hAnsi="Calibri"/>
                <w:sz w:val="20"/>
              </w:rPr>
              <w:t>2/27/14 – 3/16/14</w:t>
            </w:r>
          </w:p>
        </w:tc>
        <w:tc>
          <w:tcPr>
            <w:tcW w:w="0" w:type="auto"/>
            <w:tcBorders>
              <w:top w:val="nil"/>
              <w:left w:val="nil"/>
              <w:bottom w:val="single" w:sz="8" w:space="0" w:color="auto"/>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1,668</w:t>
            </w:r>
          </w:p>
        </w:tc>
        <w:tc>
          <w:tcPr>
            <w:tcW w:w="0" w:type="auto"/>
            <w:tcBorders>
              <w:top w:val="nil"/>
              <w:left w:val="nil"/>
              <w:bottom w:val="single" w:sz="8" w:space="0" w:color="auto"/>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sz w:val="20"/>
              </w:rPr>
            </w:pPr>
            <w:r w:rsidRPr="00277AC1">
              <w:rPr>
                <w:rFonts w:ascii="Calibri" w:hAnsi="Calibri"/>
                <w:sz w:val="20"/>
              </w:rPr>
              <w:t>1,667</w:t>
            </w:r>
          </w:p>
        </w:tc>
        <w:tc>
          <w:tcPr>
            <w:tcW w:w="1080" w:type="dxa"/>
            <w:tcBorders>
              <w:top w:val="nil"/>
              <w:left w:val="nil"/>
              <w:bottom w:val="single" w:sz="8" w:space="0" w:color="auto"/>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3,335</w:t>
            </w:r>
          </w:p>
        </w:tc>
      </w:tr>
      <w:tr w:rsidR="00877309" w:rsidRPr="00277AC1" w:rsidTr="003E0F97">
        <w:trPr>
          <w:jc w:val="center"/>
        </w:trPr>
        <w:tc>
          <w:tcPr>
            <w:tcW w:w="0" w:type="auto"/>
            <w:tcBorders>
              <w:top w:val="single" w:sz="8" w:space="0" w:color="auto"/>
              <w:left w:val="nil"/>
              <w:bottom w:val="single" w:sz="12" w:space="0" w:color="auto"/>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b/>
                <w:sz w:val="20"/>
              </w:rPr>
            </w:pPr>
          </w:p>
        </w:tc>
        <w:tc>
          <w:tcPr>
            <w:tcW w:w="0" w:type="auto"/>
            <w:tcBorders>
              <w:top w:val="single" w:sz="8" w:space="0" w:color="auto"/>
              <w:left w:val="nil"/>
              <w:bottom w:val="single" w:sz="12" w:space="0" w:color="auto"/>
              <w:right w:val="nil"/>
            </w:tcBorders>
            <w:shd w:val="clear" w:color="auto" w:fill="auto"/>
          </w:tcPr>
          <w:p w:rsidR="00877309" w:rsidRPr="00277AC1" w:rsidRDefault="00877309" w:rsidP="00077212">
            <w:pPr>
              <w:pStyle w:val="BodyofReport"/>
              <w:spacing w:after="120" w:line="240" w:lineRule="auto"/>
              <w:ind w:firstLine="0"/>
              <w:jc w:val="both"/>
              <w:rPr>
                <w:rFonts w:ascii="Calibri" w:hAnsi="Calibri"/>
                <w:sz w:val="20"/>
                <w:highlight w:val="cyan"/>
              </w:rPr>
            </w:pPr>
          </w:p>
        </w:tc>
        <w:tc>
          <w:tcPr>
            <w:tcW w:w="0" w:type="auto"/>
            <w:tcBorders>
              <w:top w:val="single" w:sz="8" w:space="0" w:color="auto"/>
              <w:left w:val="nil"/>
              <w:bottom w:val="single" w:sz="12" w:space="0" w:color="auto"/>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sz w:val="20"/>
              </w:rPr>
            </w:pPr>
            <w:r w:rsidRPr="00277AC1">
              <w:rPr>
                <w:rFonts w:ascii="Calibri" w:hAnsi="Calibri"/>
                <w:sz w:val="20"/>
              </w:rPr>
              <w:t>5,003</w:t>
            </w:r>
          </w:p>
        </w:tc>
        <w:tc>
          <w:tcPr>
            <w:tcW w:w="0" w:type="auto"/>
            <w:tcBorders>
              <w:top w:val="single" w:sz="8" w:space="0" w:color="auto"/>
              <w:left w:val="nil"/>
              <w:bottom w:val="single" w:sz="12" w:space="0" w:color="auto"/>
              <w:right w:val="nil"/>
            </w:tcBorders>
            <w:shd w:val="clear" w:color="auto" w:fill="auto"/>
          </w:tcPr>
          <w:p w:rsidR="00877309" w:rsidRPr="00277AC1" w:rsidRDefault="00877309" w:rsidP="00077212">
            <w:pPr>
              <w:pStyle w:val="BodyofReport"/>
              <w:spacing w:after="120" w:line="240" w:lineRule="auto"/>
              <w:ind w:firstLine="0"/>
              <w:jc w:val="center"/>
              <w:rPr>
                <w:rFonts w:ascii="Calibri" w:hAnsi="Calibri"/>
                <w:sz w:val="20"/>
              </w:rPr>
            </w:pPr>
            <w:r w:rsidRPr="00277AC1">
              <w:rPr>
                <w:rFonts w:ascii="Calibri" w:hAnsi="Calibri"/>
                <w:sz w:val="20"/>
              </w:rPr>
              <w:t>5,001</w:t>
            </w:r>
          </w:p>
        </w:tc>
        <w:tc>
          <w:tcPr>
            <w:tcW w:w="1080" w:type="dxa"/>
            <w:tcBorders>
              <w:top w:val="single" w:sz="8" w:space="0" w:color="auto"/>
              <w:left w:val="nil"/>
              <w:bottom w:val="single" w:sz="12" w:space="0" w:color="auto"/>
              <w:right w:val="nil"/>
            </w:tcBorders>
            <w:shd w:val="clear" w:color="auto" w:fill="auto"/>
          </w:tcPr>
          <w:p w:rsidR="00877309" w:rsidRPr="00277AC1" w:rsidRDefault="00F77471" w:rsidP="00077212">
            <w:pPr>
              <w:pStyle w:val="BodyofReport"/>
              <w:spacing w:after="120" w:line="240" w:lineRule="auto"/>
              <w:ind w:firstLine="0"/>
              <w:jc w:val="center"/>
              <w:rPr>
                <w:rFonts w:ascii="Calibri" w:hAnsi="Calibri"/>
                <w:sz w:val="20"/>
              </w:rPr>
            </w:pPr>
            <w:r>
              <w:rPr>
                <w:rFonts w:ascii="Calibri" w:hAnsi="Calibri"/>
                <w:sz w:val="20"/>
              </w:rPr>
              <w:t>10,013</w:t>
            </w:r>
          </w:p>
        </w:tc>
      </w:tr>
    </w:tbl>
    <w:p w:rsidR="0093092C" w:rsidRDefault="0093092C" w:rsidP="00802C8F">
      <w:pPr>
        <w:pStyle w:val="BodyofReport"/>
        <w:spacing w:line="288" w:lineRule="auto"/>
        <w:ind w:firstLine="0"/>
        <w:jc w:val="both"/>
        <w:rPr>
          <w:rFonts w:ascii="Calibri" w:hAnsi="Calibri" w:cs="Arial"/>
          <w:szCs w:val="24"/>
        </w:rPr>
      </w:pPr>
    </w:p>
    <w:p w:rsidR="00CB2F80" w:rsidRDefault="00B727F9" w:rsidP="00802C8F">
      <w:pPr>
        <w:pStyle w:val="BodyofReport"/>
        <w:spacing w:line="288" w:lineRule="auto"/>
        <w:ind w:firstLine="0"/>
        <w:jc w:val="both"/>
        <w:rPr>
          <w:rFonts w:ascii="Calibri" w:hAnsi="Calibri" w:cs="Arial"/>
          <w:szCs w:val="24"/>
        </w:rPr>
      </w:pPr>
      <w:r>
        <w:rPr>
          <w:rFonts w:ascii="Calibri" w:hAnsi="Calibri" w:cs="Arial"/>
          <w:szCs w:val="24"/>
        </w:rPr>
        <w:t>Samples were drawn from both the</w:t>
      </w:r>
      <w:r w:rsidRPr="004F6334">
        <w:rPr>
          <w:rFonts w:ascii="Calibri" w:hAnsi="Calibri" w:cs="Arial"/>
          <w:szCs w:val="24"/>
        </w:rPr>
        <w:t xml:space="preserve"> landline and cell phone RDD</w:t>
      </w:r>
      <w:r>
        <w:rPr>
          <w:rFonts w:ascii="Calibri" w:hAnsi="Calibri" w:cs="Arial"/>
          <w:szCs w:val="24"/>
        </w:rPr>
        <w:t xml:space="preserve"> </w:t>
      </w:r>
      <w:r w:rsidRPr="001D0F79">
        <w:rPr>
          <w:rFonts w:ascii="Calibri" w:hAnsi="Calibri" w:cs="Arial"/>
          <w:szCs w:val="24"/>
        </w:rPr>
        <w:t>fram</w:t>
      </w:r>
      <w:r w:rsidRPr="0093092C">
        <w:rPr>
          <w:rFonts w:ascii="Calibri" w:hAnsi="Calibri" w:cs="Arial"/>
          <w:szCs w:val="24"/>
        </w:rPr>
        <w:t xml:space="preserve">es. </w:t>
      </w:r>
      <w:r w:rsidR="001C6F7B" w:rsidRPr="0093092C">
        <w:rPr>
          <w:rFonts w:ascii="Calibri" w:hAnsi="Calibri" w:cs="Arial"/>
          <w:szCs w:val="24"/>
        </w:rPr>
        <w:t>Persons</w:t>
      </w:r>
      <w:r w:rsidR="001C6F7B" w:rsidRPr="001D0F79">
        <w:rPr>
          <w:rFonts w:ascii="Calibri" w:hAnsi="Calibri" w:cs="Arial"/>
          <w:szCs w:val="24"/>
        </w:rPr>
        <w:t xml:space="preserve"> with residential landlines were not</w:t>
      </w:r>
      <w:r w:rsidR="001C6F7B" w:rsidRPr="00E068E6">
        <w:rPr>
          <w:rFonts w:ascii="Calibri" w:hAnsi="Calibri" w:cs="Arial"/>
          <w:szCs w:val="24"/>
        </w:rPr>
        <w:t xml:space="preserve"> </w:t>
      </w:r>
      <w:r w:rsidR="001C6F7B" w:rsidRPr="00EA722F">
        <w:rPr>
          <w:rFonts w:ascii="Calibri" w:hAnsi="Calibri" w:cs="Arial"/>
          <w:szCs w:val="24"/>
        </w:rPr>
        <w:t xml:space="preserve">screened out of the cell phone sample.  </w:t>
      </w:r>
      <w:r w:rsidR="0093092C" w:rsidRPr="0093092C">
        <w:rPr>
          <w:rFonts w:ascii="Calibri" w:hAnsi="Calibri" w:cs="Arial"/>
          <w:szCs w:val="24"/>
        </w:rPr>
        <w:t>Separate sample</w:t>
      </w:r>
      <w:r w:rsidR="00794C86">
        <w:rPr>
          <w:rFonts w:ascii="Calibri" w:hAnsi="Calibri" w:cs="Arial"/>
          <w:szCs w:val="24"/>
        </w:rPr>
        <w:t>s</w:t>
      </w:r>
      <w:r w:rsidR="0093092C" w:rsidRPr="0093092C">
        <w:rPr>
          <w:rFonts w:ascii="Calibri" w:hAnsi="Calibri" w:cs="Arial"/>
          <w:szCs w:val="24"/>
        </w:rPr>
        <w:t xml:space="preserve"> </w:t>
      </w:r>
      <w:r w:rsidR="00794C86">
        <w:rPr>
          <w:rFonts w:ascii="Calibri" w:hAnsi="Calibri" w:cs="Arial"/>
          <w:szCs w:val="24"/>
        </w:rPr>
        <w:t>were</w:t>
      </w:r>
      <w:r w:rsidR="0093092C" w:rsidRPr="0093092C">
        <w:rPr>
          <w:rFonts w:ascii="Calibri" w:hAnsi="Calibri" w:cs="Arial"/>
          <w:szCs w:val="24"/>
        </w:rPr>
        <w:t xml:space="preserve"> drawn and dialed for each phase</w:t>
      </w:r>
      <w:r w:rsidR="001F0F70">
        <w:rPr>
          <w:rFonts w:ascii="Calibri" w:hAnsi="Calibri" w:cs="Arial"/>
          <w:szCs w:val="24"/>
        </w:rPr>
        <w:t xml:space="preserve"> of data collection</w:t>
      </w:r>
      <w:r w:rsidR="0093092C" w:rsidRPr="0093092C">
        <w:rPr>
          <w:rFonts w:ascii="Calibri" w:hAnsi="Calibri" w:cs="Arial"/>
          <w:szCs w:val="24"/>
        </w:rPr>
        <w:t xml:space="preserve">. </w:t>
      </w:r>
      <w:r w:rsidRPr="00EA722F">
        <w:rPr>
          <w:rFonts w:ascii="Calibri" w:hAnsi="Calibri"/>
          <w:szCs w:val="24"/>
        </w:rPr>
        <w:t xml:space="preserve">Both the landline and cell phone samples were provided by </w:t>
      </w:r>
      <w:r w:rsidRPr="00AA1270">
        <w:rPr>
          <w:rFonts w:ascii="Calibri" w:hAnsi="Calibri"/>
          <w:szCs w:val="24"/>
        </w:rPr>
        <w:t>Survey Sampling International.</w:t>
      </w:r>
      <w:r w:rsidRPr="00EA722F">
        <w:rPr>
          <w:rFonts w:ascii="Calibri" w:hAnsi="Calibri"/>
          <w:szCs w:val="24"/>
        </w:rPr>
        <w:t xml:space="preserve">  </w:t>
      </w:r>
      <w:r w:rsidR="00C12056" w:rsidRPr="00EA722F">
        <w:rPr>
          <w:rFonts w:ascii="Calibri" w:hAnsi="Calibri"/>
          <w:szCs w:val="24"/>
        </w:rPr>
        <w:t xml:space="preserve">The combined sample is weighted to match demographic parameters from the </w:t>
      </w:r>
      <w:r w:rsidR="00C12056">
        <w:rPr>
          <w:rFonts w:ascii="Calibri" w:hAnsi="Calibri"/>
          <w:szCs w:val="24"/>
        </w:rPr>
        <w:t>American Community</w:t>
      </w:r>
      <w:r w:rsidR="00C12056" w:rsidRPr="00EA722F">
        <w:rPr>
          <w:rFonts w:ascii="Calibri" w:hAnsi="Calibri"/>
          <w:szCs w:val="24"/>
        </w:rPr>
        <w:t xml:space="preserve"> Survey and telephone status parameters from the National Health Interview Survey. The weighting procedure also accounts for the fact that respondents with both a landline and cell phone ha</w:t>
      </w:r>
      <w:r w:rsidR="00C12056">
        <w:rPr>
          <w:rFonts w:ascii="Calibri" w:hAnsi="Calibri"/>
          <w:szCs w:val="24"/>
        </w:rPr>
        <w:t>d</w:t>
      </w:r>
      <w:r w:rsidR="00C12056" w:rsidRPr="00EA722F">
        <w:rPr>
          <w:rFonts w:ascii="Calibri" w:hAnsi="Calibri"/>
          <w:szCs w:val="24"/>
        </w:rPr>
        <w:t xml:space="preserve"> a greater probability of selection. </w:t>
      </w:r>
      <w:r w:rsidR="00C12056" w:rsidRPr="00EA722F">
        <w:rPr>
          <w:rFonts w:ascii="Calibri" w:hAnsi="Calibri" w:cs="Arial"/>
          <w:szCs w:val="24"/>
        </w:rPr>
        <w:t>The margin</w:t>
      </w:r>
      <w:r w:rsidR="00C12056" w:rsidRPr="00E068E6">
        <w:rPr>
          <w:rFonts w:ascii="Calibri" w:hAnsi="Calibri" w:cs="Arial"/>
          <w:szCs w:val="24"/>
        </w:rPr>
        <w:t xml:space="preserve"> of </w:t>
      </w:r>
      <w:r w:rsidR="00C12056">
        <w:rPr>
          <w:rFonts w:ascii="Calibri" w:hAnsi="Calibri" w:cs="Arial"/>
          <w:szCs w:val="24"/>
        </w:rPr>
        <w:t xml:space="preserve">sampling error for </w:t>
      </w:r>
      <w:r w:rsidR="00B41BBA">
        <w:rPr>
          <w:rFonts w:ascii="Calibri" w:hAnsi="Calibri" w:cs="Arial"/>
          <w:szCs w:val="24"/>
        </w:rPr>
        <w:t xml:space="preserve">full sample </w:t>
      </w:r>
      <w:r w:rsidR="00C12056">
        <w:rPr>
          <w:rFonts w:ascii="Calibri" w:hAnsi="Calibri" w:cs="Arial"/>
          <w:szCs w:val="24"/>
        </w:rPr>
        <w:t xml:space="preserve">weighted estimates </w:t>
      </w:r>
      <w:r w:rsidR="00B41BBA">
        <w:rPr>
          <w:rFonts w:ascii="Calibri" w:hAnsi="Calibri" w:cs="Arial"/>
          <w:szCs w:val="24"/>
        </w:rPr>
        <w:t xml:space="preserve">is </w:t>
      </w:r>
      <w:r w:rsidR="00B41BBA" w:rsidRPr="00D75A8D">
        <w:rPr>
          <w:rFonts w:ascii="Calibri" w:hAnsi="Calibri" w:cs="Arial"/>
          <w:szCs w:val="24"/>
        </w:rPr>
        <w:t>±</w:t>
      </w:r>
      <w:r w:rsidR="00B41BBA">
        <w:rPr>
          <w:rFonts w:ascii="Calibri" w:hAnsi="Calibri" w:cs="Arial"/>
          <w:szCs w:val="24"/>
        </w:rPr>
        <w:t>1.13</w:t>
      </w:r>
      <w:r w:rsidR="00B41BBA" w:rsidRPr="00D75A8D">
        <w:rPr>
          <w:rFonts w:ascii="Calibri" w:hAnsi="Calibri" w:cs="Arial"/>
          <w:szCs w:val="24"/>
        </w:rPr>
        <w:t xml:space="preserve"> percentage points</w:t>
      </w:r>
      <w:r w:rsidR="00B41BBA">
        <w:rPr>
          <w:rFonts w:ascii="Calibri" w:hAnsi="Calibri" w:cs="Arial"/>
          <w:szCs w:val="24"/>
        </w:rPr>
        <w:t xml:space="preserve"> when using interviews from all three phases and </w:t>
      </w:r>
      <w:r w:rsidR="00C12056" w:rsidRPr="00D75A8D">
        <w:rPr>
          <w:rFonts w:ascii="Calibri" w:hAnsi="Calibri" w:cs="Arial"/>
          <w:szCs w:val="24"/>
        </w:rPr>
        <w:t>±</w:t>
      </w:r>
      <w:r w:rsidR="00B41BBA">
        <w:rPr>
          <w:rFonts w:ascii="Calibri" w:hAnsi="Calibri" w:cs="Arial"/>
          <w:szCs w:val="24"/>
        </w:rPr>
        <w:t>2</w:t>
      </w:r>
      <w:r w:rsidR="00D75A8D">
        <w:rPr>
          <w:rFonts w:ascii="Calibri" w:hAnsi="Calibri" w:cs="Arial"/>
          <w:szCs w:val="24"/>
        </w:rPr>
        <w:t>.</w:t>
      </w:r>
      <w:r w:rsidR="00B41BBA">
        <w:rPr>
          <w:rFonts w:ascii="Calibri" w:hAnsi="Calibri" w:cs="Arial"/>
          <w:szCs w:val="24"/>
        </w:rPr>
        <w:t>76</w:t>
      </w:r>
      <w:r w:rsidR="00C12056" w:rsidRPr="00D75A8D">
        <w:rPr>
          <w:rFonts w:ascii="Calibri" w:hAnsi="Calibri" w:cs="Arial"/>
          <w:szCs w:val="24"/>
        </w:rPr>
        <w:t xml:space="preserve"> percentage points</w:t>
      </w:r>
      <w:r w:rsidR="00B41BBA">
        <w:rPr>
          <w:rFonts w:ascii="Calibri" w:hAnsi="Calibri" w:cs="Arial"/>
          <w:szCs w:val="24"/>
        </w:rPr>
        <w:t xml:space="preserve"> when using interviews from a single phase</w:t>
      </w:r>
      <w:r w:rsidR="00C12056" w:rsidRPr="00D75A8D">
        <w:rPr>
          <w:rFonts w:ascii="Calibri" w:hAnsi="Calibri" w:cs="Arial"/>
          <w:szCs w:val="24"/>
        </w:rPr>
        <w:t>.</w:t>
      </w:r>
    </w:p>
    <w:p w:rsidR="00D46748" w:rsidRDefault="00D46748" w:rsidP="00802C8F">
      <w:pPr>
        <w:pStyle w:val="BodyofReport"/>
        <w:spacing w:line="288" w:lineRule="auto"/>
        <w:ind w:firstLine="0"/>
        <w:rPr>
          <w:rFonts w:ascii="Calibri" w:hAnsi="Calibri" w:cs="Arial"/>
          <w:b/>
          <w:bCs/>
          <w:color w:val="E60000"/>
          <w:sz w:val="28"/>
          <w:szCs w:val="28"/>
        </w:rPr>
      </w:pPr>
    </w:p>
    <w:p w:rsidR="00802C8F" w:rsidRPr="005943A9" w:rsidRDefault="00802C8F" w:rsidP="00802C8F">
      <w:pPr>
        <w:pStyle w:val="BodyofReport"/>
        <w:spacing w:line="288" w:lineRule="auto"/>
        <w:ind w:firstLine="0"/>
        <w:rPr>
          <w:rFonts w:ascii="Calibri" w:hAnsi="Calibri" w:cs="Arial"/>
          <w:b/>
          <w:bCs/>
          <w:color w:val="E60000"/>
          <w:sz w:val="28"/>
          <w:szCs w:val="28"/>
        </w:rPr>
      </w:pPr>
      <w:r w:rsidRPr="005943A9">
        <w:rPr>
          <w:rFonts w:ascii="Calibri" w:hAnsi="Calibri" w:cs="Arial"/>
          <w:b/>
          <w:bCs/>
          <w:color w:val="E60000"/>
          <w:sz w:val="28"/>
          <w:szCs w:val="28"/>
        </w:rPr>
        <w:t>II</w:t>
      </w:r>
      <w:proofErr w:type="gramStart"/>
      <w:r w:rsidRPr="005943A9">
        <w:rPr>
          <w:rFonts w:ascii="Calibri" w:hAnsi="Calibri" w:cs="Arial"/>
          <w:b/>
          <w:bCs/>
          <w:color w:val="E60000"/>
          <w:sz w:val="28"/>
          <w:szCs w:val="28"/>
        </w:rPr>
        <w:t>.  SAMPLE</w:t>
      </w:r>
      <w:proofErr w:type="gramEnd"/>
      <w:r w:rsidRPr="005943A9">
        <w:rPr>
          <w:rFonts w:ascii="Calibri" w:hAnsi="Calibri" w:cs="Arial"/>
          <w:b/>
          <w:bCs/>
          <w:color w:val="E60000"/>
          <w:sz w:val="28"/>
          <w:szCs w:val="28"/>
        </w:rPr>
        <w:t xml:space="preserve"> DESIGN</w:t>
      </w:r>
    </w:p>
    <w:p w:rsidR="00C12056" w:rsidRPr="00C12056" w:rsidRDefault="00B727F9" w:rsidP="00C12056">
      <w:pPr>
        <w:pStyle w:val="BodyofReport"/>
        <w:spacing w:line="288" w:lineRule="auto"/>
        <w:ind w:firstLine="0"/>
        <w:jc w:val="both"/>
        <w:rPr>
          <w:rFonts w:ascii="Calibri" w:hAnsi="Calibri" w:cs="Arial"/>
        </w:rPr>
      </w:pPr>
      <w:r>
        <w:rPr>
          <w:rFonts w:ascii="Calibri" w:hAnsi="Calibri" w:cs="Arial"/>
        </w:rPr>
        <w:t>The target population for the study is non-institutionalized person</w:t>
      </w:r>
      <w:r w:rsidR="00C45DB1">
        <w:rPr>
          <w:rFonts w:ascii="Calibri" w:hAnsi="Calibri" w:cs="Arial"/>
        </w:rPr>
        <w:t>s age 18 an</w:t>
      </w:r>
      <w:r w:rsidR="00B24C9E">
        <w:rPr>
          <w:rFonts w:ascii="Calibri" w:hAnsi="Calibri" w:cs="Arial"/>
        </w:rPr>
        <w:t>d</w:t>
      </w:r>
      <w:r w:rsidR="00C45DB1">
        <w:rPr>
          <w:rFonts w:ascii="Calibri" w:hAnsi="Calibri" w:cs="Arial"/>
        </w:rPr>
        <w:t xml:space="preserve"> over, </w:t>
      </w:r>
      <w:r w:rsidR="00C45DB1" w:rsidRPr="00C45DB1">
        <w:rPr>
          <w:rFonts w:ascii="Calibri" w:hAnsi="Calibri" w:cs="Arial"/>
        </w:rPr>
        <w:t>living in the</w:t>
      </w:r>
      <w:r w:rsidR="0071039E" w:rsidRPr="00C45DB1">
        <w:rPr>
          <w:rFonts w:ascii="Calibri" w:hAnsi="Calibri" w:cs="Arial"/>
          <w:szCs w:val="24"/>
        </w:rPr>
        <w:t xml:space="preserve"> </w:t>
      </w:r>
      <w:r w:rsidR="00C45DB1">
        <w:rPr>
          <w:rFonts w:ascii="Calibri" w:hAnsi="Calibri" w:cs="Arial"/>
          <w:szCs w:val="24"/>
        </w:rPr>
        <w:t>US</w:t>
      </w:r>
      <w:r w:rsidRPr="00C45DB1">
        <w:rPr>
          <w:rFonts w:ascii="Calibri" w:hAnsi="Calibri" w:cs="Arial"/>
        </w:rPr>
        <w:t xml:space="preserve">.  </w:t>
      </w:r>
      <w:r w:rsidR="0024606A">
        <w:rPr>
          <w:rFonts w:ascii="Calibri" w:hAnsi="Calibri" w:cs="Arial"/>
        </w:rPr>
        <w:t>For each phase</w:t>
      </w:r>
      <w:r w:rsidR="001B7E74">
        <w:rPr>
          <w:rFonts w:ascii="Calibri" w:hAnsi="Calibri" w:cs="Arial"/>
        </w:rPr>
        <w:t xml:space="preserve"> of data collection</w:t>
      </w:r>
      <w:r w:rsidR="0024606A">
        <w:rPr>
          <w:rFonts w:ascii="Calibri" w:hAnsi="Calibri" w:cs="Arial"/>
        </w:rPr>
        <w:t xml:space="preserve">, </w:t>
      </w:r>
      <w:r w:rsidR="00702370">
        <w:rPr>
          <w:rFonts w:ascii="Calibri" w:hAnsi="Calibri" w:cs="Arial"/>
        </w:rPr>
        <w:t xml:space="preserve">new </w:t>
      </w:r>
      <w:r w:rsidR="0024606A">
        <w:rPr>
          <w:rFonts w:ascii="Calibri" w:hAnsi="Calibri" w:cs="Arial"/>
        </w:rPr>
        <w:t>s</w:t>
      </w:r>
      <w:r w:rsidR="0024606A" w:rsidRPr="00C45DB1">
        <w:rPr>
          <w:rFonts w:ascii="Calibri" w:hAnsi="Calibri" w:cs="Arial"/>
        </w:rPr>
        <w:t xml:space="preserve">amples were drawn from both the landline and </w:t>
      </w:r>
      <w:r w:rsidR="0024606A" w:rsidRPr="00C45DB1">
        <w:rPr>
          <w:rFonts w:ascii="Calibri" w:hAnsi="Calibri" w:cs="Arial"/>
        </w:rPr>
        <w:lastRenderedPageBreak/>
        <w:t>cellular</w:t>
      </w:r>
      <w:r w:rsidR="0024606A" w:rsidRPr="0071039E">
        <w:rPr>
          <w:rFonts w:ascii="Calibri" w:hAnsi="Calibri" w:cs="Arial"/>
        </w:rPr>
        <w:t xml:space="preserve"> random digit dial (RDD) frames to represent people with access to either a landline or cell phone. </w:t>
      </w:r>
      <w:r w:rsidR="00C12056">
        <w:rPr>
          <w:rFonts w:ascii="Calibri" w:hAnsi="Calibri" w:cs="Arial"/>
        </w:rPr>
        <w:t xml:space="preserve">All </w:t>
      </w:r>
      <w:r w:rsidR="00C12056" w:rsidRPr="0071039E">
        <w:rPr>
          <w:rFonts w:ascii="Calibri" w:hAnsi="Calibri" w:cs="Arial"/>
        </w:rPr>
        <w:t xml:space="preserve">samples were provided by </w:t>
      </w:r>
      <w:r w:rsidR="00C12056" w:rsidRPr="00FE3DB6">
        <w:rPr>
          <w:rFonts w:ascii="Calibri" w:hAnsi="Calibri" w:cs="Arial"/>
        </w:rPr>
        <w:t>Survey Sampling International, LLC</w:t>
      </w:r>
      <w:r w:rsidR="00C12056" w:rsidRPr="0071039E">
        <w:rPr>
          <w:rFonts w:ascii="Calibri" w:hAnsi="Calibri" w:cs="Arial"/>
        </w:rPr>
        <w:t xml:space="preserve"> according</w:t>
      </w:r>
      <w:r w:rsidR="00C12056" w:rsidRPr="00350205">
        <w:rPr>
          <w:rFonts w:ascii="Calibri" w:hAnsi="Calibri" w:cs="Arial"/>
        </w:rPr>
        <w:t xml:space="preserve"> to </w:t>
      </w:r>
      <w:r w:rsidR="00C12056">
        <w:rPr>
          <w:rFonts w:ascii="Calibri" w:hAnsi="Calibri" w:cs="Arial"/>
        </w:rPr>
        <w:t>Abt SRBI specifications.</w:t>
      </w:r>
    </w:p>
    <w:p w:rsidR="00C12056" w:rsidRPr="00643AF7" w:rsidRDefault="00C12056" w:rsidP="00C502DC">
      <w:pPr>
        <w:pStyle w:val="BodyofReport"/>
        <w:spacing w:line="240" w:lineRule="auto"/>
        <w:ind w:firstLine="0"/>
        <w:jc w:val="both"/>
        <w:rPr>
          <w:rFonts w:ascii="Calibri" w:hAnsi="Calibri"/>
          <w:sz w:val="22"/>
          <w:szCs w:val="22"/>
        </w:rPr>
      </w:pPr>
    </w:p>
    <w:p w:rsidR="00B727F9" w:rsidRPr="00350205" w:rsidRDefault="00B727F9" w:rsidP="00187EEF">
      <w:pPr>
        <w:pStyle w:val="BodyofReport"/>
        <w:spacing w:line="288" w:lineRule="auto"/>
        <w:ind w:firstLine="0"/>
        <w:jc w:val="both"/>
        <w:rPr>
          <w:rFonts w:ascii="Calibri" w:hAnsi="Calibri" w:cs="Arial"/>
        </w:rPr>
      </w:pPr>
      <w:r w:rsidRPr="00350205">
        <w:rPr>
          <w:rFonts w:ascii="Calibri" w:hAnsi="Calibri" w:cs="Arial"/>
        </w:rPr>
        <w:t xml:space="preserve">Numbers for the landline sample were drawn with equal probabilities from active blocks (area code + exchange + two-digit block number) that </w:t>
      </w:r>
      <w:r w:rsidRPr="00C45DB1">
        <w:rPr>
          <w:rFonts w:ascii="Calibri" w:hAnsi="Calibri" w:cs="Arial"/>
        </w:rPr>
        <w:t xml:space="preserve">contained </w:t>
      </w:r>
      <w:r w:rsidR="00C45DB1" w:rsidRPr="00C45DB1">
        <w:rPr>
          <w:rFonts w:ascii="Calibri" w:hAnsi="Calibri" w:cs="Arial"/>
        </w:rPr>
        <w:t xml:space="preserve">one </w:t>
      </w:r>
      <w:r w:rsidRPr="00C45DB1">
        <w:rPr>
          <w:rFonts w:ascii="Calibri" w:hAnsi="Calibri" w:cs="Arial"/>
        </w:rPr>
        <w:t>or more residential</w:t>
      </w:r>
      <w:r w:rsidRPr="00350205">
        <w:rPr>
          <w:rFonts w:ascii="Calibri" w:hAnsi="Calibri" w:cs="Arial"/>
        </w:rPr>
        <w:t xml:space="preserve"> directory listings. The cellular sample was drawn through a systematic sampling from 1000-blocks dedicated to cellular service according to the </w:t>
      </w:r>
      <w:proofErr w:type="spellStart"/>
      <w:r w:rsidRPr="00350205">
        <w:rPr>
          <w:rFonts w:ascii="Calibri" w:hAnsi="Calibri" w:cs="Arial"/>
        </w:rPr>
        <w:t>Telcordia</w:t>
      </w:r>
      <w:proofErr w:type="spellEnd"/>
      <w:r w:rsidRPr="00350205">
        <w:rPr>
          <w:rFonts w:ascii="Calibri" w:hAnsi="Calibri" w:cs="Arial"/>
        </w:rPr>
        <w:t xml:space="preserve"> database.</w:t>
      </w:r>
    </w:p>
    <w:p w:rsidR="00B24C9E" w:rsidRPr="005943A9" w:rsidRDefault="00B24C9E" w:rsidP="00802C8F">
      <w:pPr>
        <w:pStyle w:val="BodyofReport"/>
        <w:spacing w:line="288" w:lineRule="auto"/>
        <w:ind w:firstLine="0"/>
        <w:rPr>
          <w:rFonts w:ascii="Calibri" w:hAnsi="Calibri" w:cs="Arial"/>
          <w:b/>
          <w:bCs/>
          <w:color w:val="E60000"/>
          <w:sz w:val="28"/>
          <w:szCs w:val="28"/>
        </w:rPr>
      </w:pPr>
    </w:p>
    <w:p w:rsidR="00802C8F" w:rsidRPr="005943A9" w:rsidRDefault="00802C8F" w:rsidP="00802C8F">
      <w:pPr>
        <w:pStyle w:val="BodyofReport"/>
        <w:spacing w:line="288" w:lineRule="auto"/>
        <w:ind w:firstLine="0"/>
        <w:rPr>
          <w:rFonts w:ascii="Calibri" w:hAnsi="Calibri" w:cs="Arial"/>
          <w:b/>
          <w:bCs/>
          <w:color w:val="E60000"/>
          <w:sz w:val="28"/>
          <w:szCs w:val="28"/>
        </w:rPr>
      </w:pPr>
      <w:r w:rsidRPr="005943A9">
        <w:rPr>
          <w:rFonts w:ascii="Calibri" w:hAnsi="Calibri" w:cs="Arial"/>
          <w:b/>
          <w:bCs/>
          <w:color w:val="E60000"/>
          <w:sz w:val="28"/>
          <w:szCs w:val="28"/>
        </w:rPr>
        <w:t>III</w:t>
      </w:r>
      <w:proofErr w:type="gramStart"/>
      <w:r w:rsidRPr="005943A9">
        <w:rPr>
          <w:rFonts w:ascii="Calibri" w:hAnsi="Calibri" w:cs="Arial"/>
          <w:b/>
          <w:bCs/>
          <w:color w:val="E60000"/>
          <w:sz w:val="28"/>
          <w:szCs w:val="28"/>
        </w:rPr>
        <w:t>.  QUESTIONNAIRE</w:t>
      </w:r>
      <w:proofErr w:type="gramEnd"/>
      <w:r w:rsidRPr="005943A9">
        <w:rPr>
          <w:rFonts w:ascii="Calibri" w:hAnsi="Calibri" w:cs="Arial"/>
          <w:b/>
          <w:bCs/>
          <w:color w:val="E60000"/>
          <w:sz w:val="28"/>
          <w:szCs w:val="28"/>
        </w:rPr>
        <w:t xml:space="preserve"> DEVELOPMENT AND TESTING</w:t>
      </w:r>
      <w:r w:rsidR="0093092C" w:rsidRPr="005943A9">
        <w:rPr>
          <w:rFonts w:ascii="Calibri" w:hAnsi="Calibri" w:cs="Arial"/>
          <w:b/>
          <w:bCs/>
          <w:color w:val="E60000"/>
          <w:sz w:val="28"/>
          <w:szCs w:val="28"/>
        </w:rPr>
        <w:t xml:space="preserve"> </w:t>
      </w:r>
    </w:p>
    <w:p w:rsidR="0093092C" w:rsidRDefault="0093092C" w:rsidP="00AE2C68">
      <w:pPr>
        <w:pStyle w:val="BodyofReport"/>
        <w:spacing w:line="288" w:lineRule="auto"/>
        <w:ind w:firstLine="0"/>
        <w:jc w:val="both"/>
        <w:rPr>
          <w:rFonts w:ascii="Calibri" w:hAnsi="Calibri" w:cs="Arial"/>
        </w:rPr>
      </w:pPr>
      <w:r w:rsidRPr="0093092C">
        <w:rPr>
          <w:rFonts w:ascii="Calibri" w:hAnsi="Calibri" w:cs="Arial"/>
        </w:rPr>
        <w:t>The questionnaire was developed by the Pew Research Center in consultation with Abt SRBI. In order to improve the quality of the data, the questionnaire was pretested before Phase A and Phase C with a small number of respondents using landline RDD telephone numbers. The pretest interviews were conducted using experienced interviewers who could best judge the quality of the answers given and the degree to which respondents understood the questions.  Pretest interviews were audio recorded and reviewed by investigators at Pew Research Center and the Abt SRBI project management team. Some final changes were made to the quest</w:t>
      </w:r>
      <w:r w:rsidR="00EC7E68">
        <w:rPr>
          <w:rFonts w:ascii="Calibri" w:hAnsi="Calibri" w:cs="Arial"/>
        </w:rPr>
        <w:t xml:space="preserve">ionnaire based on listening to the </w:t>
      </w:r>
      <w:r w:rsidRPr="0093092C">
        <w:rPr>
          <w:rFonts w:ascii="Calibri" w:hAnsi="Calibri" w:cs="Arial"/>
        </w:rPr>
        <w:t>pretest interviews.</w:t>
      </w:r>
    </w:p>
    <w:p w:rsidR="00B24C9E" w:rsidRPr="005943A9" w:rsidRDefault="00B24C9E" w:rsidP="00B727F9">
      <w:pPr>
        <w:pStyle w:val="BodyofReport"/>
        <w:ind w:firstLine="0"/>
        <w:rPr>
          <w:rFonts w:ascii="Calibri" w:hAnsi="Calibri" w:cs="Arial"/>
          <w:color w:val="E60000"/>
          <w:highlight w:val="yellow"/>
        </w:rPr>
      </w:pPr>
    </w:p>
    <w:p w:rsidR="00802C8F" w:rsidRPr="005943A9" w:rsidRDefault="00802C8F" w:rsidP="00802C8F">
      <w:pPr>
        <w:pStyle w:val="BodyofReport"/>
        <w:spacing w:line="288" w:lineRule="auto"/>
        <w:ind w:firstLine="0"/>
        <w:rPr>
          <w:rFonts w:ascii="Calibri" w:hAnsi="Calibri" w:cs="Arial"/>
          <w:b/>
          <w:bCs/>
          <w:color w:val="E60000"/>
          <w:sz w:val="28"/>
          <w:szCs w:val="28"/>
        </w:rPr>
      </w:pPr>
      <w:r w:rsidRPr="005943A9">
        <w:rPr>
          <w:rFonts w:ascii="Calibri" w:hAnsi="Calibri" w:cs="Arial"/>
          <w:b/>
          <w:bCs/>
          <w:color w:val="E60000"/>
          <w:sz w:val="28"/>
          <w:szCs w:val="28"/>
        </w:rPr>
        <w:t>IV</w:t>
      </w:r>
      <w:proofErr w:type="gramStart"/>
      <w:r w:rsidRPr="005943A9">
        <w:rPr>
          <w:rFonts w:ascii="Calibri" w:hAnsi="Calibri" w:cs="Arial"/>
          <w:b/>
          <w:bCs/>
          <w:color w:val="E60000"/>
          <w:sz w:val="28"/>
          <w:szCs w:val="28"/>
        </w:rPr>
        <w:t>.  CALLING</w:t>
      </w:r>
      <w:proofErr w:type="gramEnd"/>
      <w:r w:rsidRPr="005943A9">
        <w:rPr>
          <w:rFonts w:ascii="Calibri" w:hAnsi="Calibri" w:cs="Arial"/>
          <w:b/>
          <w:bCs/>
          <w:color w:val="E60000"/>
          <w:sz w:val="28"/>
          <w:szCs w:val="28"/>
        </w:rPr>
        <w:t xml:space="preserve"> PROTOCOL</w:t>
      </w:r>
      <w:r w:rsidR="006050BE" w:rsidRPr="005943A9">
        <w:rPr>
          <w:rFonts w:ascii="Calibri" w:hAnsi="Calibri" w:cs="Arial"/>
          <w:b/>
          <w:bCs/>
          <w:color w:val="E60000"/>
          <w:sz w:val="28"/>
          <w:szCs w:val="28"/>
        </w:rPr>
        <w:t xml:space="preserve"> </w:t>
      </w:r>
    </w:p>
    <w:p w:rsidR="0093092C" w:rsidRPr="0093092C" w:rsidRDefault="0093092C" w:rsidP="0093092C">
      <w:pPr>
        <w:pStyle w:val="BodyofReport"/>
        <w:spacing w:line="288" w:lineRule="auto"/>
        <w:ind w:firstLine="0"/>
        <w:jc w:val="both"/>
        <w:rPr>
          <w:rFonts w:ascii="Calibri" w:hAnsi="Calibri" w:cs="Arial"/>
        </w:rPr>
      </w:pPr>
      <w:r w:rsidRPr="0093092C">
        <w:rPr>
          <w:rFonts w:ascii="Calibri" w:hAnsi="Calibri" w:cs="Arial"/>
        </w:rPr>
        <w:t xml:space="preserve">Landline </w:t>
      </w:r>
      <w:r w:rsidR="00726072">
        <w:rPr>
          <w:rFonts w:ascii="Calibri" w:hAnsi="Calibri" w:cs="Arial"/>
        </w:rPr>
        <w:t xml:space="preserve">and cell phones </w:t>
      </w:r>
      <w:r w:rsidR="00581209">
        <w:rPr>
          <w:rFonts w:ascii="Calibri" w:hAnsi="Calibri" w:cs="Arial"/>
        </w:rPr>
        <w:t>numbers were called as many as seven</w:t>
      </w:r>
      <w:r w:rsidRPr="0093092C">
        <w:rPr>
          <w:rFonts w:ascii="Calibri" w:hAnsi="Calibri" w:cs="Arial"/>
        </w:rPr>
        <w:t xml:space="preserve"> times</w:t>
      </w:r>
      <w:r w:rsidR="00726072">
        <w:rPr>
          <w:rFonts w:ascii="Calibri" w:hAnsi="Calibri" w:cs="Arial"/>
        </w:rPr>
        <w:t xml:space="preserve">. </w:t>
      </w:r>
      <w:r w:rsidRPr="0093092C">
        <w:rPr>
          <w:rFonts w:ascii="Calibri" w:hAnsi="Calibri" w:cs="Arial"/>
        </w:rPr>
        <w:t xml:space="preserve">Refusal conversion was attempted on soft refusal cases in both the landline and cell </w:t>
      </w:r>
      <w:r w:rsidR="002F6D74">
        <w:rPr>
          <w:rFonts w:ascii="Calibri" w:hAnsi="Calibri" w:cs="Arial"/>
        </w:rPr>
        <w:t>phone</w:t>
      </w:r>
      <w:r w:rsidRPr="0093092C">
        <w:rPr>
          <w:rFonts w:ascii="Calibri" w:hAnsi="Calibri" w:cs="Arial"/>
        </w:rPr>
        <w:t xml:space="preserve"> sample.  Interviews were conducted from January 23 to March 16, 201</w:t>
      </w:r>
      <w:r w:rsidR="00EB5F96">
        <w:rPr>
          <w:rFonts w:ascii="Calibri" w:hAnsi="Calibri" w:cs="Arial"/>
        </w:rPr>
        <w:t>4</w:t>
      </w:r>
      <w:r w:rsidRPr="0093092C">
        <w:rPr>
          <w:rFonts w:ascii="Calibri" w:hAnsi="Calibri" w:cs="Arial"/>
        </w:rPr>
        <w:t xml:space="preserve">. Calls were staggered over times of day and days of the week to maximize the chance of making contact with potential respondents. Each number received at least one daytime call.  The sample was released for interviewing in replicates, which are representative subsamples of the larger sample. Using replicates to control the release of sample ensures that complete call procedures are followed for the entire sample. </w:t>
      </w:r>
    </w:p>
    <w:p w:rsidR="00187EEF" w:rsidRPr="006050BE" w:rsidRDefault="00187EEF" w:rsidP="00187EEF">
      <w:pPr>
        <w:pStyle w:val="BodyofReport"/>
        <w:spacing w:line="288" w:lineRule="auto"/>
        <w:ind w:firstLine="0"/>
        <w:jc w:val="both"/>
        <w:rPr>
          <w:rFonts w:ascii="Calibri" w:hAnsi="Calibri" w:cs="Arial"/>
          <w:highlight w:val="cyan"/>
        </w:rPr>
      </w:pPr>
    </w:p>
    <w:p w:rsidR="00F45E97" w:rsidRDefault="0093092C" w:rsidP="0039414D">
      <w:pPr>
        <w:pStyle w:val="BodyofReport"/>
        <w:spacing w:line="288" w:lineRule="auto"/>
        <w:ind w:firstLine="0"/>
        <w:jc w:val="both"/>
        <w:rPr>
          <w:rFonts w:ascii="Calibri" w:hAnsi="Calibri" w:cs="Arial"/>
        </w:rPr>
      </w:pPr>
      <w:r w:rsidRPr="0093092C">
        <w:rPr>
          <w:rFonts w:ascii="Calibri" w:hAnsi="Calibri" w:cs="Arial"/>
        </w:rPr>
        <w:t xml:space="preserve">For the landline sample, interviewers asked to speak with either the youngest male or youngest female at home </w:t>
      </w:r>
      <w:r w:rsidR="00C32724">
        <w:rPr>
          <w:rFonts w:ascii="Calibri" w:hAnsi="Calibri" w:cs="Arial"/>
        </w:rPr>
        <w:t>at the time of the call</w:t>
      </w:r>
      <w:r w:rsidRPr="0093092C">
        <w:rPr>
          <w:rFonts w:ascii="Calibri" w:hAnsi="Calibri" w:cs="Arial"/>
        </w:rPr>
        <w:t>.   For the cell sample, interviews were conducted with the person who answered the phone</w:t>
      </w:r>
      <w:r w:rsidR="00EB5F96">
        <w:rPr>
          <w:rFonts w:ascii="Calibri" w:hAnsi="Calibri" w:cs="Arial"/>
        </w:rPr>
        <w:t xml:space="preserve"> provided they were age 18 or older</w:t>
      </w:r>
      <w:r w:rsidRPr="0093092C">
        <w:rPr>
          <w:rFonts w:ascii="Calibri" w:hAnsi="Calibri" w:cs="Arial"/>
        </w:rPr>
        <w:t xml:space="preserve">. Interviewers verified that the person was an adult and in a safe place before administering the survey. Cell sample respondents were offered a post-paid cash incentive of $5 for their participation. </w:t>
      </w:r>
    </w:p>
    <w:p w:rsidR="00F45E97" w:rsidRPr="005943A9" w:rsidRDefault="00F45E97" w:rsidP="0039414D">
      <w:pPr>
        <w:pStyle w:val="BodyofReport"/>
        <w:spacing w:line="288" w:lineRule="auto"/>
        <w:ind w:firstLine="0"/>
        <w:jc w:val="both"/>
        <w:rPr>
          <w:rFonts w:ascii="Calibri" w:hAnsi="Calibri" w:cs="Arial"/>
          <w:color w:val="E60000"/>
        </w:rPr>
      </w:pPr>
    </w:p>
    <w:p w:rsidR="00073C86" w:rsidRDefault="00F45E97" w:rsidP="0039414D">
      <w:pPr>
        <w:pStyle w:val="BodyofReport"/>
        <w:spacing w:line="288" w:lineRule="auto"/>
        <w:ind w:firstLine="0"/>
        <w:jc w:val="both"/>
        <w:rPr>
          <w:rFonts w:ascii="Calibri" w:hAnsi="Calibri" w:cs="Arial"/>
          <w:b/>
          <w:bCs/>
          <w:color w:val="E60000"/>
          <w:sz w:val="28"/>
          <w:szCs w:val="28"/>
        </w:rPr>
      </w:pPr>
      <w:r w:rsidRPr="005943A9">
        <w:rPr>
          <w:rFonts w:ascii="Calibri" w:hAnsi="Calibri" w:cs="Arial"/>
          <w:b/>
          <w:bCs/>
          <w:color w:val="E60000"/>
          <w:sz w:val="28"/>
          <w:szCs w:val="28"/>
        </w:rPr>
        <w:t>V</w:t>
      </w:r>
      <w:r w:rsidRPr="00073C86">
        <w:rPr>
          <w:rFonts w:ascii="Calibri" w:hAnsi="Calibri" w:cs="Arial"/>
          <w:b/>
          <w:bCs/>
          <w:color w:val="E60000"/>
          <w:sz w:val="28"/>
          <w:szCs w:val="28"/>
        </w:rPr>
        <w:t xml:space="preserve">.  </w:t>
      </w:r>
      <w:r w:rsidR="005943A9" w:rsidRPr="00073C86">
        <w:rPr>
          <w:rFonts w:ascii="Calibri" w:hAnsi="Calibri" w:cs="Arial"/>
          <w:b/>
          <w:bCs/>
          <w:color w:val="E60000"/>
          <w:sz w:val="28"/>
          <w:szCs w:val="28"/>
        </w:rPr>
        <w:t>PANEL RECRUITMENT</w:t>
      </w:r>
    </w:p>
    <w:p w:rsidR="005A3E3C" w:rsidRDefault="00073C86" w:rsidP="001C5CA2">
      <w:pPr>
        <w:pStyle w:val="BodyofReport"/>
        <w:spacing w:line="288" w:lineRule="auto"/>
        <w:ind w:firstLine="0"/>
        <w:jc w:val="both"/>
        <w:rPr>
          <w:rFonts w:ascii="Calibri" w:hAnsi="Calibri" w:cs="Arial"/>
        </w:rPr>
      </w:pPr>
      <w:r>
        <w:rPr>
          <w:rFonts w:ascii="Calibri" w:hAnsi="Calibri" w:cs="Arial"/>
        </w:rPr>
        <w:lastRenderedPageBreak/>
        <w:t xml:space="preserve">The Typology </w:t>
      </w:r>
      <w:r w:rsidR="0014663B">
        <w:rPr>
          <w:rFonts w:ascii="Calibri" w:hAnsi="Calibri" w:cs="Arial"/>
        </w:rPr>
        <w:t>study also served as the fi</w:t>
      </w:r>
      <w:r w:rsidR="00D46748">
        <w:rPr>
          <w:rFonts w:ascii="Calibri" w:hAnsi="Calibri" w:cs="Arial"/>
        </w:rPr>
        <w:t xml:space="preserve">rst recruitment vehicle for Pew’s </w:t>
      </w:r>
      <w:r w:rsidR="0014663B">
        <w:rPr>
          <w:rFonts w:ascii="Calibri" w:hAnsi="Calibri" w:cs="Arial"/>
        </w:rPr>
        <w:t>American Trends Panel</w:t>
      </w:r>
      <w:r w:rsidR="001C5CA2">
        <w:rPr>
          <w:rFonts w:ascii="Calibri" w:hAnsi="Calibri" w:cs="Arial"/>
        </w:rPr>
        <w:t xml:space="preserve">.  </w:t>
      </w:r>
      <w:proofErr w:type="gramStart"/>
      <w:r w:rsidR="001C5CA2">
        <w:rPr>
          <w:rFonts w:ascii="Calibri" w:hAnsi="Calibri" w:cs="Arial"/>
        </w:rPr>
        <w:t>R</w:t>
      </w:r>
      <w:r w:rsidR="005F04AE" w:rsidRPr="0012465C">
        <w:rPr>
          <w:rFonts w:ascii="Calibri" w:hAnsi="Calibri" w:cs="Arial"/>
        </w:rPr>
        <w:t>espondents who reporting using the internet and a subsample of non-internet users were asked at the end of survey to join a panel to participate in future surveys.</w:t>
      </w:r>
      <w:proofErr w:type="gramEnd"/>
      <w:r w:rsidR="005F04AE" w:rsidRPr="0012465C">
        <w:rPr>
          <w:rFonts w:ascii="Calibri" w:hAnsi="Calibri" w:cs="Arial"/>
        </w:rPr>
        <w:t xml:space="preserve">  Respondents were offere</w:t>
      </w:r>
      <w:r w:rsidR="00EE69EE" w:rsidRPr="0012465C">
        <w:rPr>
          <w:rFonts w:ascii="Calibri" w:hAnsi="Calibri" w:cs="Arial"/>
        </w:rPr>
        <w:t xml:space="preserve">d $10 for agreeing to </w:t>
      </w:r>
      <w:r w:rsidR="005F04AE" w:rsidRPr="0012465C">
        <w:rPr>
          <w:rFonts w:ascii="Calibri" w:hAnsi="Calibri" w:cs="Arial"/>
        </w:rPr>
        <w:t xml:space="preserve">join the panel and </w:t>
      </w:r>
      <w:r w:rsidR="00EE69EE" w:rsidRPr="0012465C">
        <w:rPr>
          <w:rFonts w:ascii="Calibri" w:hAnsi="Calibri" w:cs="Arial"/>
        </w:rPr>
        <w:t xml:space="preserve">an additional </w:t>
      </w:r>
      <w:r w:rsidR="001C5CA2">
        <w:rPr>
          <w:rFonts w:ascii="Calibri" w:hAnsi="Calibri" w:cs="Arial"/>
        </w:rPr>
        <w:t>amount</w:t>
      </w:r>
      <w:r w:rsidR="005F04AE" w:rsidRPr="0012465C">
        <w:rPr>
          <w:rFonts w:ascii="Calibri" w:hAnsi="Calibri" w:cs="Arial"/>
        </w:rPr>
        <w:t xml:space="preserve"> </w:t>
      </w:r>
      <w:r w:rsidR="00EE69EE" w:rsidRPr="0012465C">
        <w:rPr>
          <w:rFonts w:ascii="Calibri" w:hAnsi="Calibri" w:cs="Arial"/>
        </w:rPr>
        <w:t>for each future survey completed</w:t>
      </w:r>
      <w:r w:rsidR="005F04AE" w:rsidRPr="0012465C">
        <w:rPr>
          <w:rFonts w:ascii="Calibri" w:hAnsi="Calibri" w:cs="Arial"/>
        </w:rPr>
        <w:t>.</w:t>
      </w:r>
    </w:p>
    <w:p w:rsidR="00240D56" w:rsidRPr="0039414D" w:rsidRDefault="00240D56" w:rsidP="0039414D">
      <w:pPr>
        <w:pStyle w:val="BodyofReport"/>
        <w:spacing w:line="288" w:lineRule="auto"/>
        <w:ind w:firstLine="0"/>
        <w:jc w:val="both"/>
        <w:rPr>
          <w:rFonts w:ascii="Calibri" w:hAnsi="Calibri" w:cs="Arial"/>
        </w:rPr>
      </w:pPr>
    </w:p>
    <w:p w:rsidR="005A3E3C" w:rsidRPr="00073C86" w:rsidRDefault="005A3E3C" w:rsidP="005A3E3C">
      <w:pPr>
        <w:spacing w:line="288" w:lineRule="auto"/>
        <w:jc w:val="left"/>
        <w:rPr>
          <w:rFonts w:ascii="Calibri" w:eastAsia="Times New Roman" w:hAnsi="Calibri" w:cs="Arial"/>
          <w:b/>
          <w:bCs/>
          <w:snapToGrid/>
          <w:color w:val="E60000"/>
          <w:sz w:val="28"/>
          <w:szCs w:val="28"/>
        </w:rPr>
      </w:pPr>
      <w:r w:rsidRPr="00073C86">
        <w:rPr>
          <w:rFonts w:ascii="Calibri" w:eastAsia="Times New Roman" w:hAnsi="Calibri" w:cs="Arial"/>
          <w:b/>
          <w:bCs/>
          <w:snapToGrid/>
          <w:color w:val="E60000"/>
          <w:sz w:val="28"/>
          <w:szCs w:val="28"/>
        </w:rPr>
        <w:t>V</w:t>
      </w:r>
      <w:r w:rsidR="00F45E97" w:rsidRPr="00073C86">
        <w:rPr>
          <w:rFonts w:ascii="Calibri" w:eastAsia="Times New Roman" w:hAnsi="Calibri" w:cs="Arial"/>
          <w:b/>
          <w:bCs/>
          <w:snapToGrid/>
          <w:color w:val="E60000"/>
          <w:sz w:val="28"/>
          <w:szCs w:val="28"/>
        </w:rPr>
        <w:t>I</w:t>
      </w:r>
      <w:proofErr w:type="gramStart"/>
      <w:r w:rsidRPr="00073C86">
        <w:rPr>
          <w:rFonts w:ascii="Calibri" w:eastAsia="Times New Roman" w:hAnsi="Calibri" w:cs="Arial"/>
          <w:b/>
          <w:bCs/>
          <w:snapToGrid/>
          <w:color w:val="E60000"/>
          <w:sz w:val="28"/>
          <w:szCs w:val="28"/>
        </w:rPr>
        <w:t>.  WEIGHTING</w:t>
      </w:r>
      <w:proofErr w:type="gramEnd"/>
    </w:p>
    <w:p w:rsidR="009E6A7D" w:rsidRDefault="00CB0BE7" w:rsidP="007226FD">
      <w:pPr>
        <w:spacing w:line="312" w:lineRule="auto"/>
        <w:rPr>
          <w:rFonts w:ascii="Calibri" w:eastAsia="Times New Roman" w:hAnsi="Calibri"/>
          <w:snapToGrid/>
          <w:szCs w:val="20"/>
        </w:rPr>
      </w:pPr>
      <w:r>
        <w:rPr>
          <w:rFonts w:ascii="Calibri" w:hAnsi="Calibri" w:cs="Arial"/>
        </w:rPr>
        <w:t xml:space="preserve">Weights were computed </w:t>
      </w:r>
      <w:r w:rsidR="003C6F1B">
        <w:rPr>
          <w:rFonts w:ascii="Calibri" w:hAnsi="Calibri" w:cs="Arial"/>
        </w:rPr>
        <w:t>at the completion of each</w:t>
      </w:r>
      <w:r w:rsidR="00C55FD7">
        <w:rPr>
          <w:rFonts w:ascii="Calibri" w:hAnsi="Calibri" w:cs="Arial"/>
        </w:rPr>
        <w:t xml:space="preserve"> phase</w:t>
      </w:r>
      <w:r w:rsidR="00F415B6">
        <w:rPr>
          <w:rFonts w:ascii="Calibri" w:hAnsi="Calibri" w:cs="Arial"/>
        </w:rPr>
        <w:t xml:space="preserve"> of data collection</w:t>
      </w:r>
      <w:r w:rsidR="00C55FD7">
        <w:rPr>
          <w:rFonts w:ascii="Calibri" w:hAnsi="Calibri" w:cs="Arial"/>
        </w:rPr>
        <w:t xml:space="preserve">. </w:t>
      </w:r>
      <w:r w:rsidR="00F90D85">
        <w:rPr>
          <w:rFonts w:ascii="Calibri" w:hAnsi="Calibri" w:cs="Arial"/>
        </w:rPr>
        <w:t xml:space="preserve">The final survey dataset contains </w:t>
      </w:r>
      <w:r w:rsidR="004549AA">
        <w:rPr>
          <w:rFonts w:ascii="Calibri" w:hAnsi="Calibri" w:cs="Arial"/>
        </w:rPr>
        <w:t>three</w:t>
      </w:r>
      <w:r w:rsidR="00F90D85">
        <w:rPr>
          <w:rFonts w:ascii="Calibri" w:hAnsi="Calibri" w:cs="Arial"/>
        </w:rPr>
        <w:t xml:space="preserve"> weight variables</w:t>
      </w:r>
      <w:r w:rsidR="006273C7">
        <w:rPr>
          <w:rFonts w:ascii="Calibri" w:eastAsia="Times New Roman" w:hAnsi="Calibri"/>
          <w:snapToGrid/>
          <w:szCs w:val="20"/>
        </w:rPr>
        <w:t xml:space="preserve">, including </w:t>
      </w:r>
      <w:r w:rsidR="00D8755D">
        <w:rPr>
          <w:rFonts w:ascii="Calibri" w:eastAsia="Times New Roman" w:hAnsi="Calibri"/>
          <w:snapToGrid/>
          <w:szCs w:val="20"/>
        </w:rPr>
        <w:t>the original full sample weight (</w:t>
      </w:r>
      <w:r w:rsidR="00D8755D" w:rsidRPr="0011015D">
        <w:rPr>
          <w:rFonts w:ascii="Calibri" w:eastAsia="Times New Roman" w:hAnsi="Calibri"/>
          <w:i/>
          <w:snapToGrid/>
          <w:szCs w:val="20"/>
        </w:rPr>
        <w:t>WEIGHT</w:t>
      </w:r>
      <w:r w:rsidR="00D8755D">
        <w:rPr>
          <w:rFonts w:ascii="Calibri" w:eastAsia="Times New Roman" w:hAnsi="Calibri"/>
          <w:snapToGrid/>
          <w:szCs w:val="20"/>
        </w:rPr>
        <w:t xml:space="preserve">), </w:t>
      </w:r>
      <w:r w:rsidR="006273C7">
        <w:rPr>
          <w:rFonts w:ascii="Calibri" w:eastAsia="Times New Roman" w:hAnsi="Calibri"/>
          <w:snapToGrid/>
          <w:szCs w:val="20"/>
        </w:rPr>
        <w:t>a weight for respondents from the landline sample</w:t>
      </w:r>
      <w:r w:rsidR="00D8755D">
        <w:rPr>
          <w:rFonts w:ascii="Calibri" w:eastAsia="Times New Roman" w:hAnsi="Calibri"/>
          <w:snapToGrid/>
          <w:szCs w:val="20"/>
        </w:rPr>
        <w:t xml:space="preserve"> (</w:t>
      </w:r>
      <w:r w:rsidR="00D8755D" w:rsidRPr="0011015D">
        <w:rPr>
          <w:rFonts w:ascii="Calibri" w:eastAsia="Times New Roman" w:hAnsi="Calibri"/>
          <w:i/>
          <w:snapToGrid/>
          <w:szCs w:val="20"/>
        </w:rPr>
        <w:t>LLWEIGHT</w:t>
      </w:r>
      <w:r w:rsidR="00D8755D">
        <w:rPr>
          <w:rFonts w:ascii="Calibri" w:eastAsia="Times New Roman" w:hAnsi="Calibri"/>
          <w:snapToGrid/>
          <w:szCs w:val="20"/>
        </w:rPr>
        <w:t>)</w:t>
      </w:r>
      <w:r w:rsidR="006273C7">
        <w:rPr>
          <w:rFonts w:ascii="Calibri" w:eastAsia="Times New Roman" w:hAnsi="Calibri"/>
          <w:snapToGrid/>
          <w:szCs w:val="20"/>
        </w:rPr>
        <w:t>, and a weight for respondents from the cell sample</w:t>
      </w:r>
      <w:r w:rsidR="00D8755D">
        <w:rPr>
          <w:rFonts w:ascii="Calibri" w:eastAsia="Times New Roman" w:hAnsi="Calibri"/>
          <w:snapToGrid/>
          <w:szCs w:val="20"/>
        </w:rPr>
        <w:t xml:space="preserve"> (</w:t>
      </w:r>
      <w:r w:rsidR="00D8755D" w:rsidRPr="0011015D">
        <w:rPr>
          <w:rFonts w:ascii="Calibri" w:eastAsia="Times New Roman" w:hAnsi="Calibri"/>
          <w:i/>
          <w:snapToGrid/>
          <w:szCs w:val="20"/>
        </w:rPr>
        <w:t>CELLWEIGHT</w:t>
      </w:r>
      <w:r w:rsidR="00D8755D">
        <w:rPr>
          <w:rFonts w:ascii="Calibri" w:eastAsia="Times New Roman" w:hAnsi="Calibri"/>
          <w:snapToGrid/>
          <w:szCs w:val="20"/>
        </w:rPr>
        <w:t>)</w:t>
      </w:r>
      <w:r w:rsidR="006273C7">
        <w:rPr>
          <w:rFonts w:ascii="Calibri" w:eastAsia="Times New Roman" w:hAnsi="Calibri"/>
          <w:snapToGrid/>
          <w:szCs w:val="20"/>
        </w:rPr>
        <w:t>.</w:t>
      </w:r>
      <w:r>
        <w:rPr>
          <w:rFonts w:ascii="Calibri" w:eastAsia="Times New Roman" w:hAnsi="Calibri"/>
          <w:snapToGrid/>
          <w:szCs w:val="20"/>
        </w:rPr>
        <w:t xml:space="preserve"> </w:t>
      </w:r>
      <w:r w:rsidR="009E6A7D" w:rsidRPr="00AE3E29">
        <w:rPr>
          <w:rFonts w:ascii="Calibri" w:eastAsia="Times New Roman" w:hAnsi="Calibri"/>
          <w:snapToGrid/>
          <w:szCs w:val="20"/>
        </w:rPr>
        <w:t xml:space="preserve">At the </w:t>
      </w:r>
      <w:r w:rsidR="00B24B51">
        <w:rPr>
          <w:rFonts w:ascii="Calibri" w:eastAsia="Times New Roman" w:hAnsi="Calibri"/>
          <w:snapToGrid/>
          <w:szCs w:val="20"/>
        </w:rPr>
        <w:t>Pew</w:t>
      </w:r>
      <w:r w:rsidR="009E6A7D" w:rsidRPr="00AE3E29">
        <w:rPr>
          <w:rFonts w:ascii="Calibri" w:eastAsia="Times New Roman" w:hAnsi="Calibri"/>
          <w:snapToGrid/>
          <w:szCs w:val="20"/>
        </w:rPr>
        <w:t xml:space="preserve">’s request, weights </w:t>
      </w:r>
      <w:r w:rsidR="00D1244D">
        <w:rPr>
          <w:rFonts w:ascii="Calibri" w:eastAsia="Times New Roman" w:hAnsi="Calibri"/>
          <w:snapToGrid/>
          <w:szCs w:val="20"/>
        </w:rPr>
        <w:t>are</w:t>
      </w:r>
      <w:r w:rsidR="009E6A7D" w:rsidRPr="00AE3E29">
        <w:rPr>
          <w:rFonts w:ascii="Calibri" w:eastAsia="Times New Roman" w:hAnsi="Calibri"/>
          <w:snapToGrid/>
          <w:szCs w:val="20"/>
        </w:rPr>
        <w:t xml:space="preserve"> computed for respondents who complete</w:t>
      </w:r>
      <w:r w:rsidR="004549AA">
        <w:rPr>
          <w:rFonts w:ascii="Calibri" w:eastAsia="Times New Roman" w:hAnsi="Calibri"/>
          <w:snapToGrid/>
          <w:szCs w:val="20"/>
        </w:rPr>
        <w:t>d the entire interview (n=10,003</w:t>
      </w:r>
      <w:r w:rsidR="009E6A7D" w:rsidRPr="00AE3E29">
        <w:rPr>
          <w:rFonts w:ascii="Calibri" w:eastAsia="Times New Roman" w:hAnsi="Calibri"/>
          <w:snapToGrid/>
          <w:szCs w:val="20"/>
        </w:rPr>
        <w:t xml:space="preserve">) </w:t>
      </w:r>
      <w:r w:rsidR="00D1244D">
        <w:rPr>
          <w:rFonts w:ascii="Calibri" w:eastAsia="Times New Roman" w:hAnsi="Calibri"/>
          <w:snapToGrid/>
          <w:szCs w:val="20"/>
        </w:rPr>
        <w:t>as well as</w:t>
      </w:r>
      <w:r w:rsidR="009E6A7D" w:rsidRPr="00AE3E29">
        <w:rPr>
          <w:rFonts w:ascii="Calibri" w:eastAsia="Times New Roman" w:hAnsi="Calibri"/>
          <w:snapToGrid/>
          <w:szCs w:val="20"/>
        </w:rPr>
        <w:t xml:space="preserve"> </w:t>
      </w:r>
      <w:r w:rsidR="00755775">
        <w:rPr>
          <w:rFonts w:ascii="Calibri" w:eastAsia="Times New Roman" w:hAnsi="Calibri"/>
          <w:snapToGrid/>
          <w:szCs w:val="20"/>
        </w:rPr>
        <w:t>those</w:t>
      </w:r>
      <w:r w:rsidR="009E6A7D" w:rsidRPr="00AE3E29">
        <w:rPr>
          <w:rFonts w:ascii="Calibri" w:eastAsia="Times New Roman" w:hAnsi="Calibri"/>
          <w:snapToGrid/>
          <w:szCs w:val="20"/>
        </w:rPr>
        <w:t xml:space="preserve"> who completed </w:t>
      </w:r>
      <w:r w:rsidR="00D1244D">
        <w:rPr>
          <w:rFonts w:ascii="Calibri" w:eastAsia="Times New Roman" w:hAnsi="Calibri"/>
          <w:snapToGrid/>
          <w:szCs w:val="20"/>
        </w:rPr>
        <w:t>most (but not all)</w:t>
      </w:r>
      <w:r w:rsidR="009E6A7D" w:rsidRPr="00AE3E29">
        <w:rPr>
          <w:rFonts w:ascii="Calibri" w:eastAsia="Times New Roman" w:hAnsi="Calibri"/>
          <w:snapToGrid/>
          <w:szCs w:val="20"/>
        </w:rPr>
        <w:t xml:space="preserve"> of the interview and reported their ZIP Code (n=10).</w:t>
      </w:r>
      <w:r w:rsidR="009E6A7D">
        <w:rPr>
          <w:rFonts w:ascii="Calibri" w:eastAsia="Times New Roman" w:hAnsi="Calibri"/>
          <w:snapToGrid/>
          <w:szCs w:val="20"/>
        </w:rPr>
        <w:t xml:space="preserve"> </w:t>
      </w:r>
      <w:r w:rsidR="00855FEF">
        <w:rPr>
          <w:rFonts w:ascii="Calibri" w:eastAsia="Times New Roman" w:hAnsi="Calibri"/>
          <w:snapToGrid/>
          <w:szCs w:val="20"/>
        </w:rPr>
        <w:t>The non-complete</w:t>
      </w:r>
      <w:r w:rsidR="0011015D">
        <w:rPr>
          <w:rFonts w:ascii="Calibri" w:eastAsia="Times New Roman" w:hAnsi="Calibri"/>
          <w:snapToGrid/>
          <w:szCs w:val="20"/>
        </w:rPr>
        <w:t>d</w:t>
      </w:r>
      <w:r w:rsidR="00855FEF">
        <w:rPr>
          <w:rFonts w:ascii="Calibri" w:eastAsia="Times New Roman" w:hAnsi="Calibri"/>
          <w:snapToGrid/>
          <w:szCs w:val="20"/>
        </w:rPr>
        <w:t xml:space="preserve"> cases </w:t>
      </w:r>
      <w:r w:rsidR="00AA1270">
        <w:rPr>
          <w:rFonts w:ascii="Calibri" w:eastAsia="Times New Roman" w:hAnsi="Calibri"/>
          <w:snapToGrid/>
          <w:szCs w:val="20"/>
        </w:rPr>
        <w:t xml:space="preserve">in this </w:t>
      </w:r>
      <w:r w:rsidR="009E6A7D">
        <w:rPr>
          <w:rFonts w:ascii="Calibri" w:eastAsia="Times New Roman" w:hAnsi="Calibri"/>
          <w:snapToGrid/>
          <w:szCs w:val="20"/>
        </w:rPr>
        <w:t xml:space="preserve">second category </w:t>
      </w:r>
      <w:r w:rsidR="00243632">
        <w:rPr>
          <w:rFonts w:ascii="Calibri" w:eastAsia="Times New Roman" w:hAnsi="Calibri"/>
          <w:snapToGrid/>
          <w:szCs w:val="20"/>
        </w:rPr>
        <w:t>are classified with dispositions of either partial interviews (AAPOR Disposition 1.2) or qualified refusals (Qu</w:t>
      </w:r>
      <w:r w:rsidR="00AE59D2">
        <w:rPr>
          <w:rFonts w:ascii="Calibri" w:eastAsia="Times New Roman" w:hAnsi="Calibri"/>
          <w:snapToGrid/>
          <w:szCs w:val="20"/>
        </w:rPr>
        <w:t>alified (AAPOR Disposition 2.1).</w:t>
      </w:r>
    </w:p>
    <w:p w:rsidR="009E6A7D" w:rsidRDefault="009E6A7D" w:rsidP="007226FD">
      <w:pPr>
        <w:spacing w:line="312" w:lineRule="auto"/>
        <w:rPr>
          <w:rFonts w:ascii="Calibri" w:eastAsia="Times New Roman" w:hAnsi="Calibri"/>
          <w:snapToGrid/>
          <w:szCs w:val="20"/>
        </w:rPr>
      </w:pPr>
    </w:p>
    <w:p w:rsidR="003B3D41" w:rsidRPr="005A3E3C" w:rsidRDefault="00BF3EC7" w:rsidP="007226FD">
      <w:pPr>
        <w:spacing w:line="312" w:lineRule="auto"/>
        <w:rPr>
          <w:rFonts w:ascii="Calibri" w:eastAsia="Times New Roman" w:hAnsi="Calibri"/>
          <w:snapToGrid/>
          <w:szCs w:val="20"/>
        </w:rPr>
      </w:pPr>
      <w:r>
        <w:rPr>
          <w:rFonts w:ascii="Calibri" w:eastAsia="Times New Roman" w:hAnsi="Calibri"/>
          <w:snapToGrid/>
          <w:szCs w:val="20"/>
        </w:rPr>
        <w:t xml:space="preserve">The </w:t>
      </w:r>
      <w:r w:rsidR="005A3E3C" w:rsidRPr="005A3E3C">
        <w:rPr>
          <w:rFonts w:ascii="Calibri" w:eastAsia="Times New Roman" w:hAnsi="Calibri"/>
          <w:snapToGrid/>
          <w:szCs w:val="20"/>
        </w:rPr>
        <w:t>specification for each weight follows the Pew People-Press Weighting Summary (Christian and Best</w:t>
      </w:r>
      <w:r w:rsidR="00C55FD7">
        <w:rPr>
          <w:rFonts w:ascii="Calibri" w:eastAsia="Times New Roman" w:hAnsi="Calibri"/>
          <w:snapToGrid/>
          <w:szCs w:val="20"/>
        </w:rPr>
        <w:t>, January 2014</w:t>
      </w:r>
      <w:r w:rsidR="005A3E3C" w:rsidRPr="005A3E3C">
        <w:rPr>
          <w:rFonts w:ascii="Calibri" w:eastAsia="Times New Roman" w:hAnsi="Calibri"/>
          <w:snapToGrid/>
          <w:szCs w:val="20"/>
        </w:rPr>
        <w:t>)</w:t>
      </w:r>
      <w:r w:rsidR="00F4506B">
        <w:rPr>
          <w:rFonts w:ascii="Calibri" w:eastAsia="Times New Roman" w:hAnsi="Calibri"/>
          <w:snapToGrid/>
          <w:szCs w:val="20"/>
        </w:rPr>
        <w:t xml:space="preserve">. </w:t>
      </w:r>
      <w:r w:rsidR="005A3E3C" w:rsidRPr="005A3E3C">
        <w:rPr>
          <w:rFonts w:ascii="Calibri" w:eastAsia="Times New Roman" w:hAnsi="Calibri"/>
          <w:snapToGrid/>
          <w:szCs w:val="20"/>
        </w:rPr>
        <w:t xml:space="preserve">The design of the </w:t>
      </w:r>
      <w:r w:rsidR="00D8755D">
        <w:rPr>
          <w:rFonts w:ascii="Calibri" w:eastAsia="Times New Roman" w:hAnsi="Calibri"/>
          <w:snapToGrid/>
          <w:szCs w:val="20"/>
        </w:rPr>
        <w:t xml:space="preserve">original </w:t>
      </w:r>
      <w:r w:rsidR="005A3E3C" w:rsidRPr="005A3E3C">
        <w:rPr>
          <w:rFonts w:ascii="Calibri" w:eastAsia="Times New Roman" w:hAnsi="Calibri"/>
          <w:snapToGrid/>
          <w:szCs w:val="20"/>
        </w:rPr>
        <w:t>full sample weight</w:t>
      </w:r>
      <w:r w:rsidR="0084201E">
        <w:rPr>
          <w:rFonts w:ascii="Calibri" w:eastAsia="Times New Roman" w:hAnsi="Calibri"/>
          <w:snapToGrid/>
          <w:szCs w:val="20"/>
        </w:rPr>
        <w:t xml:space="preserve"> (</w:t>
      </w:r>
      <w:r w:rsidR="0084201E" w:rsidRPr="00474000">
        <w:rPr>
          <w:rFonts w:ascii="Calibri" w:eastAsia="Times New Roman" w:hAnsi="Calibri"/>
          <w:i/>
          <w:snapToGrid/>
          <w:szCs w:val="20"/>
        </w:rPr>
        <w:t>WEIGHT</w:t>
      </w:r>
      <w:r w:rsidR="0084201E">
        <w:rPr>
          <w:rFonts w:ascii="Calibri" w:eastAsia="Times New Roman" w:hAnsi="Calibri"/>
          <w:snapToGrid/>
          <w:szCs w:val="20"/>
        </w:rPr>
        <w:t xml:space="preserve">) </w:t>
      </w:r>
      <w:r w:rsidR="005A3E3C" w:rsidRPr="005A3E3C">
        <w:rPr>
          <w:rFonts w:ascii="Calibri" w:eastAsia="Times New Roman" w:hAnsi="Calibri"/>
          <w:snapToGrid/>
          <w:szCs w:val="20"/>
        </w:rPr>
        <w:t xml:space="preserve">is described first.  Descriptions of the other </w:t>
      </w:r>
      <w:r w:rsidR="00CB0BE7">
        <w:rPr>
          <w:rFonts w:ascii="Calibri" w:eastAsia="Times New Roman" w:hAnsi="Calibri"/>
          <w:snapToGrid/>
          <w:szCs w:val="20"/>
        </w:rPr>
        <w:t>three</w:t>
      </w:r>
      <w:r w:rsidR="005A3E3C" w:rsidRPr="005A3E3C">
        <w:rPr>
          <w:rFonts w:ascii="Calibri" w:eastAsia="Times New Roman" w:hAnsi="Calibri"/>
          <w:snapToGrid/>
          <w:szCs w:val="20"/>
        </w:rPr>
        <w:t xml:space="preserve"> weights are prov</w:t>
      </w:r>
      <w:r w:rsidR="00EC785B">
        <w:rPr>
          <w:rFonts w:ascii="Calibri" w:eastAsia="Times New Roman" w:hAnsi="Calibri"/>
          <w:snapToGrid/>
          <w:szCs w:val="20"/>
        </w:rPr>
        <w:t>i</w:t>
      </w:r>
      <w:r w:rsidR="009E6A7D">
        <w:rPr>
          <w:rFonts w:ascii="Calibri" w:eastAsia="Times New Roman" w:hAnsi="Calibri"/>
          <w:snapToGrid/>
          <w:szCs w:val="20"/>
        </w:rPr>
        <w:t xml:space="preserve">ded at the end of this section. </w:t>
      </w:r>
    </w:p>
    <w:p w:rsidR="005A3E3C" w:rsidRPr="005A3E3C" w:rsidRDefault="005A3E3C" w:rsidP="007226FD">
      <w:pPr>
        <w:spacing w:line="312" w:lineRule="auto"/>
        <w:rPr>
          <w:rFonts w:ascii="Calibri" w:eastAsia="Times New Roman" w:hAnsi="Calibri"/>
          <w:b/>
          <w:i/>
          <w:snapToGrid/>
          <w:szCs w:val="20"/>
        </w:rPr>
      </w:pPr>
    </w:p>
    <w:p w:rsidR="005A3E3C" w:rsidRPr="005A3E3C" w:rsidRDefault="005A3E3C" w:rsidP="007226FD">
      <w:pPr>
        <w:spacing w:line="312" w:lineRule="auto"/>
        <w:rPr>
          <w:rFonts w:ascii="Calibri" w:eastAsia="Times New Roman" w:hAnsi="Calibri"/>
          <w:b/>
          <w:i/>
          <w:snapToGrid/>
          <w:szCs w:val="20"/>
        </w:rPr>
      </w:pPr>
      <w:r w:rsidRPr="005A3E3C">
        <w:rPr>
          <w:rFonts w:ascii="Calibri" w:eastAsia="Times New Roman" w:hAnsi="Calibri"/>
          <w:b/>
          <w:i/>
          <w:snapToGrid/>
          <w:szCs w:val="20"/>
        </w:rPr>
        <w:t>First Stage Weighting</w:t>
      </w:r>
    </w:p>
    <w:p w:rsidR="005A3E3C" w:rsidRPr="005A3E3C" w:rsidRDefault="005A3E3C" w:rsidP="007226FD">
      <w:pPr>
        <w:spacing w:line="312" w:lineRule="auto"/>
        <w:rPr>
          <w:rFonts w:ascii="Calibri" w:eastAsia="Times New Roman" w:hAnsi="Calibri"/>
          <w:snapToGrid/>
          <w:szCs w:val="20"/>
        </w:rPr>
      </w:pPr>
      <w:r w:rsidRPr="005A3E3C">
        <w:rPr>
          <w:rFonts w:ascii="Calibri" w:eastAsia="Times New Roman" w:hAnsi="Calibri"/>
          <w:snapToGrid/>
          <w:szCs w:val="20"/>
        </w:rPr>
        <w:t>The first stage of weighting corrected for different probabilities of selection associated with the number of adults in the household and the respondent’s telephone usage (landline only, cell phone only or has both kinds of phones). This weighting also adjusts for the overlapping landline and cell sample frames and the relative sizes of each frame and each sample.</w:t>
      </w:r>
    </w:p>
    <w:p w:rsidR="005A3E3C" w:rsidRPr="005A3E3C" w:rsidRDefault="005A3E3C" w:rsidP="007226FD">
      <w:pPr>
        <w:rPr>
          <w:rFonts w:ascii="Calibri" w:hAnsi="Calibri"/>
        </w:rPr>
      </w:pPr>
    </w:p>
    <w:p w:rsidR="005A3E3C" w:rsidRPr="005A3E3C" w:rsidRDefault="005A3E3C" w:rsidP="005A3E3C">
      <w:pPr>
        <w:spacing w:line="312" w:lineRule="auto"/>
        <w:ind w:firstLine="720"/>
        <w:jc w:val="left"/>
        <w:rPr>
          <w:rFonts w:ascii="Calibri" w:eastAsia="Times New Roman" w:hAnsi="Calibri"/>
          <w:snapToGrid/>
          <w:szCs w:val="20"/>
        </w:rPr>
      </w:pPr>
      <w:r w:rsidRPr="005A3E3C">
        <w:rPr>
          <w:rFonts w:ascii="Calibri" w:eastAsia="Times New Roman" w:hAnsi="Calibri"/>
          <w:snapToGrid/>
          <w:szCs w:val="20"/>
        </w:rPr>
        <w:t>This first-stage weight</w:t>
      </w:r>
      <w:r w:rsidR="006C7208">
        <w:rPr>
          <w:rFonts w:ascii="Calibri" w:eastAsia="Times New Roman" w:hAnsi="Calibri"/>
          <w:snapToGrid/>
          <w:szCs w:val="20"/>
        </w:rPr>
        <w:t>, labeled NEWWT1,</w:t>
      </w:r>
      <w:r w:rsidRPr="005A3E3C">
        <w:rPr>
          <w:rFonts w:ascii="Calibri" w:eastAsia="Times New Roman" w:hAnsi="Calibri"/>
          <w:snapToGrid/>
          <w:szCs w:val="20"/>
        </w:rPr>
        <w:t xml:space="preserve"> can be expressed as:</w:t>
      </w:r>
    </w:p>
    <w:p w:rsidR="008E3AA8" w:rsidRPr="008E3AA8" w:rsidRDefault="008E3AA8" w:rsidP="008E3AA8">
      <w:pPr>
        <w:spacing w:after="120" w:line="288" w:lineRule="auto"/>
        <w:jc w:val="left"/>
        <w:rPr>
          <w:rFonts w:ascii="Verdana" w:eastAsia="Times New Roman" w:hAnsi="Verdana"/>
          <w:snapToGrid/>
          <w:sz w:val="18"/>
          <w:szCs w:val="18"/>
        </w:rPr>
      </w:pPr>
    </w:p>
    <w:p w:rsidR="008E3AA8" w:rsidRPr="008E3AA8" w:rsidRDefault="008E3AA8" w:rsidP="005C6C2E">
      <w:pPr>
        <w:spacing w:line="288" w:lineRule="auto"/>
        <w:jc w:val="center"/>
        <w:rPr>
          <w:rFonts w:ascii="Verdana" w:eastAsia="Times New Roman" w:hAnsi="Verdana"/>
          <w:snapToGrid/>
          <w:sz w:val="18"/>
          <w:szCs w:val="18"/>
        </w:rPr>
      </w:pPr>
      <w:r w:rsidRPr="008E3A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4.75pt;height:4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activeWritingStyle w:lang=&quot;EN-US&quot; w:vendorID=&quot;64&quot; w:dllVersion=&quot;131078&quot; w:nlCheck=&quot;on&quot; w:optionSet=&quot;1&quot;/&gt;&lt;w:stylePaneFormatFilter w:val=&quot;3F01&quot;/&gt;&lt;w:defaultTabStop w:val=&quot;720&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4A688F&quot;/&gt;&lt;wsp:rsid wsp:val=&quot;00001B62&quot;/&gt;&lt;wsp:rsid wsp:val=&quot;00003376&quot;/&gt;&lt;wsp:rsid wsp:val=&quot;000043E7&quot;/&gt;&lt;wsp:rsid wsp:val=&quot;00006697&quot;/&gt;&lt;wsp:rsid wsp:val=&quot;00015884&quot;/&gt;&lt;wsp:rsid wsp:val=&quot;00017AB7&quot;/&gt;&lt;wsp:rsid wsp:val=&quot;00020BD0&quot;/&gt;&lt;wsp:rsid wsp:val=&quot;00021CFD&quot;/&gt;&lt;wsp:rsid wsp:val=&quot;00022625&quot;/&gt;&lt;wsp:rsid wsp:val=&quot;00022A59&quot;/&gt;&lt;wsp:rsid wsp:val=&quot;00025E0C&quot;/&gt;&lt;wsp:rsid wsp:val=&quot;00030FAF&quot;/&gt;&lt;wsp:rsid wsp:val=&quot;000322DC&quot;/&gt;&lt;wsp:rsid wsp:val=&quot;00037636&quot;/&gt;&lt;wsp:rsid wsp:val=&quot;00040574&quot;/&gt;&lt;wsp:rsid wsp:val=&quot;00040F27&quot;/&gt;&lt;wsp:rsid wsp:val=&quot;00043A2C&quot;/&gt;&lt;wsp:rsid wsp:val=&quot;00043F8A&quot;/&gt;&lt;wsp:rsid wsp:val=&quot;00045004&quot;/&gt;&lt;wsp:rsid wsp:val=&quot;0004520F&quot;/&gt;&lt;wsp:rsid wsp:val=&quot;00045D9B&quot;/&gt;&lt;wsp:rsid wsp:val=&quot;00047AE6&quot;/&gt;&lt;wsp:rsid wsp:val=&quot;00052CDD&quot;/&gt;&lt;wsp:rsid wsp:val=&quot;000538DF&quot;/&gt;&lt;wsp:rsid wsp:val=&quot;00054432&quot;/&gt;&lt;wsp:rsid wsp:val=&quot;00054651&quot;/&gt;&lt;wsp:rsid wsp:val=&quot;00056F39&quot;/&gt;&lt;wsp:rsid wsp:val=&quot;00067719&quot;/&gt;&lt;wsp:rsid wsp:val=&quot;000710B4&quot;/&gt;&lt;wsp:rsid wsp:val=&quot;000726E8&quot;/&gt;&lt;wsp:rsid wsp:val=&quot;0007758A&quot;/&gt;&lt;wsp:rsid wsp:val=&quot;000775C8&quot;/&gt;&lt;wsp:rsid wsp:val=&quot;00077D47&quot;/&gt;&lt;wsp:rsid wsp:val=&quot;00080CF2&quot;/&gt;&lt;wsp:rsid wsp:val=&quot;0008376A&quot;/&gt;&lt;wsp:rsid wsp:val=&quot;00084662&quot;/&gt;&lt;wsp:rsid wsp:val=&quot;00090001&quot;/&gt;&lt;wsp:rsid wsp:val=&quot;000924E9&quot;/&gt;&lt;wsp:rsid wsp:val=&quot;00094207&quot;/&gt;&lt;wsp:rsid wsp:val=&quot;00094E3B&quot;/&gt;&lt;wsp:rsid wsp:val=&quot;00095521&quot;/&gt;&lt;wsp:rsid wsp:val=&quot;000A0C13&quot;/&gt;&lt;wsp:rsid wsp:val=&quot;000A32B2&quot;/&gt;&lt;wsp:rsid wsp:val=&quot;000A3632&quot;/&gt;&lt;wsp:rsid wsp:val=&quot;000A4096&quot;/&gt;&lt;wsp:rsid wsp:val=&quot;000A429E&quot;/&gt;&lt;wsp:rsid wsp:val=&quot;000A6949&quot;/&gt;&lt;wsp:rsid wsp:val=&quot;000A6F7C&quot;/&gt;&lt;wsp:rsid wsp:val=&quot;000B4D1E&quot;/&gt;&lt;wsp:rsid wsp:val=&quot;000B6F51&quot;/&gt;&lt;wsp:rsid wsp:val=&quot;000B6FDB&quot;/&gt;&lt;wsp:rsid wsp:val=&quot;000C00FE&quot;/&gt;&lt;wsp:rsid wsp:val=&quot;000C3903&quot;/&gt;&lt;wsp:rsid wsp:val=&quot;000C3B09&quot;/&gt;&lt;wsp:rsid wsp:val=&quot;000C46A4&quot;/&gt;&lt;wsp:rsid wsp:val=&quot;000C5F03&quot;/&gt;&lt;wsp:rsid wsp:val=&quot;000D06CD&quot;/&gt;&lt;wsp:rsid wsp:val=&quot;000D2B39&quot;/&gt;&lt;wsp:rsid wsp:val=&quot;000D2F43&quot;/&gt;&lt;wsp:rsid wsp:val=&quot;000D4DFB&quot;/&gt;&lt;wsp:rsid wsp:val=&quot;000D7BC9&quot;/&gt;&lt;wsp:rsid wsp:val=&quot;000E15C3&quot;/&gt;&lt;wsp:rsid wsp:val=&quot;000E1923&quot;/&gt;&lt;wsp:rsid wsp:val=&quot;000E1F8A&quot;/&gt;&lt;wsp:rsid wsp:val=&quot;000E7492&quot;/&gt;&lt;wsp:rsid wsp:val=&quot;000F39E8&quot;/&gt;&lt;wsp:rsid wsp:val=&quot;000F3F75&quot;/&gt;&lt;wsp:rsid wsp:val=&quot;000F582E&quot;/&gt;&lt;wsp:rsid wsp:val=&quot;001010F2&quot;/&gt;&lt;wsp:rsid wsp:val=&quot;00102520&quot;/&gt;&lt;wsp:rsid wsp:val=&quot;00103845&quot;/&gt;&lt;wsp:rsid wsp:val=&quot;001078DB&quot;/&gt;&lt;wsp:rsid wsp:val=&quot;00107940&quot;/&gt;&lt;wsp:rsid wsp:val=&quot;00107999&quot;/&gt;&lt;wsp:rsid wsp:val=&quot;00107DA7&quot;/&gt;&lt;wsp:rsid wsp:val=&quot;00111197&quot;/&gt;&lt;wsp:rsid wsp:val=&quot;00113440&quot;/&gt;&lt;wsp:rsid wsp:val=&quot;001156BB&quot;/&gt;&lt;wsp:rsid wsp:val=&quot;00117E66&quot;/&gt;&lt;wsp:rsid wsp:val=&quot;0012045F&quot;/&gt;&lt;wsp:rsid wsp:val=&quot;001208C4&quot;/&gt;&lt;wsp:rsid wsp:val=&quot;00121031&quot;/&gt;&lt;wsp:rsid wsp:val=&quot;001230BF&quot;/&gt;&lt;wsp:rsid wsp:val=&quot;00123E2C&quot;/&gt;&lt;wsp:rsid wsp:val=&quot;001253E6&quot;/&gt;&lt;wsp:rsid wsp:val=&quot;00126D12&quot;/&gt;&lt;wsp:rsid wsp:val=&quot;00130157&quot;/&gt;&lt;wsp:rsid wsp:val=&quot;00131708&quot;/&gt;&lt;wsp:rsid wsp:val=&quot;0013344F&quot;/&gt;&lt;wsp:rsid wsp:val=&quot;00135B16&quot;/&gt;&lt;wsp:rsid wsp:val=&quot;00137105&quot;/&gt;&lt;wsp:rsid wsp:val=&quot;00137799&quot;/&gt;&lt;wsp:rsid wsp:val=&quot;00145C86&quot;/&gt;&lt;wsp:rsid wsp:val=&quot;00146EDD&quot;/&gt;&lt;wsp:rsid wsp:val=&quot;00147B1E&quot;/&gt;&lt;wsp:rsid wsp:val=&quot;00147F51&quot;/&gt;&lt;wsp:rsid wsp:val=&quot;001524EC&quot;/&gt;&lt;wsp:rsid wsp:val=&quot;0015344A&quot;/&gt;&lt;wsp:rsid wsp:val=&quot;00156431&quot;/&gt;&lt;wsp:rsid wsp:val=&quot;00156A17&quot;/&gt;&lt;wsp:rsid wsp:val=&quot;00157584&quot;/&gt;&lt;wsp:rsid wsp:val=&quot;00163BD6&quot;/&gt;&lt;wsp:rsid wsp:val=&quot;001746EF&quot;/&gt;&lt;wsp:rsid wsp:val=&quot;0017543F&quot;/&gt;&lt;wsp:rsid wsp:val=&quot;00176392&quot;/&gt;&lt;wsp:rsid wsp:val=&quot;00177D7B&quot;/&gt;&lt;wsp:rsid wsp:val=&quot;00180ACF&quot;/&gt;&lt;wsp:rsid wsp:val=&quot;0018638D&quot;/&gt;&lt;wsp:rsid wsp:val=&quot;00187EEF&quot;/&gt;&lt;wsp:rsid wsp:val=&quot;00190687&quot;/&gt;&lt;wsp:rsid wsp:val=&quot;00196324&quot;/&gt;&lt;wsp:rsid wsp:val=&quot;001A0682&quot;/&gt;&lt;wsp:rsid wsp:val=&quot;001A0A69&quot;/&gt;&lt;wsp:rsid wsp:val=&quot;001A17CF&quot;/&gt;&lt;wsp:rsid wsp:val=&quot;001A2563&quot;/&gt;&lt;wsp:rsid wsp:val=&quot;001A63A6&quot;/&gt;&lt;wsp:rsid wsp:val=&quot;001A7F20&quot;/&gt;&lt;wsp:rsid wsp:val=&quot;001A7F78&quot;/&gt;&lt;wsp:rsid wsp:val=&quot;001B056A&quot;/&gt;&lt;wsp:rsid wsp:val=&quot;001B0806&quot;/&gt;&lt;wsp:rsid wsp:val=&quot;001B11FD&quot;/&gt;&lt;wsp:rsid wsp:val=&quot;001B2C50&quot;/&gt;&lt;wsp:rsid wsp:val=&quot;001B3642&quot;/&gt;&lt;wsp:rsid wsp:val=&quot;001B542E&quot;/&gt;&lt;wsp:rsid wsp:val=&quot;001C1E8F&quot;/&gt;&lt;wsp:rsid wsp:val=&quot;001C27BB&quot;/&gt;&lt;wsp:rsid wsp:val=&quot;001C37FF&quot;/&gt;&lt;wsp:rsid wsp:val=&quot;001C3946&quot;/&gt;&lt;wsp:rsid wsp:val=&quot;001C5D3E&quot;/&gt;&lt;wsp:rsid wsp:val=&quot;001C6BFC&quot;/&gt;&lt;wsp:rsid wsp:val=&quot;001D092C&quot;/&gt;&lt;wsp:rsid wsp:val=&quot;001D0F79&quot;/&gt;&lt;wsp:rsid wsp:val=&quot;001D185D&quot;/&gt;&lt;wsp:rsid wsp:val=&quot;001E52E0&quot;/&gt;&lt;wsp:rsid wsp:val=&quot;001E5B3A&quot;/&gt;&lt;wsp:rsid wsp:val=&quot;001E5EDB&quot;/&gt;&lt;wsp:rsid wsp:val=&quot;001E5F62&quot;/&gt;&lt;wsp:rsid wsp:val=&quot;001E630E&quot;/&gt;&lt;wsp:rsid wsp:val=&quot;001F3DE1&quot;/&gt;&lt;wsp:rsid wsp:val=&quot;001F780B&quot;/&gt;&lt;wsp:rsid wsp:val=&quot;001F7FD9&quot;/&gt;&lt;wsp:rsid wsp:val=&quot;00210D06&quot;/&gt;&lt;wsp:rsid wsp:val=&quot;00212D95&quot;/&gt;&lt;wsp:rsid wsp:val=&quot;002155C5&quot;/&gt;&lt;wsp:rsid wsp:val=&quot;00221298&quot;/&gt;&lt;wsp:rsid wsp:val=&quot;002222B5&quot;/&gt;&lt;wsp:rsid wsp:val=&quot;002242AC&quot;/&gt;&lt;wsp:rsid wsp:val=&quot;00224F54&quot;/&gt;&lt;wsp:rsid wsp:val=&quot;00225D47&quot;/&gt;&lt;wsp:rsid wsp:val=&quot;00236FB7&quot;/&gt;&lt;wsp:rsid wsp:val=&quot;0023735B&quot;/&gt;&lt;wsp:rsid wsp:val=&quot;00240277&quot;/&gt;&lt;wsp:rsid wsp:val=&quot;00241EBD&quot;/&gt;&lt;wsp:rsid wsp:val=&quot;0026220C&quot;/&gt;&lt;wsp:rsid wsp:val=&quot;0026290E&quot;/&gt;&lt;wsp:rsid wsp:val=&quot;002649AD&quot;/&gt;&lt;wsp:rsid wsp:val=&quot;00265BFF&quot;/&gt;&lt;wsp:rsid wsp:val=&quot;002705CB&quot;/&gt;&lt;wsp:rsid wsp:val=&quot;00274679&quot;/&gt;&lt;wsp:rsid wsp:val=&quot;00274B66&quot;/&gt;&lt;wsp:rsid wsp:val=&quot;002755F2&quot;/&gt;&lt;wsp:rsid wsp:val=&quot;00276EF9&quot;/&gt;&lt;wsp:rsid wsp:val=&quot;00280D52&quot;/&gt;&lt;wsp:rsid wsp:val=&quot;00290EB4&quot;/&gt;&lt;wsp:rsid wsp:val=&quot;00292116&quot;/&gt;&lt;wsp:rsid wsp:val=&quot;002A12F8&quot;/&gt;&lt;wsp:rsid wsp:val=&quot;002A2CBB&quot;/&gt;&lt;wsp:rsid wsp:val=&quot;002A5CE3&quot;/&gt;&lt;wsp:rsid wsp:val=&quot;002B3EC4&quot;/&gt;&lt;wsp:rsid wsp:val=&quot;002B5862&quot;/&gt;&lt;wsp:rsid wsp:val=&quot;002C068D&quot;/&gt;&lt;wsp:rsid wsp:val=&quot;002C0F56&quot;/&gt;&lt;wsp:rsid wsp:val=&quot;002C16F6&quot;/&gt;&lt;wsp:rsid wsp:val=&quot;002C3F80&quot;/&gt;&lt;wsp:rsid wsp:val=&quot;002C7430&quot;/&gt;&lt;wsp:rsid wsp:val=&quot;002C7C72&quot;/&gt;&lt;wsp:rsid wsp:val=&quot;002D1D9B&quot;/&gt;&lt;wsp:rsid wsp:val=&quot;002D38BE&quot;/&gt;&lt;wsp:rsid wsp:val=&quot;002D5167&quot;/&gt;&lt;wsp:rsid wsp:val=&quot;002D5248&quot;/&gt;&lt;wsp:rsid wsp:val=&quot;002D61CB&quot;/&gt;&lt;wsp:rsid wsp:val=&quot;002E307B&quot;/&gt;&lt;wsp:rsid wsp:val=&quot;002E43F0&quot;/&gt;&lt;wsp:rsid wsp:val=&quot;002E650F&quot;/&gt;&lt;wsp:rsid wsp:val=&quot;002E7CEA&quot;/&gt;&lt;wsp:rsid wsp:val=&quot;002F1A60&quot;/&gt;&lt;wsp:rsid wsp:val=&quot;002F2A9D&quot;/&gt;&lt;wsp:rsid wsp:val=&quot;002F3826&quot;/&gt;&lt;wsp:rsid wsp:val=&quot;002F383B&quot;/&gt;&lt;wsp:rsid wsp:val=&quot;002F63DA&quot;/&gt;&lt;wsp:rsid wsp:val=&quot;002F6B42&quot;/&gt;&lt;wsp:rsid wsp:val=&quot;0030165D&quot;/&gt;&lt;wsp:rsid wsp:val=&quot;0030379C&quot;/&gt;&lt;wsp:rsid wsp:val=&quot;00307182&quot;/&gt;&lt;wsp:rsid wsp:val=&quot;00307D24&quot;/&gt;&lt;wsp:rsid wsp:val=&quot;00312364&quot;/&gt;&lt;wsp:rsid wsp:val=&quot;0031237C&quot;/&gt;&lt;wsp:rsid wsp:val=&quot;003145EC&quot;/&gt;&lt;wsp:rsid wsp:val=&quot;00315664&quot;/&gt;&lt;wsp:rsid wsp:val=&quot;00315737&quot;/&gt;&lt;wsp:rsid wsp:val=&quot;0031642F&quot;/&gt;&lt;wsp:rsid wsp:val=&quot;00317F8B&quot;/&gt;&lt;wsp:rsid wsp:val=&quot;00321A2F&quot;/&gt;&lt;wsp:rsid wsp:val=&quot;00323F81&quot;/&gt;&lt;wsp:rsid wsp:val=&quot;00325957&quot;/&gt;&lt;wsp:rsid wsp:val=&quot;0032723F&quot;/&gt;&lt;wsp:rsid wsp:val=&quot;0033231B&quot;/&gt;&lt;wsp:rsid wsp:val=&quot;00333A24&quot;/&gt;&lt;wsp:rsid wsp:val=&quot;00333D27&quot;/&gt;&lt;wsp:rsid wsp:val=&quot;00335B7C&quot;/&gt;&lt;wsp:rsid wsp:val=&quot;00337936&quot;/&gt;&lt;wsp:rsid wsp:val=&quot;00341935&quot;/&gt;&lt;wsp:rsid wsp:val=&quot;00341E2C&quot;/&gt;&lt;wsp:rsid wsp:val=&quot;00347C8E&quot;/&gt;&lt;wsp:rsid wsp:val=&quot;00351E8B&quot;/&gt;&lt;wsp:rsid wsp:val=&quot;00354E59&quot;/&gt;&lt;wsp:rsid wsp:val=&quot;0035559A&quot;/&gt;&lt;wsp:rsid wsp:val=&quot;003576D4&quot;/&gt;&lt;wsp:rsid wsp:val=&quot;00360229&quot;/&gt;&lt;wsp:rsid wsp:val=&quot;00361CDD&quot;/&gt;&lt;wsp:rsid wsp:val=&quot;00362581&quot;/&gt;&lt;wsp:rsid wsp:val=&quot;003645FE&quot;/&gt;&lt;wsp:rsid wsp:val=&quot;00364F73&quot;/&gt;&lt;wsp:rsid wsp:val=&quot;00365760&quot;/&gt;&lt;wsp:rsid wsp:val=&quot;0037299E&quot;/&gt;&lt;wsp:rsid wsp:val=&quot;00373A86&quot;/&gt;&lt;wsp:rsid wsp:val=&quot;003822BB&quot;/&gt;&lt;wsp:rsid wsp:val=&quot;003857A2&quot;/&gt;&lt;wsp:rsid wsp:val=&quot;003857B7&quot;/&gt;&lt;wsp:rsid wsp:val=&quot;003910C7&quot;/&gt;&lt;wsp:rsid wsp:val=&quot;003932CB&quot;/&gt;&lt;wsp:rsid wsp:val=&quot;00395183&quot;/&gt;&lt;wsp:rsid wsp:val=&quot;00395259&quot;/&gt;&lt;wsp:rsid wsp:val=&quot;003A2E7B&quot;/&gt;&lt;wsp:rsid wsp:val=&quot;003A448C&quot;/&gt;&lt;wsp:rsid wsp:val=&quot;003B0141&quot;/&gt;&lt;wsp:rsid wsp:val=&quot;003B2353&quot;/&gt;&lt;wsp:rsid wsp:val=&quot;003B2954&quot;/&gt;&lt;wsp:rsid wsp:val=&quot;003B2B14&quot;/&gt;&lt;wsp:rsid wsp:val=&quot;003B5F35&quot;/&gt;&lt;wsp:rsid wsp:val=&quot;003C1558&quot;/&gt;&lt;wsp:rsid wsp:val=&quot;003C17E9&quot;/&gt;&lt;wsp:rsid wsp:val=&quot;003C3A6A&quot;/&gt;&lt;wsp:rsid wsp:val=&quot;003C3F99&quot;/&gt;&lt;wsp:rsid wsp:val=&quot;003C748C&quot;/&gt;&lt;wsp:rsid wsp:val=&quot;003C7658&quot;/&gt;&lt;wsp:rsid wsp:val=&quot;003D0F1C&quot;/&gt;&lt;wsp:rsid wsp:val=&quot;003D3144&quot;/&gt;&lt;wsp:rsid wsp:val=&quot;003D49DF&quot;/&gt;&lt;wsp:rsid wsp:val=&quot;003E05A2&quot;/&gt;&lt;wsp:rsid wsp:val=&quot;003E26FC&quot;/&gt;&lt;wsp:rsid wsp:val=&quot;003E2770&quot;/&gt;&lt;wsp:rsid wsp:val=&quot;003E5733&quot;/&gt;&lt;wsp:rsid wsp:val=&quot;003E59FD&quot;/&gt;&lt;wsp:rsid wsp:val=&quot;003F0652&quot;/&gt;&lt;wsp:rsid wsp:val=&quot;003F2522&quot;/&gt;&lt;wsp:rsid wsp:val=&quot;003F74D4&quot;/&gt;&lt;wsp:rsid wsp:val=&quot;00402ADA&quot;/&gt;&lt;wsp:rsid wsp:val=&quot;004046ED&quot;/&gt;&lt;wsp:rsid wsp:val=&quot;00406FE9&quot;/&gt;&lt;wsp:rsid wsp:val=&quot;00412BD0&quot;/&gt;&lt;wsp:rsid wsp:val=&quot;00417792&quot;/&gt;&lt;wsp:rsid wsp:val=&quot;00420433&quot;/&gt;&lt;wsp:rsid wsp:val=&quot;00424ADE&quot;/&gt;&lt;wsp:rsid wsp:val=&quot;00426CE4&quot;/&gt;&lt;wsp:rsid wsp:val=&quot;00427774&quot;/&gt;&lt;wsp:rsid wsp:val=&quot;00431D65&quot;/&gt;&lt;wsp:rsid wsp:val=&quot;0043364C&quot;/&gt;&lt;wsp:rsid wsp:val=&quot;0043683F&quot;/&gt;&lt;wsp:rsid wsp:val=&quot;00440795&quot;/&gt;&lt;wsp:rsid wsp:val=&quot;004425A3&quot;/&gt;&lt;wsp:rsid wsp:val=&quot;004426C6&quot;/&gt;&lt;wsp:rsid wsp:val=&quot;004429C7&quot;/&gt;&lt;wsp:rsid wsp:val=&quot;004431DD&quot;/&gt;&lt;wsp:rsid wsp:val=&quot;00445104&quot;/&gt;&lt;wsp:rsid wsp:val=&quot;0044754A&quot;/&gt;&lt;wsp:rsid wsp:val=&quot;00451055&quot;/&gt;&lt;wsp:rsid wsp:val=&quot;004517F7&quot;/&gt;&lt;wsp:rsid wsp:val=&quot;00453342&quot;/&gt;&lt;wsp:rsid wsp:val=&quot;00454D52&quot;/&gt;&lt;wsp:rsid wsp:val=&quot;004604B4&quot;/&gt;&lt;wsp:rsid wsp:val=&quot;0047013B&quot;/&gt;&lt;wsp:rsid wsp:val=&quot;00473395&quot;/&gt;&lt;wsp:rsid wsp:val=&quot;00476346&quot;/&gt;&lt;wsp:rsid wsp:val=&quot;004767B9&quot;/&gt;&lt;wsp:rsid wsp:val=&quot;0047721F&quot;/&gt;&lt;wsp:rsid wsp:val=&quot;004811CE&quot;/&gt;&lt;wsp:rsid wsp:val=&quot;00482161&quot;/&gt;&lt;wsp:rsid wsp:val=&quot;00483C58&quot;/&gt;&lt;wsp:rsid wsp:val=&quot;0048665E&quot;/&gt;&lt;wsp:rsid wsp:val=&quot;00486692&quot;/&gt;&lt;wsp:rsid wsp:val=&quot;00487FC0&quot;/&gt;&lt;wsp:rsid wsp:val=&quot;00492044&quot;/&gt;&lt;wsp:rsid wsp:val=&quot;004926AE&quot;/&gt;&lt;wsp:rsid wsp:val=&quot;00496319&quot;/&gt;&lt;wsp:rsid wsp:val=&quot;004978C2&quot;/&gt;&lt;wsp:rsid wsp:val=&quot;004A1132&quot;/&gt;&lt;wsp:rsid wsp:val=&quot;004A1281&quot;/&gt;&lt;wsp:rsid wsp:val=&quot;004A2D5F&quot;/&gt;&lt;wsp:rsid wsp:val=&quot;004A37C1&quot;/&gt;&lt;wsp:rsid wsp:val=&quot;004A49C0&quot;/&gt;&lt;wsp:rsid wsp:val=&quot;004A688F&quot;/&gt;&lt;wsp:rsid wsp:val=&quot;004A705B&quot;/&gt;&lt;wsp:rsid wsp:val=&quot;004A7A6A&quot;/&gt;&lt;wsp:rsid wsp:val=&quot;004B4356&quot;/&gt;&lt;wsp:rsid wsp:val=&quot;004B746E&quot;/&gt;&lt;wsp:rsid wsp:val=&quot;004B77EF&quot;/&gt;&lt;wsp:rsid wsp:val=&quot;004C0C02&quot;/&gt;&lt;wsp:rsid wsp:val=&quot;004C1444&quot;/&gt;&lt;wsp:rsid wsp:val=&quot;004C37AE&quot;/&gt;&lt;wsp:rsid wsp:val=&quot;004C6CE9&quot;/&gt;&lt;wsp:rsid wsp:val=&quot;004C78EC&quot;/&gt;&lt;wsp:rsid wsp:val=&quot;004D0EC8&quot;/&gt;&lt;wsp:rsid wsp:val=&quot;004D12B5&quot;/&gt;&lt;wsp:rsid wsp:val=&quot;004D5087&quot;/&gt;&lt;wsp:rsid wsp:val=&quot;004D7696&quot;/&gt;&lt;wsp:rsid wsp:val=&quot;004D78E2&quot;/&gt;&lt;wsp:rsid wsp:val=&quot;004E1603&quot;/&gt;&lt;wsp:rsid wsp:val=&quot;004E2109&quot;/&gt;&lt;wsp:rsid wsp:val=&quot;004E55B6&quot;/&gt;&lt;wsp:rsid wsp:val=&quot;004E5873&quot;/&gt;&lt;wsp:rsid wsp:val=&quot;004E7720&quot;/&gt;&lt;wsp:rsid wsp:val=&quot;004E79D6&quot;/&gt;&lt;wsp:rsid wsp:val=&quot;004F0E63&quot;/&gt;&lt;wsp:rsid wsp:val=&quot;004F35D2&quot;/&gt;&lt;wsp:rsid wsp:val=&quot;004F4A5F&quot;/&gt;&lt;wsp:rsid wsp:val=&quot;004F6E8F&quot;/&gt;&lt;wsp:rsid wsp:val=&quot;00503361&quot;/&gt;&lt;wsp:rsid wsp:val=&quot;00503D08&quot;/&gt;&lt;wsp:rsid wsp:val=&quot;00504231&quot;/&gt;&lt;wsp:rsid wsp:val=&quot;00504294&quot;/&gt;&lt;wsp:rsid wsp:val=&quot;005066CF&quot;/&gt;&lt;wsp:rsid wsp:val=&quot;00511998&quot;/&gt;&lt;wsp:rsid wsp:val=&quot;00512BA5&quot;/&gt;&lt;wsp:rsid wsp:val=&quot;00514B9E&quot;/&gt;&lt;wsp:rsid wsp:val=&quot;0052030E&quot;/&gt;&lt;wsp:rsid wsp:val=&quot;00522842&quot;/&gt;&lt;wsp:rsid wsp:val=&quot;00524093&quot;/&gt;&lt;wsp:rsid wsp:val=&quot;00527535&quot;/&gt;&lt;wsp:rsid wsp:val=&quot;00530D82&quot;/&gt;&lt;wsp:rsid wsp:val=&quot;005347E6&quot;/&gt;&lt;wsp:rsid wsp:val=&quot;00540836&quot;/&gt;&lt;wsp:rsid wsp:val=&quot;00544E94&quot;/&gt;&lt;wsp:rsid wsp:val=&quot;00550836&quot;/&gt;&lt;wsp:rsid wsp:val=&quot;00552574&quot;/&gt;&lt;wsp:rsid wsp:val=&quot;00553688&quot;/&gt;&lt;wsp:rsid wsp:val=&quot;005621A1&quot;/&gt;&lt;wsp:rsid wsp:val=&quot;00570DFD&quot;/&gt;&lt;wsp:rsid wsp:val=&quot;00571900&quot;/&gt;&lt;wsp:rsid wsp:val=&quot;005735A2&quot;/&gt;&lt;wsp:rsid wsp:val=&quot;0057700F&quot;/&gt;&lt;wsp:rsid wsp:val=&quot;00580391&quot;/&gt;&lt;wsp:rsid wsp:val=&quot;0058080D&quot;/&gt;&lt;wsp:rsid wsp:val=&quot;005823B6&quot;/&gt;&lt;wsp:rsid wsp:val=&quot;00586B3E&quot;/&gt;&lt;wsp:rsid wsp:val=&quot;00591567&quot;/&gt;&lt;wsp:rsid wsp:val=&quot;005917F2&quot;/&gt;&lt;wsp:rsid wsp:val=&quot;00596C7B&quot;/&gt;&lt;wsp:rsid wsp:val=&quot;005A2F57&quot;/&gt;&lt;wsp:rsid wsp:val=&quot;005A3C08&quot;/&gt;&lt;wsp:rsid wsp:val=&quot;005A3D7E&quot;/&gt;&lt;wsp:rsid wsp:val=&quot;005A3E3C&quot;/&gt;&lt;wsp:rsid wsp:val=&quot;005A6A6C&quot;/&gt;&lt;wsp:rsid wsp:val=&quot;005B00DD&quot;/&gt;&lt;wsp:rsid wsp:val=&quot;005B2EF1&quot;/&gt;&lt;wsp:rsid wsp:val=&quot;005B63C0&quot;/&gt;&lt;wsp:rsid wsp:val=&quot;005C178A&quot;/&gt;&lt;wsp:rsid wsp:val=&quot;005C275D&quot;/&gt;&lt;wsp:rsid wsp:val=&quot;005C2FAE&quot;/&gt;&lt;wsp:rsid wsp:val=&quot;005C3AEB&quot;/&gt;&lt;wsp:rsid wsp:val=&quot;005C57CE&quot;/&gt;&lt;wsp:rsid wsp:val=&quot;005C614B&quot;/&gt;&lt;wsp:rsid wsp:val=&quot;005C6687&quot;/&gt;&lt;wsp:rsid wsp:val=&quot;005C7235&quot;/&gt;&lt;wsp:rsid wsp:val=&quot;005C7AE7&quot;/&gt;&lt;wsp:rsid wsp:val=&quot;005D1583&quot;/&gt;&lt;wsp:rsid wsp:val=&quot;005D55BD&quot;/&gt;&lt;wsp:rsid wsp:val=&quot;005D605D&quot;/&gt;&lt;wsp:rsid wsp:val=&quot;005E441C&quot;/&gt;&lt;wsp:rsid wsp:val=&quot;005E5346&quot;/&gt;&lt;wsp:rsid wsp:val=&quot;005E6AEC&quot;/&gt;&lt;wsp:rsid wsp:val=&quot;005F31C2&quot;/&gt;&lt;wsp:rsid wsp:val=&quot;005F7490&quot;/&gt;&lt;wsp:rsid wsp:val=&quot;00601471&quot;/&gt;&lt;wsp:rsid wsp:val=&quot;00603BFB&quot;/&gt;&lt;wsp:rsid wsp:val=&quot;0060478F&quot;/&gt;&lt;wsp:rsid wsp:val=&quot;00605839&quot;/&gt;&lt;wsp:rsid wsp:val=&quot;006061BC&quot;/&gt;&lt;wsp:rsid wsp:val=&quot;00607079&quot;/&gt;&lt;wsp:rsid wsp:val=&quot;00610B15&quot;/&gt;&lt;wsp:rsid wsp:val=&quot;006120BC&quot;/&gt;&lt;wsp:rsid wsp:val=&quot;00614101&quot;/&gt;&lt;wsp:rsid wsp:val=&quot;00615584&quot;/&gt;&lt;wsp:rsid wsp:val=&quot;0061564D&quot;/&gt;&lt;wsp:rsid wsp:val=&quot;0061586A&quot;/&gt;&lt;wsp:rsid wsp:val=&quot;006208BE&quot;/&gt;&lt;wsp:rsid wsp:val=&quot;00620960&quot;/&gt;&lt;wsp:rsid wsp:val=&quot;00627816&quot;/&gt;&lt;wsp:rsid wsp:val=&quot;00630875&quot;/&gt;&lt;wsp:rsid wsp:val=&quot;00630DB6&quot;/&gt;&lt;wsp:rsid wsp:val=&quot;00630EDB&quot;/&gt;&lt;wsp:rsid wsp:val=&quot;00632918&quot;/&gt;&lt;wsp:rsid wsp:val=&quot;00640C89&quot;/&gt;&lt;wsp:rsid wsp:val=&quot;006515FE&quot;/&gt;&lt;wsp:rsid wsp:val=&quot;00652A6E&quot;/&gt;&lt;wsp:rsid wsp:val=&quot;00653280&quot;/&gt;&lt;wsp:rsid wsp:val=&quot;00653554&quot;/&gt;&lt;wsp:rsid wsp:val=&quot;00653FCC&quot;/&gt;&lt;wsp:rsid wsp:val=&quot;006540D9&quot;/&gt;&lt;wsp:rsid wsp:val=&quot;006543F7&quot;/&gt;&lt;wsp:rsid wsp:val=&quot;0065549F&quot;/&gt;&lt;wsp:rsid wsp:val=&quot;00657AF9&quot;/&gt;&lt;wsp:rsid wsp:val=&quot;00661BFF&quot;/&gt;&lt;wsp:rsid wsp:val=&quot;00661ECB&quot;/&gt;&lt;wsp:rsid wsp:val=&quot;0066222D&quot;/&gt;&lt;wsp:rsid wsp:val=&quot;00662EC1&quot;/&gt;&lt;wsp:rsid wsp:val=&quot;00663C2E&quot;/&gt;&lt;wsp:rsid wsp:val=&quot;006641B8&quot;/&gt;&lt;wsp:rsid wsp:val=&quot;006708A0&quot;/&gt;&lt;wsp:rsid wsp:val=&quot;00675A2C&quot;/&gt;&lt;wsp:rsid wsp:val=&quot;00681C18&quot;/&gt;&lt;wsp:rsid wsp:val=&quot;006836AA&quot;/&gt;&lt;wsp:rsid wsp:val=&quot;00687091&quot;/&gt;&lt;wsp:rsid wsp:val=&quot;006907DA&quot;/&gt;&lt;wsp:rsid wsp:val=&quot;006934A5&quot;/&gt;&lt;wsp:rsid wsp:val=&quot;0069437D&quot;/&gt;&lt;wsp:rsid wsp:val=&quot;00695CA6&quot;/&gt;&lt;wsp:rsid wsp:val=&quot;00696060&quot;/&gt;&lt;wsp:rsid wsp:val=&quot;006A019F&quot;/&gt;&lt;wsp:rsid wsp:val=&quot;006A03B0&quot;/&gt;&lt;wsp:rsid wsp:val=&quot;006A0A7F&quot;/&gt;&lt;wsp:rsid wsp:val=&quot;006A423F&quot;/&gt;&lt;wsp:rsid wsp:val=&quot;006B5E7D&quot;/&gt;&lt;wsp:rsid wsp:val=&quot;006B6221&quot;/&gt;&lt;wsp:rsid wsp:val=&quot;006C179C&quot;/&gt;&lt;wsp:rsid wsp:val=&quot;006C29CC&quot;/&gt;&lt;wsp:rsid wsp:val=&quot;006C3769&quot;/&gt;&lt;wsp:rsid wsp:val=&quot;006D1E5A&quot;/&gt;&lt;wsp:rsid wsp:val=&quot;006D4EE7&quot;/&gt;&lt;wsp:rsid wsp:val=&quot;006D59CB&quot;/&gt;&lt;wsp:rsid wsp:val=&quot;006E0C98&quot;/&gt;&lt;wsp:rsid wsp:val=&quot;006E14B1&quot;/&gt;&lt;wsp:rsid wsp:val=&quot;006E1F9B&quot;/&gt;&lt;wsp:rsid wsp:val=&quot;006E2645&quot;/&gt;&lt;wsp:rsid wsp:val=&quot;006E3C5B&quot;/&gt;&lt;wsp:rsid wsp:val=&quot;006E69CA&quot;/&gt;&lt;wsp:rsid wsp:val=&quot;006E73C2&quot;/&gt;&lt;wsp:rsid wsp:val=&quot;006F2E88&quot;/&gt;&lt;wsp:rsid wsp:val=&quot;006F6BE5&quot;/&gt;&lt;wsp:rsid wsp:val=&quot;007016A8&quot;/&gt;&lt;wsp:rsid wsp:val=&quot;00702A8F&quot;/&gt;&lt;wsp:rsid wsp:val=&quot;0070383E&quot;/&gt;&lt;wsp:rsid wsp:val=&quot;007038B9&quot;/&gt;&lt;wsp:rsid wsp:val=&quot;00704037&quot;/&gt;&lt;wsp:rsid wsp:val=&quot;00706DC9&quot;/&gt;&lt;wsp:rsid wsp:val=&quot;0071039E&quot;/&gt;&lt;wsp:rsid wsp:val=&quot;00714A21&quot;/&gt;&lt;wsp:rsid wsp:val=&quot;00714E6C&quot;/&gt;&lt;wsp:rsid wsp:val=&quot;00715B6D&quot;/&gt;&lt;wsp:rsid wsp:val=&quot;00715BE9&quot;/&gt;&lt;wsp:rsid wsp:val=&quot;00717339&quot;/&gt;&lt;wsp:rsid wsp:val=&quot;00720900&quot;/&gt;&lt;wsp:rsid wsp:val=&quot;00722C41&quot;/&gt;&lt;wsp:rsid wsp:val=&quot;00722DE3&quot;/&gt;&lt;wsp:rsid wsp:val=&quot;0072534E&quot;/&gt;&lt;wsp:rsid wsp:val=&quot;00725CB6&quot;/&gt;&lt;wsp:rsid wsp:val=&quot;007306AA&quot;/&gt;&lt;wsp:rsid wsp:val=&quot;00730AEA&quot;/&gt;&lt;wsp:rsid wsp:val=&quot;007317E7&quot;/&gt;&lt;wsp:rsid wsp:val=&quot;007317FF&quot;/&gt;&lt;wsp:rsid wsp:val=&quot;007352D4&quot;/&gt;&lt;wsp:rsid wsp:val=&quot;00736265&quot;/&gt;&lt;wsp:rsid wsp:val=&quot;00736287&quot;/&gt;&lt;wsp:rsid wsp:val=&quot;00737E5E&quot;/&gt;&lt;wsp:rsid wsp:val=&quot;00742AE1&quot;/&gt;&lt;wsp:rsid wsp:val=&quot;00743040&quot;/&gt;&lt;wsp:rsid wsp:val=&quot;00743E7C&quot;/&gt;&lt;wsp:rsid wsp:val=&quot;0074664C&quot;/&gt;&lt;wsp:rsid wsp:val=&quot;00747441&quot;/&gt;&lt;wsp:rsid wsp:val=&quot;0075291C&quot;/&gt;&lt;wsp:rsid wsp:val=&quot;0075777D&quot;/&gt;&lt;wsp:rsid wsp:val=&quot;00760008&quot;/&gt;&lt;wsp:rsid wsp:val=&quot;00765A52&quot;/&gt;&lt;wsp:rsid wsp:val=&quot;00765B4C&quot;/&gt;&lt;wsp:rsid wsp:val=&quot;00766F2F&quot;/&gt;&lt;wsp:rsid wsp:val=&quot;00767D8A&quot;/&gt;&lt;wsp:rsid wsp:val=&quot;00771C04&quot;/&gt;&lt;wsp:rsid wsp:val=&quot;00773468&quot;/&gt;&lt;wsp:rsid wsp:val=&quot;00773E1E&quot;/&gt;&lt;wsp:rsid wsp:val=&quot;0077479C&quot;/&gt;&lt;wsp:rsid wsp:val=&quot;00775418&quot;/&gt;&lt;wsp:rsid wsp:val=&quot;00776F75&quot;/&gt;&lt;wsp:rsid wsp:val=&quot;00777231&quot;/&gt;&lt;wsp:rsid wsp:val=&quot;00777343&quot;/&gt;&lt;wsp:rsid wsp:val=&quot;00777570&quot;/&gt;&lt;wsp:rsid wsp:val=&quot;00783D1B&quot;/&gt;&lt;wsp:rsid wsp:val=&quot;00784000&quot;/&gt;&lt;wsp:rsid wsp:val=&quot;00787550&quot;/&gt;&lt;wsp:rsid wsp:val=&quot;00787683&quot;/&gt;&lt;wsp:rsid wsp:val=&quot;0078772B&quot;/&gt;&lt;wsp:rsid wsp:val=&quot;00787B6E&quot;/&gt;&lt;wsp:rsid wsp:val=&quot;00793379&quot;/&gt;&lt;wsp:rsid wsp:val=&quot;00793618&quot;/&gt;&lt;wsp:rsid wsp:val=&quot;007979FE&quot;/&gt;&lt;wsp:rsid wsp:val=&quot;007A09CA&quot;/&gt;&lt;wsp:rsid wsp:val=&quot;007A5C2C&quot;/&gt;&lt;wsp:rsid wsp:val=&quot;007B040C&quot;/&gt;&lt;wsp:rsid wsp:val=&quot;007B126E&quot;/&gt;&lt;wsp:rsid wsp:val=&quot;007B14BF&quot;/&gt;&lt;wsp:rsid wsp:val=&quot;007B1BD2&quot;/&gt;&lt;wsp:rsid wsp:val=&quot;007B74E3&quot;/&gt;&lt;wsp:rsid wsp:val=&quot;007C0009&quot;/&gt;&lt;wsp:rsid wsp:val=&quot;007C0048&quot;/&gt;&lt;wsp:rsid wsp:val=&quot;007C262F&quot;/&gt;&lt;wsp:rsid wsp:val=&quot;007C4956&quot;/&gt;&lt;wsp:rsid wsp:val=&quot;007C509E&quot;/&gt;&lt;wsp:rsid wsp:val=&quot;007C53A7&quot;/&gt;&lt;wsp:rsid wsp:val=&quot;007C6EC4&quot;/&gt;&lt;wsp:rsid wsp:val=&quot;007D14A9&quot;/&gt;&lt;wsp:rsid wsp:val=&quot;007D2862&quot;/&gt;&lt;wsp:rsid wsp:val=&quot;007D319E&quot;/&gt;&lt;wsp:rsid wsp:val=&quot;007D4AA2&quot;/&gt;&lt;wsp:rsid wsp:val=&quot;007D5BB8&quot;/&gt;&lt;wsp:rsid wsp:val=&quot;007D7018&quot;/&gt;&lt;wsp:rsid wsp:val=&quot;007D78F4&quot;/&gt;&lt;wsp:rsid wsp:val=&quot;007E3C64&quot;/&gt;&lt;wsp:rsid wsp:val=&quot;007E4D81&quot;/&gt;&lt;wsp:rsid wsp:val=&quot;007E51F3&quot;/&gt;&lt;wsp:rsid wsp:val=&quot;007E7459&quot;/&gt;&lt;wsp:rsid wsp:val=&quot;007F23E4&quot;/&gt;&lt;wsp:rsid wsp:val=&quot;007F2ABD&quot;/&gt;&lt;wsp:rsid wsp:val=&quot;007F6914&quot;/&gt;&lt;wsp:rsid wsp:val=&quot;007F747F&quot;/&gt;&lt;wsp:rsid wsp:val=&quot;0080046A&quot;/&gt;&lt;wsp:rsid wsp:val=&quot;0080197E&quot;/&gt;&lt;wsp:rsid wsp:val=&quot;00802C8F&quot;/&gt;&lt;wsp:rsid wsp:val=&quot;008036C3&quot;/&gt;&lt;wsp:rsid wsp:val=&quot;00804EFD&quot;/&gt;&lt;wsp:rsid wsp:val=&quot;00807877&quot;/&gt;&lt;wsp:rsid wsp:val=&quot;00810DA9&quot;/&gt;&lt;wsp:rsid wsp:val=&quot;00811471&quot;/&gt;&lt;wsp:rsid wsp:val=&quot;008119B4&quot;/&gt;&lt;wsp:rsid wsp:val=&quot;008126D5&quot;/&gt;&lt;wsp:rsid wsp:val=&quot;008137FD&quot;/&gt;&lt;wsp:rsid wsp:val=&quot;00814027&quot;/&gt;&lt;wsp:rsid wsp:val=&quot;008167AC&quot;/&gt;&lt;wsp:rsid wsp:val=&quot;00816B40&quot;/&gt;&lt;wsp:rsid wsp:val=&quot;00816D53&quot;/&gt;&lt;wsp:rsid wsp:val=&quot;00821B9A&quot;/&gt;&lt;wsp:rsid wsp:val=&quot;00825C33&quot;/&gt;&lt;wsp:rsid wsp:val=&quot;008300B4&quot;/&gt;&lt;wsp:rsid wsp:val=&quot;00830839&quot;/&gt;&lt;wsp:rsid wsp:val=&quot;008324AB&quot;/&gt;&lt;wsp:rsid wsp:val=&quot;00834A37&quot;/&gt;&lt;wsp:rsid wsp:val=&quot;008371D8&quot;/&gt;&lt;wsp:rsid wsp:val=&quot;00841245&quot;/&gt;&lt;wsp:rsid wsp:val=&quot;00844EB5&quot;/&gt;&lt;wsp:rsid wsp:val=&quot;00846BBA&quot;/&gt;&lt;wsp:rsid wsp:val=&quot;008502F6&quot;/&gt;&lt;wsp:rsid wsp:val=&quot;00854B63&quot;/&gt;&lt;wsp:rsid wsp:val=&quot;0085524C&quot;/&gt;&lt;wsp:rsid wsp:val=&quot;00856796&quot;/&gt;&lt;wsp:rsid wsp:val=&quot;00860EED&quot;/&gt;&lt;wsp:rsid wsp:val=&quot;00862F99&quot;/&gt;&lt;wsp:rsid wsp:val=&quot;00867CE0&quot;/&gt;&lt;wsp:rsid wsp:val=&quot;00871999&quot;/&gt;&lt;wsp:rsid wsp:val=&quot;00872FFA&quot;/&gt;&lt;wsp:rsid wsp:val=&quot;008758E6&quot;/&gt;&lt;wsp:rsid wsp:val=&quot;008769EC&quot;/&gt;&lt;wsp:rsid wsp:val=&quot;00876D90&quot;/&gt;&lt;wsp:rsid wsp:val=&quot;00877097&quot;/&gt;&lt;wsp:rsid wsp:val=&quot;00877A18&quot;/&gt;&lt;wsp:rsid wsp:val=&quot;00880409&quot;/&gt;&lt;wsp:rsid wsp:val=&quot;008813DB&quot;/&gt;&lt;wsp:rsid wsp:val=&quot;008912E3&quot;/&gt;&lt;wsp:rsid wsp:val=&quot;00893D9A&quot;/&gt;&lt;wsp:rsid wsp:val=&quot;008A1F22&quot;/&gt;&lt;wsp:rsid wsp:val=&quot;008A29FE&quot;/&gt;&lt;wsp:rsid wsp:val=&quot;008A3768&quot;/&gt;&lt;wsp:rsid wsp:val=&quot;008B27D3&quot;/&gt;&lt;wsp:rsid wsp:val=&quot;008B2A6B&quot;/&gt;&lt;wsp:rsid wsp:val=&quot;008B36C2&quot;/&gt;&lt;wsp:rsid wsp:val=&quot;008B467B&quot;/&gt;&lt;wsp:rsid wsp:val=&quot;008C00AA&quot;/&gt;&lt;wsp:rsid wsp:val=&quot;008C1C81&quot;/&gt;&lt;wsp:rsid wsp:val=&quot;008C27A1&quot;/&gt;&lt;wsp:rsid wsp:val=&quot;008C2E35&quot;/&gt;&lt;wsp:rsid wsp:val=&quot;008C555F&quot;/&gt;&lt;wsp:rsid wsp:val=&quot;008C6635&quot;/&gt;&lt;wsp:rsid wsp:val=&quot;008D5703&quot;/&gt;&lt;wsp:rsid wsp:val=&quot;008E17CD&quot;/&gt;&lt;wsp:rsid wsp:val=&quot;008E1BC9&quot;/&gt;&lt;wsp:rsid wsp:val=&quot;008E3AA8&quot;/&gt;&lt;wsp:rsid wsp:val=&quot;008F34EF&quot;/&gt;&lt;wsp:rsid wsp:val=&quot;008F5D1A&quot;/&gt;&lt;wsp:rsid wsp:val=&quot;008F5F25&quot;/&gt;&lt;wsp:rsid wsp:val=&quot;008F6CF0&quot;/&gt;&lt;wsp:rsid wsp:val=&quot;00901D09&quot;/&gt;&lt;wsp:rsid wsp:val=&quot;009038F6&quot;/&gt;&lt;wsp:rsid wsp:val=&quot;00907C00&quot;/&gt;&lt;wsp:rsid wsp:val=&quot;00910B7E&quot;/&gt;&lt;wsp:rsid wsp:val=&quot;009112CF&quot;/&gt;&lt;wsp:rsid wsp:val=&quot;00911CD3&quot;/&gt;&lt;wsp:rsid wsp:val=&quot;00917281&quot;/&gt;&lt;wsp:rsid wsp:val=&quot;00917F14&quot;/&gt;&lt;wsp:rsid wsp:val=&quot;00923580&quot;/&gt;&lt;wsp:rsid wsp:val=&quot;009240EB&quot;/&gt;&lt;wsp:rsid wsp:val=&quot;009256E2&quot;/&gt;&lt;wsp:rsid wsp:val=&quot;00926838&quot;/&gt;&lt;wsp:rsid wsp:val=&quot;00926D45&quot;/&gt;&lt;wsp:rsid wsp:val=&quot;00927260&quot;/&gt;&lt;wsp:rsid wsp:val=&quot;00927AD7&quot;/&gt;&lt;wsp:rsid wsp:val=&quot;00934EA0&quot;/&gt;&lt;wsp:rsid wsp:val=&quot;009401D6&quot;/&gt;&lt;wsp:rsid wsp:val=&quot;00940BB4&quot;/&gt;&lt;wsp:rsid wsp:val=&quot;00943190&quot;/&gt;&lt;wsp:rsid wsp:val=&quot;00943523&quot;/&gt;&lt;wsp:rsid wsp:val=&quot;009449C5&quot;/&gt;&lt;wsp:rsid wsp:val=&quot;00946C81&quot;/&gt;&lt;wsp:rsid wsp:val=&quot;00951372&quot;/&gt;&lt;wsp:rsid wsp:val=&quot;00952BEF&quot;/&gt;&lt;wsp:rsid wsp:val=&quot;00953DC7&quot;/&gt;&lt;wsp:rsid wsp:val=&quot;00956D9E&quot;/&gt;&lt;wsp:rsid wsp:val=&quot;00967E98&quot;/&gt;&lt;wsp:rsid wsp:val=&quot;009823AC&quot;/&gt;&lt;wsp:rsid wsp:val=&quot;009825D4&quot;/&gt;&lt;wsp:rsid wsp:val=&quot;00982CF2&quot;/&gt;&lt;wsp:rsid wsp:val=&quot;00985906&quot;/&gt;&lt;wsp:rsid wsp:val=&quot;00985A4B&quot;/&gt;&lt;wsp:rsid wsp:val=&quot;00991280&quot;/&gt;&lt;wsp:rsid wsp:val=&quot;00991299&quot;/&gt;&lt;wsp:rsid wsp:val=&quot;00991634&quot;/&gt;&lt;wsp:rsid wsp:val=&quot;00991793&quot;/&gt;&lt;wsp:rsid wsp:val=&quot;00991D33&quot;/&gt;&lt;wsp:rsid wsp:val=&quot;009A09B1&quot;/&gt;&lt;wsp:rsid wsp:val=&quot;009A22EF&quot;/&gt;&lt;wsp:rsid wsp:val=&quot;009A34AC&quot;/&gt;&lt;wsp:rsid wsp:val=&quot;009A451A&quot;/&gt;&lt;wsp:rsid wsp:val=&quot;009B1822&quot;/&gt;&lt;wsp:rsid wsp:val=&quot;009B3C0B&quot;/&gt;&lt;wsp:rsid wsp:val=&quot;009B7114&quot;/&gt;&lt;wsp:rsid wsp:val=&quot;009B787C&quot;/&gt;&lt;wsp:rsid wsp:val=&quot;009C0B3F&quot;/&gt;&lt;wsp:rsid wsp:val=&quot;009C15C2&quot;/&gt;&lt;wsp:rsid wsp:val=&quot;009C17FB&quot;/&gt;&lt;wsp:rsid wsp:val=&quot;009C302D&quot;/&gt;&lt;wsp:rsid wsp:val=&quot;009C364F&quot;/&gt;&lt;wsp:rsid wsp:val=&quot;009C7337&quot;/&gt;&lt;wsp:rsid wsp:val=&quot;009D2F7F&quot;/&gt;&lt;wsp:rsid wsp:val=&quot;009D3092&quot;/&gt;&lt;wsp:rsid wsp:val=&quot;009D3815&quot;/&gt;&lt;wsp:rsid wsp:val=&quot;009D4193&quot;/&gt;&lt;wsp:rsid wsp:val=&quot;009D6E55&quot;/&gt;&lt;wsp:rsid wsp:val=&quot;009E002B&quot;/&gt;&lt;wsp:rsid wsp:val=&quot;009E01FB&quot;/&gt;&lt;wsp:rsid wsp:val=&quot;009E2FE1&quot;/&gt;&lt;wsp:rsid wsp:val=&quot;009E5273&quot;/&gt;&lt;wsp:rsid wsp:val=&quot;009F0CCA&quot;/&gt;&lt;wsp:rsid wsp:val=&quot;009F1712&quot;/&gt;&lt;wsp:rsid wsp:val=&quot;009F51D3&quot;/&gt;&lt;wsp:rsid wsp:val=&quot;009F6747&quot;/&gt;&lt;wsp:rsid wsp:val=&quot;00A01C0E&quot;/&gt;&lt;wsp:rsid wsp:val=&quot;00A033D1&quot;/&gt;&lt;wsp:rsid wsp:val=&quot;00A0427F&quot;/&gt;&lt;wsp:rsid wsp:val=&quot;00A05513&quot;/&gt;&lt;wsp:rsid wsp:val=&quot;00A05682&quot;/&gt;&lt;wsp:rsid wsp:val=&quot;00A064BD&quot;/&gt;&lt;wsp:rsid wsp:val=&quot;00A10308&quot;/&gt;&lt;wsp:rsid wsp:val=&quot;00A11299&quot;/&gt;&lt;wsp:rsid wsp:val=&quot;00A13DA4&quot;/&gt;&lt;wsp:rsid wsp:val=&quot;00A150C6&quot;/&gt;&lt;wsp:rsid wsp:val=&quot;00A20A5B&quot;/&gt;&lt;wsp:rsid wsp:val=&quot;00A20B15&quot;/&gt;&lt;wsp:rsid wsp:val=&quot;00A21723&quot;/&gt;&lt;wsp:rsid wsp:val=&quot;00A22AA8&quot;/&gt;&lt;wsp:rsid wsp:val=&quot;00A23B1E&quot;/&gt;&lt;wsp:rsid wsp:val=&quot;00A246AB&quot;/&gt;&lt;wsp:rsid wsp:val=&quot;00A25570&quot;/&gt;&lt;wsp:rsid wsp:val=&quot;00A30888&quot;/&gt;&lt;wsp:rsid wsp:val=&quot;00A3128D&quot;/&gt;&lt;wsp:rsid wsp:val=&quot;00A327B1&quot;/&gt;&lt;wsp:rsid wsp:val=&quot;00A330C0&quot;/&gt;&lt;wsp:rsid wsp:val=&quot;00A33640&quot;/&gt;&lt;wsp:rsid wsp:val=&quot;00A3382F&quot;/&gt;&lt;wsp:rsid wsp:val=&quot;00A34D27&quot;/&gt;&lt;wsp:rsid wsp:val=&quot;00A35B88&quot;/&gt;&lt;wsp:rsid wsp:val=&quot;00A36B02&quot;/&gt;&lt;wsp:rsid wsp:val=&quot;00A41149&quot;/&gt;&lt;wsp:rsid wsp:val=&quot;00A41E55&quot;/&gt;&lt;wsp:rsid wsp:val=&quot;00A4209E&quot;/&gt;&lt;wsp:rsid wsp:val=&quot;00A4364D&quot;/&gt;&lt;wsp:rsid wsp:val=&quot;00A45120&quot;/&gt;&lt;wsp:rsid wsp:val=&quot;00A46FB0&quot;/&gt;&lt;wsp:rsid wsp:val=&quot;00A47F1F&quot;/&gt;&lt;wsp:rsid wsp:val=&quot;00A54050&quot;/&gt;&lt;wsp:rsid wsp:val=&quot;00A54A93&quot;/&gt;&lt;wsp:rsid wsp:val=&quot;00A54E05&quot;/&gt;&lt;wsp:rsid wsp:val=&quot;00A57354&quot;/&gt;&lt;wsp:rsid wsp:val=&quot;00A601C1&quot;/&gt;&lt;wsp:rsid wsp:val=&quot;00A62026&quot;/&gt;&lt;wsp:rsid wsp:val=&quot;00A63610&quot;/&gt;&lt;wsp:rsid wsp:val=&quot;00A6392A&quot;/&gt;&lt;wsp:rsid wsp:val=&quot;00A65DF0&quot;/&gt;&lt;wsp:rsid wsp:val=&quot;00A70D30&quot;/&gt;&lt;wsp:rsid wsp:val=&quot;00A747AF&quot;/&gt;&lt;wsp:rsid wsp:val=&quot;00A77219&quot;/&gt;&lt;wsp:rsid wsp:val=&quot;00A82AC3&quot;/&gt;&lt;wsp:rsid wsp:val=&quot;00A82C63&quot;/&gt;&lt;wsp:rsid wsp:val=&quot;00A864A5&quot;/&gt;&lt;wsp:rsid wsp:val=&quot;00A9246F&quot;/&gt;&lt;wsp:rsid wsp:val=&quot;00A92B23&quot;/&gt;&lt;wsp:rsid wsp:val=&quot;00A95D07&quot;/&gt;&lt;wsp:rsid wsp:val=&quot;00A96A3A&quot;/&gt;&lt;wsp:rsid wsp:val=&quot;00A96CC2&quot;/&gt;&lt;wsp:rsid wsp:val=&quot;00A96F6B&quot;/&gt;&lt;wsp:rsid wsp:val=&quot;00A97B7A&quot;/&gt;&lt;wsp:rsid wsp:val=&quot;00AA2FAB&quot;/&gt;&lt;wsp:rsid wsp:val=&quot;00AA5DD7&quot;/&gt;&lt;wsp:rsid wsp:val=&quot;00AA62CC&quot;/&gt;&lt;wsp:rsid wsp:val=&quot;00AA7963&quot;/&gt;&lt;wsp:rsid wsp:val=&quot;00AB137F&quot;/&gt;&lt;wsp:rsid wsp:val=&quot;00AB287A&quot;/&gt;&lt;wsp:rsid wsp:val=&quot;00AB37C1&quot;/&gt;&lt;wsp:rsid wsp:val=&quot;00AB3C49&quot;/&gt;&lt;wsp:rsid wsp:val=&quot;00AB68FF&quot;/&gt;&lt;wsp:rsid wsp:val=&quot;00AC11BD&quot;/&gt;&lt;wsp:rsid wsp:val=&quot;00AC26E8&quot;/&gt;&lt;wsp:rsid wsp:val=&quot;00AC3391&quot;/&gt;&lt;wsp:rsid wsp:val=&quot;00AC51AF&quot;/&gt;&lt;wsp:rsid wsp:val=&quot;00AC6CA9&quot;/&gt;&lt;wsp:rsid wsp:val=&quot;00AC7E68&quot;/&gt;&lt;wsp:rsid wsp:val=&quot;00AD333B&quot;/&gt;&lt;wsp:rsid wsp:val=&quot;00AD3A56&quot;/&gt;&lt;wsp:rsid wsp:val=&quot;00AD3BA3&quot;/&gt;&lt;wsp:rsid wsp:val=&quot;00AD42D7&quot;/&gt;&lt;wsp:rsid wsp:val=&quot;00AE108D&quot;/&gt;&lt;wsp:rsid wsp:val=&quot;00AE10D6&quot;/&gt;&lt;wsp:rsid wsp:val=&quot;00AE45C5&quot;/&gt;&lt;wsp:rsid wsp:val=&quot;00AE5F56&quot;/&gt;&lt;wsp:rsid wsp:val=&quot;00AE675F&quot;/&gt;&lt;wsp:rsid wsp:val=&quot;00AF2735&quot;/&gt;&lt;wsp:rsid wsp:val=&quot;00AF4BF0&quot;/&gt;&lt;wsp:rsid wsp:val=&quot;00AF539A&quot;/&gt;&lt;wsp:rsid wsp:val=&quot;00B07E56&quot;/&gt;&lt;wsp:rsid wsp:val=&quot;00B11796&quot;/&gt;&lt;wsp:rsid wsp:val=&quot;00B137BB&quot;/&gt;&lt;wsp:rsid wsp:val=&quot;00B20FB3&quot;/&gt;&lt;wsp:rsid wsp:val=&quot;00B23C19&quot;/&gt;&lt;wsp:rsid wsp:val=&quot;00B24C9E&quot;/&gt;&lt;wsp:rsid wsp:val=&quot;00B252B0&quot;/&gt;&lt;wsp:rsid wsp:val=&quot;00B25410&quot;/&gt;&lt;wsp:rsid wsp:val=&quot;00B26F3E&quot;/&gt;&lt;wsp:rsid wsp:val=&quot;00B32141&quot;/&gt;&lt;wsp:rsid wsp:val=&quot;00B3284E&quot;/&gt;&lt;wsp:rsid wsp:val=&quot;00B3611C&quot;/&gt;&lt;wsp:rsid wsp:val=&quot;00B40240&quot;/&gt;&lt;wsp:rsid wsp:val=&quot;00B45FC2&quot;/&gt;&lt;wsp:rsid wsp:val=&quot;00B51C36&quot;/&gt;&lt;wsp:rsid wsp:val=&quot;00B51E9F&quot;/&gt;&lt;wsp:rsid wsp:val=&quot;00B60342&quot;/&gt;&lt;wsp:rsid wsp:val=&quot;00B62D9F&quot;/&gt;&lt;wsp:rsid wsp:val=&quot;00B62DBA&quot;/&gt;&lt;wsp:rsid wsp:val=&quot;00B634FD&quot;/&gt;&lt;wsp:rsid wsp:val=&quot;00B6502C&quot;/&gt;&lt;wsp:rsid wsp:val=&quot;00B6694C&quot;/&gt;&lt;wsp:rsid wsp:val=&quot;00B66CA2&quot;/&gt;&lt;wsp:rsid wsp:val=&quot;00B66F6A&quot;/&gt;&lt;wsp:rsid wsp:val=&quot;00B67C86&quot;/&gt;&lt;wsp:rsid wsp:val=&quot;00B703DD&quot;/&gt;&lt;wsp:rsid wsp:val=&quot;00B727F9&quot;/&gt;&lt;wsp:rsid wsp:val=&quot;00B72801&quot;/&gt;&lt;wsp:rsid wsp:val=&quot;00B75A1F&quot;/&gt;&lt;wsp:rsid wsp:val=&quot;00B772B4&quot;/&gt;&lt;wsp:rsid wsp:val=&quot;00B7748D&quot;/&gt;&lt;wsp:rsid wsp:val=&quot;00B77FC5&quot;/&gt;&lt;wsp:rsid wsp:val=&quot;00B80D1C&quot;/&gt;&lt;wsp:rsid wsp:val=&quot;00B80E06&quot;/&gt;&lt;wsp:rsid wsp:val=&quot;00B82B8F&quot;/&gt;&lt;wsp:rsid wsp:val=&quot;00B84D53&quot;/&gt;&lt;wsp:rsid wsp:val=&quot;00B8503A&quot;/&gt;&lt;wsp:rsid wsp:val=&quot;00B866DF&quot;/&gt;&lt;wsp:rsid wsp:val=&quot;00B86AB4&quot;/&gt;&lt;wsp:rsid wsp:val=&quot;00B90A72&quot;/&gt;&lt;wsp:rsid wsp:val=&quot;00B92384&quot;/&gt;&lt;wsp:rsid wsp:val=&quot;00B958EB&quot;/&gt;&lt;wsp:rsid wsp:val=&quot;00BA0758&quot;/&gt;&lt;wsp:rsid wsp:val=&quot;00BA1258&quot;/&gt;&lt;wsp:rsid wsp:val=&quot;00BA4375&quot;/&gt;&lt;wsp:rsid wsp:val=&quot;00BA5014&quot;/&gt;&lt;wsp:rsid wsp:val=&quot;00BA793F&quot;/&gt;&lt;wsp:rsid wsp:val=&quot;00BB1A37&quot;/&gt;&lt;wsp:rsid wsp:val=&quot;00BB2184&quot;/&gt;&lt;wsp:rsid wsp:val=&quot;00BB3CA7&quot;/&gt;&lt;wsp:rsid wsp:val=&quot;00BB4ACE&quot;/&gt;&lt;wsp:rsid wsp:val=&quot;00BB6692&quot;/&gt;&lt;wsp:rsid wsp:val=&quot;00BB6D99&quot;/&gt;&lt;wsp:rsid wsp:val=&quot;00BC0772&quot;/&gt;&lt;wsp:rsid wsp:val=&quot;00BC6581&quot;/&gt;&lt;wsp:rsid wsp:val=&quot;00BC7E17&quot;/&gt;&lt;wsp:rsid wsp:val=&quot;00BD095D&quot;/&gt;&lt;wsp:rsid wsp:val=&quot;00BD1569&quot;/&gt;&lt;wsp:rsid wsp:val=&quot;00BD7034&quot;/&gt;&lt;wsp:rsid wsp:val=&quot;00BE27B6&quot;/&gt;&lt;wsp:rsid wsp:val=&quot;00BF16E4&quot;/&gt;&lt;wsp:rsid wsp:val=&quot;00BF5150&quot;/&gt;&lt;wsp:rsid wsp:val=&quot;00BF69F5&quot;/&gt;&lt;wsp:rsid wsp:val=&quot;00C00151&quot;/&gt;&lt;wsp:rsid wsp:val=&quot;00C03167&quot;/&gt;&lt;wsp:rsid wsp:val=&quot;00C05879&quot;/&gt;&lt;wsp:rsid wsp:val=&quot;00C067F5&quot;/&gt;&lt;wsp:rsid wsp:val=&quot;00C1093A&quot;/&gt;&lt;wsp:rsid wsp:val=&quot;00C12273&quot;/&gt;&lt;wsp:rsid wsp:val=&quot;00C12F86&quot;/&gt;&lt;wsp:rsid wsp:val=&quot;00C14A15&quot;/&gt;&lt;wsp:rsid wsp:val=&quot;00C16414&quot;/&gt;&lt;wsp:rsid wsp:val=&quot;00C16B57&quot;/&gt;&lt;wsp:rsid wsp:val=&quot;00C1714D&quot;/&gt;&lt;wsp:rsid wsp:val=&quot;00C17C2B&quot;/&gt;&lt;wsp:rsid wsp:val=&quot;00C20566&quot;/&gt;&lt;wsp:rsid wsp:val=&quot;00C217A1&quot;/&gt;&lt;wsp:rsid wsp:val=&quot;00C2544A&quot;/&gt;&lt;wsp:rsid wsp:val=&quot;00C318EA&quot;/&gt;&lt;wsp:rsid wsp:val=&quot;00C31A04&quot;/&gt;&lt;wsp:rsid wsp:val=&quot;00C33C64&quot;/&gt;&lt;wsp:rsid wsp:val=&quot;00C344B0&quot;/&gt;&lt;wsp:rsid wsp:val=&quot;00C372DE&quot;/&gt;&lt;wsp:rsid wsp:val=&quot;00C375AE&quot;/&gt;&lt;wsp:rsid wsp:val=&quot;00C40514&quot;/&gt;&lt;wsp:rsid wsp:val=&quot;00C41DF0&quot;/&gt;&lt;wsp:rsid wsp:val=&quot;00C43508&quot;/&gt;&lt;wsp:rsid wsp:val=&quot;00C43ACC&quot;/&gt;&lt;wsp:rsid wsp:val=&quot;00C45AD6&quot;/&gt;&lt;wsp:rsid wsp:val=&quot;00C45DB1&quot;/&gt;&lt;wsp:rsid wsp:val=&quot;00C4618A&quot;/&gt;&lt;wsp:rsid wsp:val=&quot;00C46D0F&quot;/&gt;&lt;wsp:rsid wsp:val=&quot;00C50228&quot;/&gt;&lt;wsp:rsid wsp:val=&quot;00C544D3&quot;/&gt;&lt;wsp:rsid wsp:val=&quot;00C61D6A&quot;/&gt;&lt;wsp:rsid wsp:val=&quot;00C66A6A&quot;/&gt;&lt;wsp:rsid wsp:val=&quot;00C70455&quot;/&gt;&lt;wsp:rsid wsp:val=&quot;00C71679&quot;/&gt;&lt;wsp:rsid wsp:val=&quot;00C752C9&quot;/&gt;&lt;wsp:rsid wsp:val=&quot;00C80FA6&quot;/&gt;&lt;wsp:rsid wsp:val=&quot;00C8371F&quot;/&gt;&lt;wsp:rsid wsp:val=&quot;00C83D84&quot;/&gt;&lt;wsp:rsid wsp:val=&quot;00C84708&quot;/&gt;&lt;wsp:rsid wsp:val=&quot;00C860B9&quot;/&gt;&lt;wsp:rsid wsp:val=&quot;00C86E11&quot;/&gt;&lt;wsp:rsid wsp:val=&quot;00C90147&quot;/&gt;&lt;wsp:rsid wsp:val=&quot;00C90FD1&quot;/&gt;&lt;wsp:rsid wsp:val=&quot;00C918FA&quot;/&gt;&lt;wsp:rsid wsp:val=&quot;00C93927&quot;/&gt;&lt;wsp:rsid wsp:val=&quot;00C94F5C&quot;/&gt;&lt;wsp:rsid wsp:val=&quot;00C95606&quot;/&gt;&lt;wsp:rsid wsp:val=&quot;00C97F1A&quot;/&gt;&lt;wsp:rsid wsp:val=&quot;00C97F9F&quot;/&gt;&lt;wsp:rsid wsp:val=&quot;00CA0049&quot;/&gt;&lt;wsp:rsid wsp:val=&quot;00CA4308&quot;/&gt;&lt;wsp:rsid wsp:val=&quot;00CA6251&quot;/&gt;&lt;wsp:rsid wsp:val=&quot;00CA722F&quot;/&gt;&lt;wsp:rsid wsp:val=&quot;00CB1232&quot;/&gt;&lt;wsp:rsid wsp:val=&quot;00CB3E43&quot;/&gt;&lt;wsp:rsid wsp:val=&quot;00CB52E5&quot;/&gt;&lt;wsp:rsid wsp:val=&quot;00CB5C9B&quot;/&gt;&lt;wsp:rsid wsp:val=&quot;00CD00FB&quot;/&gt;&lt;wsp:rsid wsp:val=&quot;00CD1085&quot;/&gt;&lt;wsp:rsid wsp:val=&quot;00CD2470&quot;/&gt;&lt;wsp:rsid wsp:val=&quot;00CD42C2&quot;/&gt;&lt;wsp:rsid wsp:val=&quot;00CD6464&quot;/&gt;&lt;wsp:rsid wsp:val=&quot;00CD7B49&quot;/&gt;&lt;wsp:rsid wsp:val=&quot;00CE08CF&quot;/&gt;&lt;wsp:rsid wsp:val=&quot;00CE0A65&quot;/&gt;&lt;wsp:rsid wsp:val=&quot;00CE32DE&quot;/&gt;&lt;wsp:rsid wsp:val=&quot;00CE382F&quot;/&gt;&lt;wsp:rsid wsp:val=&quot;00CE4CB3&quot;/&gt;&lt;wsp:rsid wsp:val=&quot;00CE5186&quot;/&gt;&lt;wsp:rsid wsp:val=&quot;00CE59D4&quot;/&gt;&lt;wsp:rsid wsp:val=&quot;00CE6AFE&quot;/&gt;&lt;wsp:rsid wsp:val=&quot;00CE7487&quot;/&gt;&lt;wsp:rsid wsp:val=&quot;00CF0C29&quot;/&gt;&lt;wsp:rsid wsp:val=&quot;00CF2317&quot;/&gt;&lt;wsp:rsid wsp:val=&quot;00CF2FD9&quot;/&gt;&lt;wsp:rsid wsp:val=&quot;00CF751B&quot;/&gt;&lt;wsp:rsid wsp:val=&quot;00D04B2C&quot;/&gt;&lt;wsp:rsid wsp:val=&quot;00D06BFF&quot;/&gt;&lt;wsp:rsid wsp:val=&quot;00D11606&quot;/&gt;&lt;wsp:rsid wsp:val=&quot;00D1438A&quot;/&gt;&lt;wsp:rsid wsp:val=&quot;00D1549A&quot;/&gt;&lt;wsp:rsid wsp:val=&quot;00D21D3A&quot;/&gt;&lt;wsp:rsid wsp:val=&quot;00D228A7&quot;/&gt;&lt;wsp:rsid wsp:val=&quot;00D26696&quot;/&gt;&lt;wsp:rsid wsp:val=&quot;00D26B7A&quot;/&gt;&lt;wsp:rsid wsp:val=&quot;00D27B3A&quot;/&gt;&lt;wsp:rsid wsp:val=&quot;00D32940&quot;/&gt;&lt;wsp:rsid wsp:val=&quot;00D3365E&quot;/&gt;&lt;wsp:rsid wsp:val=&quot;00D3376C&quot;/&gt;&lt;wsp:rsid wsp:val=&quot;00D44E3B&quot;/&gt;&lt;wsp:rsid wsp:val=&quot;00D522B2&quot;/&gt;&lt;wsp:rsid wsp:val=&quot;00D53297&quot;/&gt;&lt;wsp:rsid wsp:val=&quot;00D550FD&quot;/&gt;&lt;wsp:rsid wsp:val=&quot;00D603EC&quot;/&gt;&lt;wsp:rsid wsp:val=&quot;00D626CA&quot;/&gt;&lt;wsp:rsid wsp:val=&quot;00D67F5E&quot;/&gt;&lt;wsp:rsid wsp:val=&quot;00D71757&quot;/&gt;&lt;wsp:rsid wsp:val=&quot;00D72CC8&quot;/&gt;&lt;wsp:rsid wsp:val=&quot;00D75B66&quot;/&gt;&lt;wsp:rsid wsp:val=&quot;00D75B94&quot;/&gt;&lt;wsp:rsid wsp:val=&quot;00D76ECB&quot;/&gt;&lt;wsp:rsid wsp:val=&quot;00D8046A&quot;/&gt;&lt;wsp:rsid wsp:val=&quot;00D81333&quot;/&gt;&lt;wsp:rsid wsp:val=&quot;00D83BCA&quot;/&gt;&lt;wsp:rsid wsp:val=&quot;00D844C7&quot;/&gt;&lt;wsp:rsid wsp:val=&quot;00D913ED&quot;/&gt;&lt;wsp:rsid wsp:val=&quot;00D936AF&quot;/&gt;&lt;wsp:rsid wsp:val=&quot;00D94B8B&quot;/&gt;&lt;wsp:rsid wsp:val=&quot;00D96F1B&quot;/&gt;&lt;wsp:rsid wsp:val=&quot;00DA37B6&quot;/&gt;&lt;wsp:rsid wsp:val=&quot;00DA433F&quot;/&gt;&lt;wsp:rsid wsp:val=&quot;00DA4374&quot;/&gt;&lt;wsp:rsid wsp:val=&quot;00DA5644&quot;/&gt;&lt;wsp:rsid wsp:val=&quot;00DA7191&quot;/&gt;&lt;wsp:rsid wsp:val=&quot;00DB585F&quot;/&gt;&lt;wsp:rsid wsp:val=&quot;00DB5ABF&quot;/&gt;&lt;wsp:rsid wsp:val=&quot;00DB702F&quot;/&gt;&lt;wsp:rsid wsp:val=&quot;00DC079A&quot;/&gt;&lt;wsp:rsid wsp:val=&quot;00DC169F&quot;/&gt;&lt;wsp:rsid wsp:val=&quot;00DC27C6&quot;/&gt;&lt;wsp:rsid wsp:val=&quot;00DC2F18&quot;/&gt;&lt;wsp:rsid wsp:val=&quot;00DC37B8&quot;/&gt;&lt;wsp:rsid wsp:val=&quot;00DC6136&quot;/&gt;&lt;wsp:rsid wsp:val=&quot;00DC633B&quot;/&gt;&lt;wsp:rsid wsp:val=&quot;00DD4786&quot;/&gt;&lt;wsp:rsid wsp:val=&quot;00DD566F&quot;/&gt;&lt;wsp:rsid wsp:val=&quot;00DE0453&quot;/&gt;&lt;wsp:rsid wsp:val=&quot;00DE165B&quot;/&gt;&lt;wsp:rsid wsp:val=&quot;00DE17A0&quot;/&gt;&lt;wsp:rsid wsp:val=&quot;00DE1A20&quot;/&gt;&lt;wsp:rsid wsp:val=&quot;00DE27E9&quot;/&gt;&lt;wsp:rsid wsp:val=&quot;00DE4103&quot;/&gt;&lt;wsp:rsid wsp:val=&quot;00DE63B6&quot;/&gt;&lt;wsp:rsid wsp:val=&quot;00DE6B4B&quot;/&gt;&lt;wsp:rsid wsp:val=&quot;00DF5123&quot;/&gt;&lt;wsp:rsid wsp:val=&quot;00DF58B7&quot;/&gt;&lt;wsp:rsid wsp:val=&quot;00DF6D22&quot;/&gt;&lt;wsp:rsid wsp:val=&quot;00DF6FED&quot;/&gt;&lt;wsp:rsid wsp:val=&quot;00DF768D&quot;/&gt;&lt;wsp:rsid wsp:val=&quot;00E00446&quot;/&gt;&lt;wsp:rsid wsp:val=&quot;00E01A5D&quot;/&gt;&lt;wsp:rsid wsp:val=&quot;00E02619&quot;/&gt;&lt;wsp:rsid wsp:val=&quot;00E0318E&quot;/&gt;&lt;wsp:rsid wsp:val=&quot;00E04DAC&quot;/&gt;&lt;wsp:rsid wsp:val=&quot;00E17120&quot;/&gt;&lt;wsp:rsid wsp:val=&quot;00E208DC&quot;/&gt;&lt;wsp:rsid wsp:val=&quot;00E239CD&quot;/&gt;&lt;wsp:rsid wsp:val=&quot;00E241D7&quot;/&gt;&lt;wsp:rsid wsp:val=&quot;00E249FA&quot;/&gt;&lt;wsp:rsid wsp:val=&quot;00E2673C&quot;/&gt;&lt;wsp:rsid wsp:val=&quot;00E303FB&quot;/&gt;&lt;wsp:rsid wsp:val=&quot;00E31CFC&quot;/&gt;&lt;wsp:rsid wsp:val=&quot;00E34DF9&quot;/&gt;&lt;wsp:rsid wsp:val=&quot;00E40247&quot;/&gt;&lt;wsp:rsid wsp:val=&quot;00E41337&quot;/&gt;&lt;wsp:rsid wsp:val=&quot;00E41A9B&quot;/&gt;&lt;wsp:rsid wsp:val=&quot;00E452A2&quot;/&gt;&lt;wsp:rsid wsp:val=&quot;00E453E5&quot;/&gt;&lt;wsp:rsid wsp:val=&quot;00E46FEA&quot;/&gt;&lt;wsp:rsid wsp:val=&quot;00E470AE&quot;/&gt;&lt;wsp:rsid wsp:val=&quot;00E51412&quot;/&gt;&lt;wsp:rsid wsp:val=&quot;00E53239&quot;/&gt;&lt;wsp:rsid wsp:val=&quot;00E61084&quot;/&gt;&lt;wsp:rsid wsp:val=&quot;00E6269F&quot;/&gt;&lt;wsp:rsid wsp:val=&quot;00E6794B&quot;/&gt;&lt;wsp:rsid wsp:val=&quot;00E71A72&quot;/&gt;&lt;wsp:rsid wsp:val=&quot;00E74E79&quot;/&gt;&lt;wsp:rsid wsp:val=&quot;00E75EE5&quot;/&gt;&lt;wsp:rsid wsp:val=&quot;00E8139C&quot;/&gt;&lt;wsp:rsid wsp:val=&quot;00E8140E&quot;/&gt;&lt;wsp:rsid wsp:val=&quot;00E838D7&quot;/&gt;&lt;wsp:rsid wsp:val=&quot;00E83A9E&quot;/&gt;&lt;wsp:rsid wsp:val=&quot;00E84804&quot;/&gt;&lt;wsp:rsid wsp:val=&quot;00E84AAC&quot;/&gt;&lt;wsp:rsid wsp:val=&quot;00E8627D&quot;/&gt;&lt;wsp:rsid wsp:val=&quot;00E86AF6&quot;/&gt;&lt;wsp:rsid wsp:val=&quot;00E875EB&quot;/&gt;&lt;wsp:rsid wsp:val=&quot;00E93B11&quot;/&gt;&lt;wsp:rsid wsp:val=&quot;00E942C3&quot;/&gt;&lt;wsp:rsid wsp:val=&quot;00EA3292&quot;/&gt;&lt;wsp:rsid wsp:val=&quot;00EA33FB&quot;/&gt;&lt;wsp:rsid wsp:val=&quot;00EA5967&quot;/&gt;&lt;wsp:rsid wsp:val=&quot;00EA61DD&quot;/&gt;&lt;wsp:rsid wsp:val=&quot;00EA722F&quot;/&gt;&lt;wsp:rsid wsp:val=&quot;00EB1416&quot;/&gt;&lt;wsp:rsid wsp:val=&quot;00EB1451&quot;/&gt;&lt;wsp:rsid wsp:val=&quot;00EB18C7&quot;/&gt;&lt;wsp:rsid wsp:val=&quot;00EB19DC&quot;/&gt;&lt;wsp:rsid wsp:val=&quot;00EB7B09&quot;/&gt;&lt;wsp:rsid wsp:val=&quot;00EC2CC7&quot;/&gt;&lt;wsp:rsid wsp:val=&quot;00EC3651&quot;/&gt;&lt;wsp:rsid wsp:val=&quot;00EC4BC0&quot;/&gt;&lt;wsp:rsid wsp:val=&quot;00EC55E3&quot;/&gt;&lt;wsp:rsid wsp:val=&quot;00EC63FC&quot;/&gt;&lt;wsp:rsid wsp:val=&quot;00EC7B6E&quot;/&gt;&lt;wsp:rsid wsp:val=&quot;00ED2436&quot;/&gt;&lt;wsp:rsid wsp:val=&quot;00ED2F8B&quot;/&gt;&lt;wsp:rsid wsp:val=&quot;00ED354E&quot;/&gt;&lt;wsp:rsid wsp:val=&quot;00ED36AD&quot;/&gt;&lt;wsp:rsid wsp:val=&quot;00ED542C&quot;/&gt;&lt;wsp:rsid wsp:val=&quot;00ED6DB5&quot;/&gt;&lt;wsp:rsid wsp:val=&quot;00EE27A1&quot;/&gt;&lt;wsp:rsid wsp:val=&quot;00EE27AB&quot;/&gt;&lt;wsp:rsid wsp:val=&quot;00EE47CB&quot;/&gt;&lt;wsp:rsid wsp:val=&quot;00EE7F0C&quot;/&gt;&lt;wsp:rsid wsp:val=&quot;00EF37B9&quot;/&gt;&lt;wsp:rsid wsp:val=&quot;00EF4734&quot;/&gt;&lt;wsp:rsid wsp:val=&quot;00EF7F85&quot;/&gt;&lt;wsp:rsid wsp:val=&quot;00F0097D&quot;/&gt;&lt;wsp:rsid wsp:val=&quot;00F0365A&quot;/&gt;&lt;wsp:rsid wsp:val=&quot;00F04E99&quot;/&gt;&lt;wsp:rsid wsp:val=&quot;00F07131&quot;/&gt;&lt;wsp:rsid wsp:val=&quot;00F07FB8&quot;/&gt;&lt;wsp:rsid wsp:val=&quot;00F1033D&quot;/&gt;&lt;wsp:rsid wsp:val=&quot;00F14205&quot;/&gt;&lt;wsp:rsid wsp:val=&quot;00F14A39&quot;/&gt;&lt;wsp:rsid wsp:val=&quot;00F14F91&quot;/&gt;&lt;wsp:rsid wsp:val=&quot;00F15236&quot;/&gt;&lt;wsp:rsid wsp:val=&quot;00F152A0&quot;/&gt;&lt;wsp:rsid wsp:val=&quot;00F1797C&quot;/&gt;&lt;wsp:rsid wsp:val=&quot;00F21565&quot;/&gt;&lt;wsp:rsid wsp:val=&quot;00F21F04&quot;/&gt;&lt;wsp:rsid wsp:val=&quot;00F22024&quot;/&gt;&lt;wsp:rsid wsp:val=&quot;00F224F3&quot;/&gt;&lt;wsp:rsid wsp:val=&quot;00F25769&quot;/&gt;&lt;wsp:rsid wsp:val=&quot;00F2576C&quot;/&gt;&lt;wsp:rsid wsp:val=&quot;00F26D97&quot;/&gt;&lt;wsp:rsid wsp:val=&quot;00F31F2E&quot;/&gt;&lt;wsp:rsid wsp:val=&quot;00F3658C&quot;/&gt;&lt;wsp:rsid wsp:val=&quot;00F36989&quot;/&gt;&lt;wsp:rsid wsp:val=&quot;00F36999&quot;/&gt;&lt;wsp:rsid wsp:val=&quot;00F41C95&quot;/&gt;&lt;wsp:rsid wsp:val=&quot;00F41E9B&quot;/&gt;&lt;wsp:rsid wsp:val=&quot;00F456B4&quot;/&gt;&lt;wsp:rsid wsp:val=&quot;00F457F1&quot;/&gt;&lt;wsp:rsid wsp:val=&quot;00F45C53&quot;/&gt;&lt;wsp:rsid wsp:val=&quot;00F46F9D&quot;/&gt;&lt;wsp:rsid wsp:val=&quot;00F47A83&quot;/&gt;&lt;wsp:rsid wsp:val=&quot;00F517BF&quot;/&gt;&lt;wsp:rsid wsp:val=&quot;00F52ADE&quot;/&gt;&lt;wsp:rsid wsp:val=&quot;00F531BB&quot;/&gt;&lt;wsp:rsid wsp:val=&quot;00F55353&quot;/&gt;&lt;wsp:rsid wsp:val=&quot;00F60D7C&quot;/&gt;&lt;wsp:rsid wsp:val=&quot;00F61737&quot;/&gt;&lt;wsp:rsid wsp:val=&quot;00F66887&quot;/&gt;&lt;wsp:rsid wsp:val=&quot;00F6741D&quot;/&gt;&lt;wsp:rsid wsp:val=&quot;00F756BA&quot;/&gt;&lt;wsp:rsid wsp:val=&quot;00F81C96&quot;/&gt;&lt;wsp:rsid wsp:val=&quot;00F8433A&quot;/&gt;&lt;wsp:rsid wsp:val=&quot;00F9181E&quot;/&gt;&lt;wsp:rsid wsp:val=&quot;00F9193D&quot;/&gt;&lt;wsp:rsid wsp:val=&quot;00FA11F4&quot;/&gt;&lt;wsp:rsid wsp:val=&quot;00FA18C2&quot;/&gt;&lt;wsp:rsid wsp:val=&quot;00FA1D72&quot;/&gt;&lt;wsp:rsid wsp:val=&quot;00FA242E&quot;/&gt;&lt;wsp:rsid wsp:val=&quot;00FA58CD&quot;/&gt;&lt;wsp:rsid wsp:val=&quot;00FA668A&quot;/&gt;&lt;wsp:rsid wsp:val=&quot;00FB0BD7&quot;/&gt;&lt;wsp:rsid wsp:val=&quot;00FB0C08&quot;/&gt;&lt;wsp:rsid wsp:val=&quot;00FB4F76&quot;/&gt;&lt;wsp:rsid wsp:val=&quot;00FB50AD&quot;/&gt;&lt;wsp:rsid wsp:val=&quot;00FB5DC7&quot;/&gt;&lt;wsp:rsid wsp:val=&quot;00FB6C4F&quot;/&gt;&lt;wsp:rsid wsp:val=&quot;00FC27B5&quot;/&gt;&lt;wsp:rsid wsp:val=&quot;00FC30A7&quot;/&gt;&lt;wsp:rsid wsp:val=&quot;00FC34BC&quot;/&gt;&lt;wsp:rsid wsp:val=&quot;00FC5F82&quot;/&gt;&lt;wsp:rsid wsp:val=&quot;00FC7CF2&quot;/&gt;&lt;wsp:rsid wsp:val=&quot;00FD2B67&quot;/&gt;&lt;wsp:rsid wsp:val=&quot;00FD336F&quot;/&gt;&lt;wsp:rsid wsp:val=&quot;00FD74EE&quot;/&gt;&lt;wsp:rsid wsp:val=&quot;00FF06C0&quot;/&gt;&lt;wsp:rsid wsp:val=&quot;00FF4E63&quot;/&gt;&lt;wsp:rsid wsp:val=&quot;00FF7BF1&quot;/&gt;&lt;/wsp:rsids&gt;&lt;/w:docPr&gt;&lt;w:body&gt;&lt;wx:sect&gt;&lt;w:p wsp:rsidR=&quot;00000000&quot; wsp:rsidRPr=&quot;00361CDD&quot; wsp:rsidRDefault=&quot;00361CDD&quot; wsp:rsidP=&quot;00361CDD&quot;&gt;&lt;aml:annotation aml:id=&quot;0&quot; w:type=&quot;Word.Insertion&quot; aml:author=&quot;Courtney Kennedy&quot; aml:createdate=&quot;2013-03-18T14:31:00Z&quot;&gt;&lt;aml:content&gt;&lt;m:oMathPara&gt;&lt;m:oMath&gt;&lt;m:r&gt;&lt;w:rPr&gt;&lt;w:rFonts w:ascii=&quot;Cambria Math&quot; w:fareast=&quot;Times New Roman&quot; w:h-ansi=&quot;Cambria Math&quot;/&gt;&lt;wx:font wx:val=&quot;Cambria Math&quot;/&gt;&lt;w:i/&gt;&lt;w:snapToGrid/&gt;&lt;/w:rPr&gt;&lt;m:t&gt;WT=&lt;/m:t&gt;&lt;/m:r&gt;&lt;m:f&gt;&lt;m:fPr&gt;&lt;m:ctrlPr&gt;&lt;w:rPr&gt;&lt;w:rFonts w:ascii=&quot;Cambria Math&quot; w:fareast=&quot;Times New Roman&quot; w:h-ansi=&quot;Cambria Math&quot;/&gt;&lt;wx:font wx:val=&quot;Cambria Math&quot;/&gt;&lt;w:i/&gt;&lt;w:snapToGrid/&gt;&lt;/w:rPr&gt;&lt;/m:ctrlPr&gt;&lt;/m:fPr&gt;&lt;m:num&gt;&lt;m:r&gt;&lt;w:rPr&gt;&lt;w:rFonts w:ascii=&quot;Cambria Math&quot; w:fareast=&quot;Times New Roman&quot; w:h-ansi=&quot;Cambria Math&quot;/&gt;&lt;wx:font wx:val=&quot;Cambria Math&quot;/&gt;&lt;w:i/&gt;&lt;w:snapToGrid/&gt;&lt;/w:rPr&gt;&lt;m:t&gt;1&lt;/m:t&gt;&lt;/m:r&gt;&lt;/m:num&gt;&lt;m:den&gt;&lt;m:d&gt;&lt;m:dPr&gt;&lt;m:ctrlPr&gt;&lt;w:rPr&gt;&lt;w:rFonts w:ascii=&quot;Cambria Math&quot; w:fareast=&quot;Times New Roman&quot; w:h-ansi=&quot;Cambria Math&quot;/&gt;&lt;wx:font wx:val=&quot;Cambria Math&quot;/&gt;&lt;w:i/&gt;&lt;w:snapToGrid/&gt;&lt;/w:rPr&gt;&lt;/m:ctrlPr&gt;&lt;/m:dPr&gt;&lt;m:e&gt;&lt;m:f&gt;&lt;m:fPr&gt;&lt;m:ctrlPr&gt;&lt;w:rPr&gt;&lt;w:rFonts w:ascii=&quot;Cambria Math&quot; w:fareast=&quot;Times New Roman&quot; w:h-ansi=&quot;Cambria Math&quot;/&gt;&lt;wx:font wx:val=&quot;Cambria Math&quot;/&gt;&lt;w:i/&gt;&lt;w:snapToGrid/&gt;&lt;/w:rPr&gt;&lt;/m:ctrlPr&gt;&lt;/m:fPr&gt;&lt;m:num&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S&lt;/m:t&gt;&lt;/m:r&gt;&lt;/m:e&gt;&lt;m:sub&gt;&lt;m:r&gt;&lt;w:rPr&gt;&lt;w:rFonts w:ascii=&quot;Cambria Math&quot; w:fareast=&quot;Times New Roman&quot; w:h-ansi=&quot;Cambria Math&quot;/&gt;&lt;wx:font wx:val=&quot;Cambria Math&quot;/&gt;&lt;w:i/&gt;&lt;w:snapToGrid/&gt;&lt;/w:rPr&gt;&lt;m:t&gt;ll&lt;/m:t&gt;&lt;/m:r&gt;&lt;/m:sub&gt;&lt;/m:sSub&gt;&lt;/m:num&gt;&lt;m:den&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U&lt;/m:t&gt;&lt;/m:r&gt;&lt;/m:e&gt;&lt;m:sub&gt;&lt;m:r&gt;&lt;w:rPr&gt;&lt;w:rFonts w:ascii=&quot;Cambria Math&quot; w:fareast=&quot;Times New Roman&quot; w:h-ansi=&quot;Cambria Math&quot;/&gt;&lt;wx:font wx:val=&quot;Cambria Math&quot;/&gt;&lt;w:i/&gt;&lt;w:snapToGrid/&gt;&lt;/w:rPr&gt;&lt;m:t&gt;ll&lt;/m:t&gt;&lt;/m:r&gt;&lt;/m:sub&gt;&lt;/m:sSub&gt;&lt;/m:den&gt;&lt;/m:f&gt;&lt;m:r&gt;&lt;w:rPr&gt;&lt;w:rFonts w:ascii=&quot;Cambria Math&quot; w:fareast=&quot;Times New Roman&quot; w:h-ansi=&quot;Cambria Math&quot;/&gt;&lt;wx:font wx:val=&quot;Cambria Math&quot;/&gt;&lt;w:i/&gt;&lt;w:snapToGrid/&gt;&lt;/w:rPr&gt;&lt;m:t&gt;Ã—&lt;/m:t&gt;&lt;/m:r&gt;&lt;m:f&gt;&lt;m:fPr&gt;&lt;m:ctrlPr&gt;&lt;w:rPr&gt;&lt;w:rFonts w:ascii=&quot;Cambria Math&quot; w:fareast=&quot;Times New Roman&quot; w:h-ansi=&quot;Cambria Math&quot;/&gt;&lt;wx:font wx:val=&quot;Cambria Math&quot;/&gt;&lt;w:i/&gt;&lt;w:snapToGrid/&gt;&lt;/w:rPr&gt;&lt;/m:ctrlPr&gt;&lt;/m:fPr&gt;&lt;m:num&gt;&lt;m:r&gt;&lt;w:rPr&gt;&lt;w:rFonts w:ascii=&quot;Cambria Math&quot; w:fareast=&quot;Times New Roman&quot; w:h-ansi=&quot;Cambria Math&quot;/&gt;&lt;wx:font wx:val=&quot;Cambria Math&quot;/&gt;&lt;w:i/&gt;&lt;w:snapToGrid/&gt;&lt;/w:rPr&gt;&lt;m:t&gt;LL&lt;/m:t&gt;&lt;/m:r&gt;&lt;/m:num&gt;&lt;m:den&gt;&lt;m:r&gt;&lt;w:rPr&gt;&lt;w:rFonts w:ascii=&quot;Cambria Math&quot; w:fareast=&quot;Times New Roman&quot; w:h-ansi=&quot;Cambria Math&quot;/&gt;&lt;wx:font wx:val=&quot;Cambria Math&quot;/&gt;&lt;w:i/&gt;&lt;w:snapToGrid/&gt;&lt;/w:rPr&gt;&lt;m:t&gt;AD&lt;/m:t&gt;&lt;/m:r&gt;&lt;/m:den&gt;&lt;/m:f&gt;&lt;/m:e&gt;&lt;/m:d&gt;&lt;m:r&gt;&lt;w:rPr&gt;&lt;w:rFonts w:ascii=&quot;Cambria Math&quot; w:fareast=&quot;Times New Roman&quot; w:h-ansi=&quot;Cambria Math&quot;/&gt;&lt;wx:font wx:val=&quot;Cambria Math&quot;/&gt;&lt;w:i/&gt;&lt;w:snapToGrid/&gt;&lt;/w:rPr&gt;&lt;m:t&gt;+&lt;/m:t&gt;&lt;/m:r&gt;&lt;m:d&gt;&lt;m:dPr&gt;&lt;m:ctrlPr&gt;&lt;w:rPr&gt;&lt;w:rFonts w:ascii=&quot;Cambria Math&quot; w:fareast=&quot;Times New Roman&quot; w:h-ansi=&quot;Cambria Math&quot;/&gt;&lt;wx:font wx:val=&quot;Cambria Math&quot;/&gt;&lt;w:i/&gt;&lt;w:snapToGrid/&gt;&lt;/w:rPr&gt;&lt;/m:ctrlPr&gt;&lt;/m:dPr&gt;&lt;m:e&gt;&lt;m:f&gt;&lt;m:fPr&gt;&lt;m:ctrlPr&gt;&lt;w:rPr&gt;&lt;w:rFonts w:ascii=&quot;Cambria Math&quot; w:fareast=&quot;Times New Roman&quot; w:h-ansi=&quot;Cambria Math&quot;/&gt;&lt;wx:font wx:val=&quot;Cambria Math&quot;/&gt;&lt;w:i/&gt;&lt;w:snapToGrid/&gt;&lt;/w:rPr&gt;&lt;/m:ctrlPr&gt;&lt;/m:fPr&gt;&lt;m:num&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S&lt;/m:t&gt;&lt;/m:r&gt;&lt;/m:e&gt;&lt;m:sub&gt;&lt;m:r&gt;&lt;w:rPr&gt;&lt;w:rFonts w:ascii=&quot;Cambria Math&quot; w:fareast=&quot;Times New Roman&quot; w:h-ansi=&quot;Cambria Math&quot;/&gt;&lt;wx:font wx:val=&quot;Cambria Math&quot;/&gt;&lt;w:i/&gt;&lt;w:snapToGrid/&gt;&lt;/w:rPr&gt;&lt;m:t&gt;cp&lt;/m:t&gt;&lt;/m:r&gt;&lt;/m:sub&gt;&lt;/m:sSub&gt;&lt;/m:num&gt;&lt;m:den&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U&lt;/m:t&gt;&lt;/m:r&gt;&lt;/m:e&gt;&lt;m:sub&gt;&lt;m:r&gt;&lt;w:rPr&gt;&lt;w:rFonts w:ascii=&quot;Cambria Math&quot; w:fareast=&quot;Times New Roman&quot; w:h-ansi=&quot;Cambria Math&quot;/&gt;&lt;wx:font wx:val=&quot;Cambria Math&quot;/&gt;&lt;w:i/&gt;&lt;w:snapToGrid/&gt;&lt;/w:rPr&gt;&lt;m:t&gt;cp&lt;/m:t&gt;&lt;/m:r&gt;&lt;/m:sub&gt;&lt;/m:sSub&gt;&lt;/m:den&gt;&lt;/m:f&gt;&lt;m:r&gt;&lt;w:rPr&gt;&lt;w:rFonts w:ascii=&quot;Cambria Math&quot; w:fareast=&quot;Times New Roman&quot; w:h-ansi=&quot;Cambria Math&quot;/&gt;&lt;wx:font wx:val=&quot;Cambria Math&quot;/&gt;&lt;w:i/&gt;&lt;w:snapToGrid/&gt;&lt;/w:rPr&gt;&lt;m:t&gt;Ã—CP&lt;/m:t&gt;&lt;/m:r&gt;&lt;/m:e&gt;&lt;/m:d&gt;&lt;m:r&gt;&lt;w:rPr&gt;&lt;w:rFonts w:ascii=&quot;Cambria Math&quot; w:fareast=&quot;Times New Roman&quot; w:h-ansi=&quot;Cambria Math&quot;/&gt;&lt;wx:font wx:val=&quot;Cambria Math&quot;/&gt;&lt;w:i/&gt;&lt;w:snapToGrid/&gt;&lt;/w:rPr&gt;&lt;m:t&gt;-&lt;/m:t&gt;&lt;/m:r&gt;&lt;m:d&gt;&lt;m:dPr&gt;&lt;m:ctrlPr&gt;&lt;w:rPr&gt;&lt;w:rFonts w:ascii=&quot;Cambria Math&quot; w:fareast=&quot;Times New Roman&quot; w:h-ansi=&quot;Cambria Math&quot;/&gt;&lt;wx:font wx:val=&quot;Cambria Math&quot;/&gt;&lt;w:i/&gt;&lt;w:snapToGrid/&gt;&lt;/w:rPr&gt;&lt;/m:ctrlPr&gt;&lt;/m:dPr&gt;&lt;m:e&gt;&lt;m:f&gt;&lt;m:fPr&gt;&lt;m:ctrlPr&gt;&lt;w:rPr&gt;&lt;w:rFonts w:ascii=&quot;Cambria Math&quot; w:fareast=&quot;Times New Roman&quot; w:h-ansi=&quot;Cambria Math&quot;/&gt;&lt;wx:font wx:val=&quot;Cambria Math&quot;/&gt;&lt;w:i/&gt;&lt;w:snapToGrid/&gt;&lt;/w:rPr&gt;&lt;/m:ctrlPr&gt;&lt;/m:fPr&gt;&lt;m:num&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S&lt;/m:t&gt;&lt;/m:r&gt;&lt;/m:e&gt;&lt;m:sub&gt;&lt;m:r&gt;&lt;w:rPr&gt;&lt;w:rFonts w:ascii=&quot;Cambria Math&quot; w:fareast=&quot;Times New Roman&quot; w:h-ansi=&quot;Cambria Math&quot;/&gt;&lt;wx:font wx:val=&quot;Cambria Math&quot;/&gt;&lt;w:i/&gt;&lt;w:snapToGrid/&gt;&lt;/w:rPr&gt;&lt;m:t&gt;ll&lt;/m:t&gt;&lt;/m:r&gt;&lt;/m:sub&gt;&lt;/m:sSub&gt;&lt;/m:num&gt;&lt;m:den&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U&lt;/m:t&gt;&lt;/m:r&gt;&lt;/m:e&gt;&lt;m:sub&gt;&lt;m:r&gt;&lt;w:rPr&gt;&lt;w:rFonts w:ascii=&quot;Cambria Math&quot; w:fareast=&quot;Times New Roman&quot; w:h-ansi=&quot;Cambria Math&quot;/&gt;&lt;wx:font wx:val=&quot;Cambria Math&quot;/&gt;&lt;w:i/&gt;&lt;w:snapToGrid/&gt;&lt;/w:rPr&gt;&lt;m:t&gt;ll&lt;/m:t&gt;&lt;/m:r&gt;&lt;/m:sub&gt;&lt;/m:sSub&gt;&lt;/m:den&gt;&lt;/m:f&gt;&lt;m:r&gt;&lt;w:rPr&gt;&lt;w:rFonts w:ascii=&quot;Cambria Math&quot; w:fareast=&quot;Times New Roman&quot; w:h-ansi=&quot;Cambria Math&quot;/&gt;&lt;wx:font wx:val=&quot;Cambria Math&quot;/&gt;&lt;w:i/&gt;&lt;w:snapToGrid/&gt;&lt;/w:rPr&gt;&lt;m:t&gt;Ã—&lt;/m:t&gt;&lt;/m:r&gt;&lt;m:f&gt;&lt;m:fPr&gt;&lt;m:ctrlPr&gt;&lt;w:rPr&gt;&lt;w:rFonts w:ascii=&quot;Cambria Math&quot; w:fareast=&quot;Times New Roman&quot; w:h-ansi=&quot;Cambria Math&quot;/&gt;&lt;wx:font wx:val=&quot;Cambria Math&quot;/&gt;&lt;w:i/&gt;&lt;w:snapToGrid/&gt;&lt;/w:rPr&gt;&lt;/m:ctrlPr&gt;&lt;/m:fPr&gt;&lt;m:num&gt;&lt;m:r&gt;&lt;w:rPr&gt;&lt;w:rFonts w:ascii=&quot;Cambria Math&quot; w:fareast=&quot;Times New Roman&quot; w:h-ansi=&quot;Cambria Math&quot;/&gt;&lt;wx:font wx:val=&quot;Cambria Math&quot;/&gt;&lt;w:i/&gt;&lt;w:snapToGrid/&gt;&lt;/w:rPr&gt;&lt;m:t&gt;LL&lt;/m:t&gt;&lt;/m:r&gt;&lt;/m:num&gt;&lt;m:den&gt;&lt;m:r&gt;&lt;w:rPr&gt;&lt;w:rFonts w:ascii=&quot;Cambria Math&quot; w:fareast=&quot;Times New Roman&quot; w:h-ansi=&quot;Cambria Math&quot;/&gt;&lt;wx:font wx:val=&quot;Cambria Math&quot;/&gt;&lt;w:i/&gt;&lt;w:snapToGrid/&gt;&lt;/w:rPr&gt;&lt;m:t&gt;AD&lt;/m:t&gt;&lt;/m:r&gt;&lt;/m:den&gt;&lt;/m:f&gt;&lt;m:r&gt;&lt;w:rPr&gt;&lt;w:rFonts w:ascii=&quot;Cambria Math&quot; w:fareast=&quot;Times New Roman&quot; w:h-ansi=&quot;Cambria Math&quot;/&gt;&lt;wx:font wx:val=&quot;Cambria Math&quot;/&gt;&lt;w:i/&gt;&lt;w:snapToGrid/&gt;&lt;/w:rPr&gt;&lt;m:t&gt;Ã—&lt;/m:t&gt;&lt;/m:r&gt;&lt;m:f&gt;&lt;m:fPr&gt;&lt;m:ctrlPr&gt;&lt;w:rPr&gt;&lt;w:rFonts w:ascii=&quot;Cambria Math&quot; w:fareast=&quot;Times New Roman&quot; w:h-ansi=&quot;Cambria Math&quot;/&gt;&lt;wx:font wx:val=&quot;Cambria Math&quot;/&gt;&lt;w:i/&gt;&lt;w:snapToGrid/&gt;&lt;/w:rPr&gt;&lt;/m:ctrlPr&gt;&lt;/m:fPr&gt;&lt;m:num&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S&lt;/m:t&gt;&lt;/m:r&gt;&lt;/m:e&gt;&lt;m:sub&gt;&lt;m:r&gt;&lt;w:rPr&gt;&lt;w:rFonts w:ascii=&quot;Cambria Math&quot; w:fareast=&quot;Times New Roman&quot; w:h-ansi=&quot;Cambria Math&quot;/&gt;&lt;wx:font wx:val=&quot;Cambria Math&quot;/&gt;&lt;w:i/&gt;&lt;w:snapToGrid/&gt;&lt;/w:rPr&gt;&lt;m:t&gt;cp&lt;/m:t&gt;&lt;/m:r&gt;&lt;/m:sub&gt;&lt;/m:sSub&gt;&lt;/m:num&gt;&lt;m:den&gt;&lt;m:sSub&gt;&lt;m:sSubPr&gt;&lt;m:ctrlPr&gt;&lt;w:rPr&gt;&lt;w:rFonts w:ascii=&quot;Cambria Math&quot; w:fareast=&quot;Times New Roman&quot; w:h-ansi=&quot;Cambria Math&quot;/&gt;&lt;wx:font wx:val=&quot;Cambria Math&quot;/&gt;&lt;w:i/&gt;&lt;w:snapToGrid/&gt;&lt;/w:rPr&gt;&lt;/m:ctrlPr&gt;&lt;/m:sSubPr&gt;&lt;m:e&gt;&lt;m:r&gt;&lt;w:rPr&gt;&lt;w:rFonts w:ascii=&quot;Cambria Math&quot; w:fareast=&quot;Times New Roman&quot; w:h-ansi=&quot;Cambria Math&quot;/&gt;&lt;wx:font wx:val=&quot;Cambria Math&quot;/&gt;&lt;w:i/&gt;&lt;w:snapToGrid/&gt;&lt;/w:rPr&gt;&lt;m:t&gt;U&lt;/m:t&gt;&lt;/m:r&gt;&lt;/m:e&gt;&lt;m:sub&gt;&lt;m:r&gt;&lt;w:rPr&gt;&lt;w:rFonts w:ascii=&quot;Cambria Math&quot; w:fareast=&quot;Times New Roman&quot; w:h-ansi=&quot;Cambria Math&quot;/&gt;&lt;wx:font wx:val=&quot;Cambria Math&quot;/&gt;&lt;w:i/&gt;&lt;w:snapToGrid/&gt;&lt;/w:rPr&gt;&lt;m:t&gt;cp&lt;/m:t&gt;&lt;/m:r&gt;&lt;/m:sub&gt;&lt;/m:sSub&gt;&lt;/m:den&gt;&lt;/m:f&gt;&lt;m:r&gt;&lt;w:rPr&gt;&lt;w:rFonts w:ascii=&quot;Cambria Math&quot; w:fareast=&quot;Times New Roman&quot; w:h-ansi=&quot;Cambria Math&quot;/&gt;&lt;wx:font wx:val=&quot;Cambria Math&quot;/&gt;&lt;w:i/&gt;&lt;w:snapToGrid/&gt;&lt;/w:rPr&gt;&lt;m:t&gt;Ã—CP&lt;/m:t&gt;&lt;/m:r&gt;&lt;/m:e&gt;&lt;/m:d&gt;&lt;/m:den&gt;&lt;/m:f&gt;&lt;/m:oMath&gt;&lt;/m:oMathPara&gt;&lt;/aml:content&gt;&lt;/aml:annotation&gt;&lt;/w:p&gt;&lt;w:sectPr wsp:rsidR=&quot;00000000&quot; wsp:rsidRPr=&quot;00361CDD&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rsidR="008E3AA8" w:rsidRPr="008E3AA8" w:rsidRDefault="008E3AA8" w:rsidP="008E3AA8">
      <w:pPr>
        <w:spacing w:line="288" w:lineRule="auto"/>
        <w:jc w:val="left"/>
        <w:rPr>
          <w:rFonts w:ascii="Verdana" w:eastAsia="Times New Roman" w:hAnsi="Verdana"/>
          <w:snapToGrid/>
          <w:sz w:val="18"/>
          <w:szCs w:val="18"/>
        </w:rPr>
      </w:pPr>
    </w:p>
    <w:p w:rsidR="008E3AA8" w:rsidRPr="008E3AA8" w:rsidRDefault="008E3AA8" w:rsidP="008E3AA8">
      <w:pPr>
        <w:tabs>
          <w:tab w:val="left" w:pos="1080"/>
        </w:tabs>
        <w:ind w:left="720"/>
        <w:jc w:val="left"/>
        <w:rPr>
          <w:rFonts w:ascii="Verdana" w:eastAsia="Times New Roman" w:hAnsi="Verdana"/>
          <w:snapToGrid/>
          <w:sz w:val="18"/>
          <w:szCs w:val="18"/>
        </w:rPr>
      </w:pPr>
      <w:r w:rsidRPr="008E3AA8">
        <w:rPr>
          <w:rFonts w:ascii="Verdana" w:eastAsia="Times New Roman" w:hAnsi="Verdana"/>
          <w:snapToGrid/>
          <w:sz w:val="18"/>
          <w:szCs w:val="18"/>
        </w:rPr>
        <w:t>Where:</w:t>
      </w:r>
    </w:p>
    <w:p w:rsidR="008E3AA8" w:rsidRPr="008E3AA8" w:rsidRDefault="008E3AA8" w:rsidP="008E3AA8">
      <w:pPr>
        <w:tabs>
          <w:tab w:val="left" w:pos="1080"/>
        </w:tabs>
        <w:ind w:left="720"/>
        <w:jc w:val="left"/>
        <w:rPr>
          <w:rFonts w:ascii="Verdana" w:eastAsia="Times New Roman" w:hAnsi="Verdana"/>
          <w:snapToGrid/>
          <w:sz w:val="18"/>
          <w:szCs w:val="18"/>
        </w:rPr>
      </w:pPr>
      <w:r w:rsidRPr="008E3AA8">
        <w:rPr>
          <w:rFonts w:ascii="Verdana" w:eastAsia="Times New Roman" w:hAnsi="Verdana"/>
          <w:snapToGrid/>
          <w:sz w:val="18"/>
          <w:szCs w:val="18"/>
        </w:rPr>
        <w:t>LL</w:t>
      </w:r>
      <w:r w:rsidRPr="008E3AA8">
        <w:rPr>
          <w:rFonts w:ascii="Verdana" w:eastAsia="Times New Roman" w:hAnsi="Verdana"/>
          <w:snapToGrid/>
          <w:sz w:val="18"/>
          <w:szCs w:val="18"/>
        </w:rPr>
        <w:tab/>
        <w:t>=1 if respondent has a landline phone</w:t>
      </w:r>
    </w:p>
    <w:p w:rsidR="008E3AA8" w:rsidRPr="008E3AA8" w:rsidRDefault="008E3AA8" w:rsidP="008E3AA8">
      <w:pPr>
        <w:tabs>
          <w:tab w:val="left" w:pos="1080"/>
        </w:tabs>
        <w:ind w:left="720"/>
        <w:jc w:val="left"/>
        <w:rPr>
          <w:rFonts w:ascii="Verdana" w:eastAsia="Times New Roman" w:hAnsi="Verdana"/>
          <w:snapToGrid/>
          <w:sz w:val="18"/>
          <w:szCs w:val="18"/>
        </w:rPr>
      </w:pPr>
      <w:r w:rsidRPr="008E3AA8">
        <w:rPr>
          <w:rFonts w:ascii="Verdana" w:eastAsia="Times New Roman" w:hAnsi="Verdana"/>
          <w:snapToGrid/>
          <w:sz w:val="18"/>
          <w:szCs w:val="18"/>
        </w:rPr>
        <w:tab/>
        <w:t xml:space="preserve">=0 if respondent has no landline phone </w:t>
      </w:r>
    </w:p>
    <w:p w:rsidR="008E3AA8" w:rsidRPr="008E3AA8" w:rsidRDefault="008E3AA8" w:rsidP="008E3AA8">
      <w:pPr>
        <w:tabs>
          <w:tab w:val="left" w:pos="1080"/>
        </w:tabs>
        <w:ind w:left="720"/>
        <w:jc w:val="left"/>
        <w:rPr>
          <w:rFonts w:ascii="Verdana" w:eastAsia="Times New Roman" w:hAnsi="Verdana"/>
          <w:snapToGrid/>
          <w:color w:val="808080"/>
          <w:sz w:val="18"/>
          <w:szCs w:val="18"/>
        </w:rPr>
      </w:pPr>
      <w:r w:rsidRPr="008E3AA8">
        <w:rPr>
          <w:rFonts w:ascii="Verdana" w:eastAsia="Times New Roman" w:hAnsi="Verdana"/>
          <w:snapToGrid/>
          <w:color w:val="808080"/>
          <w:sz w:val="18"/>
          <w:szCs w:val="18"/>
        </w:rPr>
        <w:tab/>
        <w:t>(OR number of landlines on which the respondent could have been reached)</w:t>
      </w:r>
    </w:p>
    <w:p w:rsidR="008E3AA8" w:rsidRPr="008E3AA8" w:rsidRDefault="008E3AA8" w:rsidP="008E3AA8">
      <w:pPr>
        <w:tabs>
          <w:tab w:val="left" w:pos="1080"/>
        </w:tabs>
        <w:ind w:left="720"/>
        <w:jc w:val="left"/>
        <w:rPr>
          <w:rFonts w:ascii="Verdana" w:eastAsia="Times New Roman" w:hAnsi="Verdana"/>
          <w:snapToGrid/>
          <w:sz w:val="18"/>
          <w:szCs w:val="18"/>
        </w:rPr>
      </w:pPr>
      <w:r w:rsidRPr="008E3AA8">
        <w:rPr>
          <w:rFonts w:ascii="Verdana" w:eastAsia="Times New Roman" w:hAnsi="Verdana"/>
          <w:snapToGrid/>
          <w:sz w:val="18"/>
          <w:szCs w:val="18"/>
        </w:rPr>
        <w:t>CP</w:t>
      </w:r>
      <w:r w:rsidRPr="008E3AA8">
        <w:rPr>
          <w:rFonts w:ascii="Verdana" w:eastAsia="Times New Roman" w:hAnsi="Verdana"/>
          <w:snapToGrid/>
          <w:sz w:val="18"/>
          <w:szCs w:val="18"/>
        </w:rPr>
        <w:tab/>
        <w:t>=1 if respondent has a cell phone</w:t>
      </w:r>
    </w:p>
    <w:p w:rsidR="008E3AA8" w:rsidRPr="008E3AA8" w:rsidRDefault="008E3AA8" w:rsidP="008E3AA8">
      <w:pPr>
        <w:tabs>
          <w:tab w:val="left" w:pos="1080"/>
        </w:tabs>
        <w:ind w:left="720"/>
        <w:jc w:val="left"/>
        <w:rPr>
          <w:rFonts w:ascii="Verdana" w:eastAsia="Times New Roman" w:hAnsi="Verdana"/>
          <w:snapToGrid/>
          <w:sz w:val="18"/>
          <w:szCs w:val="18"/>
        </w:rPr>
      </w:pPr>
      <w:r w:rsidRPr="008E3AA8">
        <w:rPr>
          <w:rFonts w:ascii="Verdana" w:eastAsia="Times New Roman" w:hAnsi="Verdana"/>
          <w:snapToGrid/>
          <w:sz w:val="18"/>
          <w:szCs w:val="18"/>
        </w:rPr>
        <w:tab/>
        <w:t xml:space="preserve">=0 if respondent has no cell phone </w:t>
      </w:r>
    </w:p>
    <w:p w:rsidR="008E3AA8" w:rsidRPr="008E3AA8" w:rsidRDefault="008E3AA8" w:rsidP="008E3AA8">
      <w:pPr>
        <w:tabs>
          <w:tab w:val="left" w:pos="1080"/>
        </w:tabs>
        <w:ind w:left="720"/>
        <w:jc w:val="left"/>
        <w:rPr>
          <w:rFonts w:ascii="Verdana" w:eastAsia="Times New Roman" w:hAnsi="Verdana"/>
          <w:snapToGrid/>
          <w:color w:val="808080"/>
          <w:sz w:val="18"/>
          <w:szCs w:val="18"/>
        </w:rPr>
      </w:pPr>
      <w:r w:rsidRPr="008E3AA8">
        <w:rPr>
          <w:rFonts w:ascii="Verdana" w:eastAsia="Times New Roman" w:hAnsi="Verdana"/>
          <w:snapToGrid/>
          <w:color w:val="808080"/>
          <w:sz w:val="18"/>
          <w:szCs w:val="18"/>
        </w:rPr>
        <w:lastRenderedPageBreak/>
        <w:tab/>
        <w:t>(OR number of cell phones on which the respondent could have been reached)</w:t>
      </w:r>
    </w:p>
    <w:p w:rsidR="008E3AA8" w:rsidRPr="008E3AA8" w:rsidRDefault="008E3AA8" w:rsidP="008E3AA8">
      <w:pPr>
        <w:tabs>
          <w:tab w:val="left" w:pos="1080"/>
        </w:tabs>
        <w:ind w:left="1080" w:hanging="360"/>
        <w:jc w:val="left"/>
        <w:rPr>
          <w:rFonts w:ascii="Verdana" w:eastAsia="Times New Roman" w:hAnsi="Verdana"/>
          <w:snapToGrid/>
          <w:sz w:val="18"/>
          <w:szCs w:val="18"/>
        </w:rPr>
      </w:pPr>
      <w:proofErr w:type="spellStart"/>
      <w:r w:rsidRPr="008E3AA8">
        <w:rPr>
          <w:rFonts w:ascii="Verdana" w:eastAsia="Times New Roman" w:hAnsi="Verdana"/>
          <w:snapToGrid/>
          <w:sz w:val="18"/>
          <w:szCs w:val="18"/>
        </w:rPr>
        <w:t>S</w:t>
      </w:r>
      <w:r w:rsidRPr="008E3AA8">
        <w:rPr>
          <w:rFonts w:ascii="Verdana" w:eastAsia="Times New Roman" w:hAnsi="Verdana"/>
          <w:snapToGrid/>
          <w:sz w:val="18"/>
          <w:szCs w:val="18"/>
          <w:vertAlign w:val="subscript"/>
        </w:rPr>
        <w:t>ll</w:t>
      </w:r>
      <w:proofErr w:type="spellEnd"/>
      <w:r w:rsidRPr="008E3AA8">
        <w:rPr>
          <w:rFonts w:ascii="Verdana" w:eastAsia="Times New Roman" w:hAnsi="Verdana"/>
          <w:snapToGrid/>
          <w:sz w:val="18"/>
          <w:szCs w:val="18"/>
        </w:rPr>
        <w:t>=</w:t>
      </w:r>
      <w:r w:rsidRPr="008E3AA8">
        <w:rPr>
          <w:rFonts w:ascii="Verdana" w:eastAsia="Times New Roman" w:hAnsi="Verdana"/>
          <w:snapToGrid/>
          <w:sz w:val="18"/>
          <w:szCs w:val="18"/>
        </w:rPr>
        <w:tab/>
        <w:t>size of the landline sample drawn across all released replicates (# of landline numbers dialed)</w:t>
      </w:r>
    </w:p>
    <w:p w:rsidR="008E3AA8" w:rsidRPr="008E3AA8" w:rsidRDefault="008E3AA8" w:rsidP="008E3AA8">
      <w:pPr>
        <w:tabs>
          <w:tab w:val="left" w:pos="1080"/>
        </w:tabs>
        <w:ind w:left="1080" w:hanging="360"/>
        <w:jc w:val="left"/>
        <w:rPr>
          <w:rFonts w:ascii="Verdana" w:eastAsia="Times New Roman" w:hAnsi="Verdana"/>
          <w:snapToGrid/>
          <w:sz w:val="18"/>
          <w:szCs w:val="18"/>
        </w:rPr>
      </w:pPr>
      <w:proofErr w:type="spellStart"/>
      <w:proofErr w:type="gramStart"/>
      <w:r w:rsidRPr="008E3AA8">
        <w:rPr>
          <w:rFonts w:ascii="Verdana" w:eastAsia="Times New Roman" w:hAnsi="Verdana"/>
          <w:snapToGrid/>
          <w:sz w:val="18"/>
          <w:szCs w:val="18"/>
        </w:rPr>
        <w:t>S</w:t>
      </w:r>
      <w:r w:rsidRPr="008E3AA8">
        <w:rPr>
          <w:rFonts w:ascii="Verdana" w:eastAsia="Times New Roman" w:hAnsi="Verdana"/>
          <w:snapToGrid/>
          <w:sz w:val="18"/>
          <w:szCs w:val="18"/>
          <w:vertAlign w:val="subscript"/>
        </w:rPr>
        <w:t>cp</w:t>
      </w:r>
      <w:proofErr w:type="spellEnd"/>
      <w:r w:rsidRPr="008E3AA8">
        <w:rPr>
          <w:rFonts w:ascii="Verdana" w:eastAsia="Times New Roman" w:hAnsi="Verdana"/>
          <w:snapToGrid/>
          <w:sz w:val="18"/>
          <w:szCs w:val="18"/>
        </w:rPr>
        <w:t>=</w:t>
      </w:r>
      <w:proofErr w:type="gramEnd"/>
      <w:r w:rsidRPr="008E3AA8">
        <w:rPr>
          <w:rFonts w:ascii="Verdana" w:eastAsia="Times New Roman" w:hAnsi="Verdana"/>
          <w:snapToGrid/>
          <w:sz w:val="18"/>
          <w:szCs w:val="18"/>
        </w:rPr>
        <w:t>size of the cell phone sample drawn across all released replicates (# of cell phone numbers dialed)</w:t>
      </w:r>
    </w:p>
    <w:p w:rsidR="008E3AA8" w:rsidRPr="008E3AA8" w:rsidRDefault="008E3AA8" w:rsidP="008E3AA8">
      <w:pPr>
        <w:tabs>
          <w:tab w:val="left" w:pos="1080"/>
        </w:tabs>
        <w:ind w:left="720"/>
        <w:jc w:val="left"/>
        <w:rPr>
          <w:rFonts w:ascii="Verdana" w:eastAsia="Times New Roman" w:hAnsi="Verdana"/>
          <w:snapToGrid/>
          <w:sz w:val="18"/>
          <w:szCs w:val="18"/>
        </w:rPr>
      </w:pPr>
      <w:proofErr w:type="spellStart"/>
      <w:r w:rsidRPr="008E3AA8">
        <w:rPr>
          <w:rFonts w:ascii="Verdana" w:eastAsia="Times New Roman" w:hAnsi="Verdana"/>
          <w:snapToGrid/>
          <w:sz w:val="18"/>
          <w:szCs w:val="18"/>
        </w:rPr>
        <w:t>U</w:t>
      </w:r>
      <w:r w:rsidRPr="008E3AA8">
        <w:rPr>
          <w:rFonts w:ascii="Verdana" w:eastAsia="Times New Roman" w:hAnsi="Verdana"/>
          <w:snapToGrid/>
          <w:sz w:val="18"/>
          <w:szCs w:val="18"/>
          <w:vertAlign w:val="subscript"/>
        </w:rPr>
        <w:t>ll</w:t>
      </w:r>
      <w:proofErr w:type="spellEnd"/>
      <w:r w:rsidRPr="008E3AA8">
        <w:rPr>
          <w:rFonts w:ascii="Verdana" w:eastAsia="Times New Roman" w:hAnsi="Verdana"/>
          <w:snapToGrid/>
          <w:sz w:val="18"/>
          <w:szCs w:val="18"/>
        </w:rPr>
        <w:t xml:space="preserve">=size of the landline RDD frame </w:t>
      </w:r>
      <w:r w:rsidRPr="000569A1">
        <w:rPr>
          <w:rFonts w:ascii="Verdana" w:eastAsia="Times New Roman" w:hAnsi="Verdana"/>
          <w:snapToGrid/>
          <w:sz w:val="18"/>
          <w:szCs w:val="18"/>
        </w:rPr>
        <w:t>(according to SSI)</w:t>
      </w:r>
    </w:p>
    <w:p w:rsidR="008E3AA8" w:rsidRPr="008E3AA8" w:rsidRDefault="008E3AA8" w:rsidP="008E3AA8">
      <w:pPr>
        <w:tabs>
          <w:tab w:val="left" w:pos="1080"/>
        </w:tabs>
        <w:ind w:left="720"/>
        <w:jc w:val="left"/>
        <w:rPr>
          <w:rFonts w:ascii="Verdana" w:eastAsia="Times New Roman" w:hAnsi="Verdana"/>
          <w:snapToGrid/>
          <w:sz w:val="18"/>
          <w:szCs w:val="18"/>
        </w:rPr>
      </w:pPr>
      <w:proofErr w:type="spellStart"/>
      <w:r w:rsidRPr="008E3AA8">
        <w:rPr>
          <w:rFonts w:ascii="Verdana" w:eastAsia="Times New Roman" w:hAnsi="Verdana"/>
          <w:snapToGrid/>
          <w:sz w:val="18"/>
          <w:szCs w:val="18"/>
        </w:rPr>
        <w:t>U</w:t>
      </w:r>
      <w:r w:rsidRPr="008E3AA8">
        <w:rPr>
          <w:rFonts w:ascii="Verdana" w:eastAsia="Times New Roman" w:hAnsi="Verdana"/>
          <w:snapToGrid/>
          <w:sz w:val="18"/>
          <w:szCs w:val="18"/>
          <w:vertAlign w:val="subscript"/>
        </w:rPr>
        <w:t>cp</w:t>
      </w:r>
      <w:proofErr w:type="spellEnd"/>
      <w:r w:rsidRPr="008E3AA8">
        <w:rPr>
          <w:rFonts w:ascii="Verdana" w:eastAsia="Times New Roman" w:hAnsi="Verdana"/>
          <w:snapToGrid/>
          <w:sz w:val="18"/>
          <w:szCs w:val="18"/>
        </w:rPr>
        <w:t xml:space="preserve">=size of the cell phone RDD frame </w:t>
      </w:r>
      <w:r w:rsidRPr="000569A1">
        <w:rPr>
          <w:rFonts w:ascii="Verdana" w:eastAsia="Times New Roman" w:hAnsi="Verdana"/>
          <w:snapToGrid/>
          <w:sz w:val="18"/>
          <w:szCs w:val="18"/>
        </w:rPr>
        <w:t>(according to SSI)</w:t>
      </w:r>
    </w:p>
    <w:p w:rsidR="008E3AA8" w:rsidRPr="008E3AA8" w:rsidRDefault="008E3AA8" w:rsidP="008E3AA8">
      <w:pPr>
        <w:tabs>
          <w:tab w:val="left" w:pos="1080"/>
        </w:tabs>
        <w:ind w:left="720"/>
        <w:jc w:val="left"/>
        <w:rPr>
          <w:rFonts w:ascii="Verdana" w:eastAsia="Times New Roman" w:hAnsi="Verdana"/>
          <w:snapToGrid/>
          <w:sz w:val="18"/>
          <w:szCs w:val="18"/>
        </w:rPr>
      </w:pPr>
      <w:r w:rsidRPr="008E3AA8">
        <w:rPr>
          <w:rFonts w:ascii="Verdana" w:eastAsia="Times New Roman" w:hAnsi="Verdana"/>
          <w:snapToGrid/>
          <w:sz w:val="18"/>
          <w:szCs w:val="18"/>
        </w:rPr>
        <w:t>AD=number of adults in the household (1, 2, 3 or more)</w:t>
      </w:r>
    </w:p>
    <w:p w:rsidR="005A3E3C" w:rsidRPr="005A3E3C" w:rsidRDefault="005A3E3C" w:rsidP="005A3E3C">
      <w:pPr>
        <w:spacing w:line="312" w:lineRule="auto"/>
        <w:ind w:firstLine="1440"/>
        <w:jc w:val="left"/>
        <w:rPr>
          <w:rFonts w:ascii="Calibri" w:eastAsia="Times New Roman" w:hAnsi="Calibri"/>
          <w:snapToGrid/>
          <w:szCs w:val="20"/>
        </w:rPr>
      </w:pPr>
    </w:p>
    <w:p w:rsidR="005A3E3C" w:rsidRPr="005A3E3C" w:rsidRDefault="005A3E3C" w:rsidP="005A3E3C">
      <w:pPr>
        <w:spacing w:before="120" w:line="312" w:lineRule="auto"/>
        <w:jc w:val="left"/>
        <w:rPr>
          <w:rFonts w:ascii="Calibri" w:eastAsia="Times New Roman" w:hAnsi="Calibri"/>
          <w:snapToGrid/>
          <w:szCs w:val="20"/>
        </w:rPr>
      </w:pPr>
      <w:r w:rsidRPr="005A3E3C">
        <w:rPr>
          <w:rFonts w:ascii="Calibri" w:eastAsia="Times New Roman" w:hAnsi="Calibri"/>
          <w:b/>
          <w:i/>
          <w:snapToGrid/>
          <w:szCs w:val="20"/>
        </w:rPr>
        <w:t>Second Stage Weighting</w:t>
      </w:r>
    </w:p>
    <w:p w:rsidR="005A3E3C" w:rsidRDefault="005A3E3C" w:rsidP="007226FD">
      <w:pPr>
        <w:spacing w:before="120" w:line="312" w:lineRule="auto"/>
        <w:rPr>
          <w:rFonts w:ascii="Calibri" w:eastAsia="Times New Roman" w:hAnsi="Calibri"/>
          <w:snapToGrid/>
          <w:szCs w:val="20"/>
        </w:rPr>
      </w:pPr>
      <w:r w:rsidRPr="005A3E3C">
        <w:rPr>
          <w:rFonts w:ascii="Calibri" w:eastAsia="Times New Roman" w:hAnsi="Calibri"/>
          <w:snapToGrid/>
          <w:szCs w:val="20"/>
        </w:rPr>
        <w:t xml:space="preserve">The second </w:t>
      </w:r>
      <w:r w:rsidRPr="00ED272D">
        <w:rPr>
          <w:rFonts w:ascii="Calibri" w:eastAsia="Times New Roman" w:hAnsi="Calibri"/>
          <w:snapToGrid/>
          <w:szCs w:val="20"/>
        </w:rPr>
        <w:t>stage of weighting balances sample demographics to estimated population parameters. The sample is balanced to match national population parameters for sex, age, education, race, Hispanic origin, region (U.S. Census definitions), population density, and</w:t>
      </w:r>
      <w:r w:rsidR="009A6333" w:rsidRPr="00ED272D">
        <w:rPr>
          <w:rFonts w:ascii="Calibri" w:eastAsia="Times New Roman" w:hAnsi="Calibri"/>
          <w:snapToGrid/>
          <w:szCs w:val="20"/>
        </w:rPr>
        <w:t xml:space="preserve"> </w:t>
      </w:r>
      <w:r w:rsidRPr="00ED272D">
        <w:rPr>
          <w:rFonts w:ascii="Calibri" w:eastAsia="Times New Roman" w:hAnsi="Calibri"/>
          <w:snapToGrid/>
          <w:szCs w:val="20"/>
        </w:rPr>
        <w:t xml:space="preserve">telephone usage. The Hispanic origin was </w:t>
      </w:r>
      <w:r w:rsidR="0080197E" w:rsidRPr="00ED272D">
        <w:rPr>
          <w:rFonts w:ascii="Calibri" w:eastAsia="Times New Roman" w:hAnsi="Calibri"/>
          <w:snapToGrid/>
          <w:szCs w:val="20"/>
        </w:rPr>
        <w:t>broken</w:t>
      </w:r>
      <w:r w:rsidR="00540836" w:rsidRPr="00ED272D">
        <w:rPr>
          <w:rFonts w:ascii="Calibri" w:eastAsia="Times New Roman" w:hAnsi="Calibri"/>
          <w:snapToGrid/>
          <w:szCs w:val="20"/>
        </w:rPr>
        <w:t xml:space="preserve"> out based on nativity:</w:t>
      </w:r>
      <w:r w:rsidRPr="00ED272D">
        <w:rPr>
          <w:rFonts w:ascii="Calibri" w:eastAsia="Times New Roman" w:hAnsi="Calibri"/>
          <w:snapToGrid/>
          <w:szCs w:val="20"/>
        </w:rPr>
        <w:t xml:space="preserve"> U.S born and non-U.S. born. The white, non-Hispanic subgroup is also balanced on age, education and region. The basic weighting parameters came from </w:t>
      </w:r>
      <w:r w:rsidR="005C79F4" w:rsidRPr="00ED272D">
        <w:rPr>
          <w:rFonts w:ascii="Calibri" w:eastAsia="Times New Roman" w:hAnsi="Calibri"/>
          <w:snapToGrid/>
          <w:szCs w:val="20"/>
        </w:rPr>
        <w:t>a</w:t>
      </w:r>
      <w:r w:rsidR="004A0D19" w:rsidRPr="00ED272D">
        <w:rPr>
          <w:rFonts w:ascii="Calibri" w:eastAsia="Times New Roman" w:hAnsi="Calibri"/>
          <w:snapToGrid/>
          <w:szCs w:val="20"/>
        </w:rPr>
        <w:t>n</w:t>
      </w:r>
      <w:r w:rsidRPr="00ED272D">
        <w:rPr>
          <w:rFonts w:ascii="Calibri" w:eastAsia="Times New Roman" w:hAnsi="Calibri"/>
          <w:snapToGrid/>
          <w:szCs w:val="20"/>
        </w:rPr>
        <w:t xml:space="preserve"> analysis of the Census Bureau’s </w:t>
      </w:r>
      <w:r w:rsidR="008E3AA8" w:rsidRPr="00ED272D">
        <w:rPr>
          <w:rFonts w:ascii="Calibri" w:eastAsia="Times New Roman" w:hAnsi="Calibri"/>
          <w:snapToGrid/>
          <w:szCs w:val="20"/>
        </w:rPr>
        <w:t>201</w:t>
      </w:r>
      <w:r w:rsidR="00882C45" w:rsidRPr="00ED272D">
        <w:rPr>
          <w:rFonts w:ascii="Calibri" w:eastAsia="Times New Roman" w:hAnsi="Calibri"/>
          <w:snapToGrid/>
          <w:szCs w:val="20"/>
        </w:rPr>
        <w:t>2</w:t>
      </w:r>
      <w:r w:rsidR="008E3AA8" w:rsidRPr="00ED272D">
        <w:rPr>
          <w:rFonts w:ascii="Calibri" w:eastAsia="Times New Roman" w:hAnsi="Calibri"/>
          <w:snapToGrid/>
          <w:szCs w:val="20"/>
        </w:rPr>
        <w:t xml:space="preserve"> American Community Survey</w:t>
      </w:r>
      <w:r w:rsidRPr="00ED272D">
        <w:rPr>
          <w:rFonts w:ascii="Calibri" w:eastAsia="Times New Roman" w:hAnsi="Calibri"/>
          <w:snapToGrid/>
          <w:szCs w:val="20"/>
        </w:rPr>
        <w:t xml:space="preserve"> </w:t>
      </w:r>
      <w:r w:rsidR="00E32D0C" w:rsidRPr="00ED272D">
        <w:rPr>
          <w:rFonts w:ascii="Calibri" w:eastAsia="Times New Roman" w:hAnsi="Calibri"/>
          <w:snapToGrid/>
          <w:szCs w:val="20"/>
        </w:rPr>
        <w:t xml:space="preserve">(ACS) </w:t>
      </w:r>
      <w:r w:rsidR="004833CD" w:rsidRPr="00ED272D">
        <w:rPr>
          <w:rFonts w:ascii="Calibri" w:eastAsia="Times New Roman" w:hAnsi="Calibri"/>
          <w:snapToGrid/>
          <w:szCs w:val="20"/>
        </w:rPr>
        <w:t xml:space="preserve">1 </w:t>
      </w:r>
      <w:r w:rsidR="004A0D19" w:rsidRPr="00ED272D">
        <w:rPr>
          <w:rFonts w:ascii="Calibri" w:eastAsia="Times New Roman" w:hAnsi="Calibri"/>
          <w:snapToGrid/>
          <w:szCs w:val="20"/>
        </w:rPr>
        <w:t>year estimates</w:t>
      </w:r>
      <w:r w:rsidR="004B7904" w:rsidRPr="00ED272D">
        <w:rPr>
          <w:rFonts w:ascii="Calibri" w:eastAsia="Times New Roman" w:hAnsi="Calibri"/>
          <w:snapToGrid/>
          <w:szCs w:val="20"/>
        </w:rPr>
        <w:t xml:space="preserve">. The ACS parameters </w:t>
      </w:r>
      <w:r w:rsidR="00E32D0C" w:rsidRPr="00ED272D">
        <w:rPr>
          <w:rFonts w:ascii="Calibri" w:eastAsia="Times New Roman" w:hAnsi="Calibri"/>
          <w:snapToGrid/>
          <w:szCs w:val="20"/>
        </w:rPr>
        <w:t>were</w:t>
      </w:r>
      <w:r w:rsidR="004B7904" w:rsidRPr="00ED272D">
        <w:rPr>
          <w:rFonts w:ascii="Calibri" w:eastAsia="Times New Roman" w:hAnsi="Calibri"/>
          <w:snapToGrid/>
          <w:szCs w:val="20"/>
        </w:rPr>
        <w:t xml:space="preserve"> calculated for adults aged 18 years and older residing in households, excluding those living in institutionalized group quarters.</w:t>
      </w:r>
      <w:r w:rsidR="004B7904" w:rsidRPr="00ED272D">
        <w:rPr>
          <w:rFonts w:ascii="Verdana" w:hAnsi="Verdana"/>
          <w:sz w:val="18"/>
          <w:szCs w:val="18"/>
        </w:rPr>
        <w:t xml:space="preserve"> </w:t>
      </w:r>
      <w:r w:rsidR="004A0D19" w:rsidRPr="00ED272D">
        <w:rPr>
          <w:rFonts w:ascii="Calibri" w:eastAsia="Times New Roman" w:hAnsi="Calibri"/>
          <w:snapToGrid/>
          <w:szCs w:val="20"/>
        </w:rPr>
        <w:t xml:space="preserve"> </w:t>
      </w:r>
      <w:r w:rsidRPr="00ED272D">
        <w:rPr>
          <w:rFonts w:ascii="Calibri" w:eastAsia="Times New Roman" w:hAnsi="Calibri"/>
          <w:snapToGrid/>
          <w:szCs w:val="20"/>
        </w:rPr>
        <w:t>The population density parameter was derived from Census 2010 data. The</w:t>
      </w:r>
      <w:r w:rsidRPr="005A3E3C">
        <w:rPr>
          <w:rFonts w:ascii="Calibri" w:eastAsia="Times New Roman" w:hAnsi="Calibri"/>
          <w:snapToGrid/>
          <w:szCs w:val="20"/>
        </w:rPr>
        <w:t xml:space="preserve"> </w:t>
      </w:r>
      <w:r w:rsidR="00E372FF">
        <w:rPr>
          <w:rFonts w:ascii="Calibri" w:eastAsia="Times New Roman" w:hAnsi="Calibri"/>
          <w:snapToGrid/>
          <w:szCs w:val="20"/>
        </w:rPr>
        <w:t>tele</w:t>
      </w:r>
      <w:r w:rsidRPr="005A3E3C">
        <w:rPr>
          <w:rFonts w:ascii="Calibri" w:eastAsia="Times New Roman" w:hAnsi="Calibri"/>
          <w:snapToGrid/>
          <w:szCs w:val="20"/>
        </w:rPr>
        <w:t xml:space="preserve">phone usage parameter came from an analysis of the </w:t>
      </w:r>
      <w:r w:rsidR="002F77CF">
        <w:rPr>
          <w:rFonts w:ascii="Calibri" w:eastAsia="Times New Roman" w:hAnsi="Calibri"/>
          <w:snapToGrid/>
          <w:szCs w:val="20"/>
        </w:rPr>
        <w:t>January-June 2013</w:t>
      </w:r>
      <w:r w:rsidRPr="005A3E3C">
        <w:rPr>
          <w:rFonts w:ascii="Calibri" w:eastAsia="Times New Roman" w:hAnsi="Calibri"/>
          <w:snapToGrid/>
          <w:szCs w:val="20"/>
        </w:rPr>
        <w:t xml:space="preserve"> National Health Interview Survey</w:t>
      </w:r>
      <w:r w:rsidR="00E731A4" w:rsidRPr="005A3E3C">
        <w:rPr>
          <w:rFonts w:ascii="Calibri" w:eastAsia="Times New Roman" w:hAnsi="Calibri"/>
          <w:snapToGrid/>
          <w:szCs w:val="20"/>
          <w:vertAlign w:val="superscript"/>
        </w:rPr>
        <w:footnoteReference w:id="1"/>
      </w:r>
      <w:r w:rsidR="006928DB">
        <w:rPr>
          <w:rFonts w:ascii="Calibri" w:eastAsia="Times New Roman" w:hAnsi="Calibri"/>
          <w:snapToGrid/>
          <w:szCs w:val="20"/>
        </w:rPr>
        <w:t xml:space="preserve"> and </w:t>
      </w:r>
      <w:r w:rsidR="00A045FB">
        <w:rPr>
          <w:rFonts w:ascii="Calibri" w:eastAsia="Times New Roman" w:hAnsi="Calibri"/>
          <w:snapToGrid/>
          <w:szCs w:val="20"/>
        </w:rPr>
        <w:t>was</w:t>
      </w:r>
      <w:r w:rsidR="00BE426E">
        <w:rPr>
          <w:rFonts w:ascii="Calibri" w:eastAsia="Times New Roman" w:hAnsi="Calibri"/>
          <w:snapToGrid/>
          <w:szCs w:val="20"/>
        </w:rPr>
        <w:t xml:space="preserve"> based on</w:t>
      </w:r>
      <w:r w:rsidR="00E731A4">
        <w:rPr>
          <w:rFonts w:ascii="Calibri" w:eastAsia="Times New Roman" w:hAnsi="Calibri"/>
          <w:snapToGrid/>
          <w:szCs w:val="20"/>
        </w:rPr>
        <w:t xml:space="preserve"> all </w:t>
      </w:r>
      <w:r w:rsidR="00BE426E">
        <w:rPr>
          <w:rFonts w:ascii="Calibri" w:eastAsia="Times New Roman" w:hAnsi="Calibri"/>
          <w:snapToGrid/>
          <w:szCs w:val="20"/>
        </w:rPr>
        <w:t>adults living in households with a phone (e</w:t>
      </w:r>
      <w:r w:rsidR="00680A37">
        <w:rPr>
          <w:rFonts w:ascii="Calibri" w:eastAsia="Times New Roman" w:hAnsi="Calibri"/>
          <w:snapToGrid/>
          <w:szCs w:val="20"/>
        </w:rPr>
        <w:t>i</w:t>
      </w:r>
      <w:r w:rsidR="00BE426E">
        <w:rPr>
          <w:rFonts w:ascii="Calibri" w:eastAsia="Times New Roman" w:hAnsi="Calibri"/>
          <w:snapToGrid/>
          <w:szCs w:val="20"/>
        </w:rPr>
        <w:t>ther landline or cell phone) in the U.S., including Alaska and Hawaii.</w:t>
      </w:r>
    </w:p>
    <w:p w:rsidR="00187EEF" w:rsidRDefault="00187EEF" w:rsidP="007226FD">
      <w:pPr>
        <w:spacing w:line="312" w:lineRule="auto"/>
        <w:rPr>
          <w:rFonts w:ascii="Calibri" w:eastAsia="Times New Roman" w:hAnsi="Calibri"/>
          <w:snapToGrid/>
        </w:rPr>
      </w:pPr>
    </w:p>
    <w:p w:rsidR="0084201E" w:rsidRPr="005A3E3C" w:rsidRDefault="0084201E" w:rsidP="007226FD">
      <w:pPr>
        <w:spacing w:line="312" w:lineRule="auto"/>
        <w:rPr>
          <w:rFonts w:ascii="Calibri" w:eastAsia="Times New Roman" w:hAnsi="Calibri"/>
          <w:snapToGrid/>
          <w:szCs w:val="20"/>
        </w:rPr>
      </w:pPr>
      <w:r w:rsidRPr="005A3E3C">
        <w:rPr>
          <w:rFonts w:ascii="Calibri" w:eastAsia="Times New Roman" w:hAnsi="Calibri"/>
          <w:snapToGrid/>
        </w:rPr>
        <w:t>The second stage weighting uses an iterative technique that simultaneously balances the distributions of all weighting parameters.</w:t>
      </w:r>
      <w:r w:rsidRPr="005A3E3C">
        <w:rPr>
          <w:rFonts w:ascii="Calibri" w:eastAsia="Times New Roman" w:hAnsi="Calibri"/>
          <w:snapToGrid/>
          <w:szCs w:val="20"/>
        </w:rPr>
        <w:t xml:space="preserve"> Weights were </w:t>
      </w:r>
      <w:r w:rsidRPr="005A3E3C">
        <w:rPr>
          <w:rFonts w:ascii="Calibri" w:eastAsia="Times New Roman" w:hAnsi="Calibri"/>
          <w:iCs/>
          <w:snapToGrid/>
          <w:szCs w:val="20"/>
        </w:rPr>
        <w:t>trimmed at the 5</w:t>
      </w:r>
      <w:r w:rsidRPr="005A3E3C">
        <w:rPr>
          <w:rFonts w:ascii="Calibri" w:eastAsia="Times New Roman" w:hAnsi="Calibri"/>
          <w:iCs/>
          <w:snapToGrid/>
          <w:szCs w:val="20"/>
          <w:vertAlign w:val="superscript"/>
        </w:rPr>
        <w:t>th</w:t>
      </w:r>
      <w:r w:rsidRPr="005A3E3C">
        <w:rPr>
          <w:rFonts w:ascii="Calibri" w:eastAsia="Times New Roman" w:hAnsi="Calibri"/>
          <w:iCs/>
          <w:snapToGrid/>
          <w:szCs w:val="20"/>
        </w:rPr>
        <w:t xml:space="preserve"> and 95</w:t>
      </w:r>
      <w:r w:rsidRPr="005A3E3C">
        <w:rPr>
          <w:rFonts w:ascii="Calibri" w:eastAsia="Times New Roman" w:hAnsi="Calibri"/>
          <w:iCs/>
          <w:snapToGrid/>
          <w:szCs w:val="20"/>
          <w:vertAlign w:val="superscript"/>
        </w:rPr>
        <w:t>th</w:t>
      </w:r>
      <w:r w:rsidRPr="005A3E3C">
        <w:rPr>
          <w:rFonts w:ascii="Calibri" w:eastAsia="Times New Roman" w:hAnsi="Calibri"/>
          <w:iCs/>
          <w:snapToGrid/>
          <w:szCs w:val="20"/>
        </w:rPr>
        <w:t xml:space="preserve"> percentiles</w:t>
      </w:r>
      <w:r w:rsidRPr="005A3E3C">
        <w:rPr>
          <w:rFonts w:ascii="Calibri" w:eastAsia="Times New Roman" w:hAnsi="Calibri"/>
          <w:snapToGrid/>
          <w:szCs w:val="20"/>
        </w:rPr>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In the </w:t>
      </w:r>
      <w:r w:rsidR="00822D0F">
        <w:rPr>
          <w:rFonts w:ascii="Calibri" w:eastAsia="Times New Roman" w:hAnsi="Calibri"/>
          <w:snapToGrid/>
          <w:szCs w:val="20"/>
        </w:rPr>
        <w:t xml:space="preserve">final </w:t>
      </w:r>
      <w:r w:rsidRPr="005A3E3C">
        <w:rPr>
          <w:rFonts w:ascii="Calibri" w:eastAsia="Times New Roman" w:hAnsi="Calibri"/>
          <w:snapToGrid/>
          <w:szCs w:val="20"/>
        </w:rPr>
        <w:t>s</w:t>
      </w:r>
      <w:r>
        <w:rPr>
          <w:rFonts w:ascii="Calibri" w:eastAsia="Times New Roman" w:hAnsi="Calibri"/>
          <w:snapToGrid/>
          <w:szCs w:val="20"/>
        </w:rPr>
        <w:t>urvey dataset, the original</w:t>
      </w:r>
      <w:r w:rsidRPr="005A3E3C">
        <w:rPr>
          <w:rFonts w:ascii="Calibri" w:eastAsia="Times New Roman" w:hAnsi="Calibri"/>
          <w:snapToGrid/>
          <w:szCs w:val="20"/>
        </w:rPr>
        <w:t xml:space="preserve"> full sample weight is labeled </w:t>
      </w:r>
      <w:r>
        <w:rPr>
          <w:rFonts w:ascii="Calibri" w:eastAsia="Times New Roman" w:hAnsi="Calibri"/>
          <w:i/>
          <w:snapToGrid/>
          <w:szCs w:val="20"/>
        </w:rPr>
        <w:t>WEIGHT.</w:t>
      </w:r>
      <w:r>
        <w:rPr>
          <w:rFonts w:ascii="Calibri" w:eastAsia="Times New Roman" w:hAnsi="Calibri"/>
          <w:snapToGrid/>
          <w:szCs w:val="20"/>
        </w:rPr>
        <w:t xml:space="preserve"> </w:t>
      </w:r>
    </w:p>
    <w:p w:rsidR="005A3E3C" w:rsidRPr="005A3E3C" w:rsidRDefault="005A3E3C" w:rsidP="005A3E3C">
      <w:pPr>
        <w:spacing w:line="288" w:lineRule="auto"/>
        <w:rPr>
          <w:rFonts w:ascii="Calibri" w:hAnsi="Calibri"/>
          <w:highlight w:val="yellow"/>
        </w:rPr>
      </w:pPr>
    </w:p>
    <w:p w:rsidR="005A3E3C" w:rsidRPr="005A3E3C" w:rsidRDefault="005A3E3C" w:rsidP="005A3E3C">
      <w:pPr>
        <w:spacing w:line="312" w:lineRule="auto"/>
        <w:jc w:val="left"/>
        <w:rPr>
          <w:rFonts w:ascii="Calibri" w:eastAsia="Times New Roman" w:hAnsi="Calibri"/>
          <w:b/>
          <w:i/>
          <w:snapToGrid/>
          <w:szCs w:val="20"/>
        </w:rPr>
      </w:pPr>
      <w:r w:rsidRPr="005A3E3C">
        <w:rPr>
          <w:rFonts w:ascii="Calibri" w:eastAsia="Times New Roman" w:hAnsi="Calibri"/>
          <w:b/>
          <w:i/>
          <w:snapToGrid/>
          <w:szCs w:val="20"/>
        </w:rPr>
        <w:t>Design of LLWEIGHT</w:t>
      </w:r>
    </w:p>
    <w:p w:rsidR="005A3E3C" w:rsidRPr="005A3E3C" w:rsidRDefault="005A3E3C" w:rsidP="00187EEF">
      <w:pPr>
        <w:spacing w:line="288" w:lineRule="auto"/>
        <w:rPr>
          <w:rFonts w:ascii="Calibri" w:hAnsi="Calibri"/>
        </w:rPr>
      </w:pPr>
      <w:r w:rsidRPr="005A3E3C">
        <w:rPr>
          <w:rFonts w:ascii="Calibri" w:hAnsi="Calibri"/>
        </w:rPr>
        <w:t xml:space="preserve">This weight </w:t>
      </w:r>
      <w:r w:rsidR="002229E6">
        <w:rPr>
          <w:rFonts w:ascii="Calibri" w:hAnsi="Calibri"/>
        </w:rPr>
        <w:t>is</w:t>
      </w:r>
      <w:r w:rsidRPr="005A3E3C">
        <w:rPr>
          <w:rFonts w:ascii="Calibri" w:hAnsi="Calibri"/>
        </w:rPr>
        <w:t xml:space="preserve"> computed for respondents in the landline sample</w:t>
      </w:r>
      <w:r w:rsidR="00521FD4">
        <w:rPr>
          <w:rFonts w:ascii="Calibri" w:hAnsi="Calibri"/>
        </w:rPr>
        <w:t xml:space="preserve"> only</w:t>
      </w:r>
      <w:r w:rsidRPr="005A3E3C">
        <w:rPr>
          <w:rFonts w:ascii="Calibri" w:hAnsi="Calibri"/>
        </w:rPr>
        <w:t xml:space="preserve"> using the same procedures as </w:t>
      </w:r>
      <w:r w:rsidR="00A6695C">
        <w:rPr>
          <w:rFonts w:ascii="Calibri" w:hAnsi="Calibri"/>
        </w:rPr>
        <w:t>the original full sample weight variable (</w:t>
      </w:r>
      <w:r w:rsidR="00A6695C" w:rsidRPr="00B74E6D">
        <w:rPr>
          <w:rFonts w:ascii="Calibri" w:hAnsi="Calibri"/>
          <w:i/>
        </w:rPr>
        <w:t>WEIGHT</w:t>
      </w:r>
      <w:r w:rsidR="00A6695C">
        <w:rPr>
          <w:rFonts w:ascii="Calibri" w:hAnsi="Calibri"/>
          <w:i/>
        </w:rPr>
        <w:t>)</w:t>
      </w:r>
      <w:r w:rsidR="00A6695C">
        <w:rPr>
          <w:rFonts w:ascii="Calibri" w:hAnsi="Calibri"/>
        </w:rPr>
        <w:t xml:space="preserve"> </w:t>
      </w:r>
      <w:r w:rsidRPr="005A3E3C">
        <w:rPr>
          <w:rFonts w:ascii="Calibri" w:hAnsi="Calibri"/>
        </w:rPr>
        <w:t xml:space="preserve">except there is no adjustment for frame overlap because only one sampling frame is used.  Also, a phone use parameter is </w:t>
      </w:r>
      <w:r w:rsidRPr="005A3E3C">
        <w:rPr>
          <w:rFonts w:ascii="Calibri" w:hAnsi="Calibri"/>
          <w:i/>
        </w:rPr>
        <w:t xml:space="preserve">not </w:t>
      </w:r>
      <w:r w:rsidRPr="005A3E3C">
        <w:rPr>
          <w:rFonts w:ascii="Calibri" w:hAnsi="Calibri"/>
        </w:rPr>
        <w:t xml:space="preserve">included in the second stage weighting. </w:t>
      </w:r>
    </w:p>
    <w:p w:rsidR="00F52396" w:rsidRDefault="00F52396" w:rsidP="00187EEF">
      <w:pPr>
        <w:spacing w:line="288" w:lineRule="auto"/>
        <w:rPr>
          <w:rFonts w:ascii="Calibri" w:hAnsi="Calibri"/>
        </w:rPr>
      </w:pPr>
    </w:p>
    <w:p w:rsidR="00C11420" w:rsidRPr="00F52396" w:rsidRDefault="00F52396" w:rsidP="00F52396">
      <w:pPr>
        <w:spacing w:line="312" w:lineRule="auto"/>
        <w:jc w:val="left"/>
        <w:rPr>
          <w:rFonts w:ascii="Calibri" w:eastAsia="Times New Roman" w:hAnsi="Calibri"/>
          <w:b/>
          <w:i/>
          <w:snapToGrid/>
        </w:rPr>
      </w:pPr>
      <w:r>
        <w:rPr>
          <w:rFonts w:ascii="Calibri" w:eastAsia="Times New Roman" w:hAnsi="Calibri"/>
          <w:b/>
          <w:i/>
          <w:snapToGrid/>
        </w:rPr>
        <w:t>Design of CELL</w:t>
      </w:r>
      <w:r w:rsidRPr="00F52396">
        <w:rPr>
          <w:rFonts w:ascii="Calibri" w:eastAsia="Times New Roman" w:hAnsi="Calibri"/>
          <w:b/>
          <w:i/>
          <w:snapToGrid/>
        </w:rPr>
        <w:t>WEIGHT</w:t>
      </w:r>
    </w:p>
    <w:p w:rsidR="00CF510A" w:rsidRDefault="00EF7616" w:rsidP="00CF510A">
      <w:pPr>
        <w:spacing w:line="288" w:lineRule="auto"/>
        <w:rPr>
          <w:rFonts w:ascii="Calibri" w:hAnsi="Calibri"/>
        </w:rPr>
      </w:pPr>
      <w:r>
        <w:rPr>
          <w:rFonts w:ascii="Calibri" w:hAnsi="Calibri"/>
        </w:rPr>
        <w:t>This new weight was</w:t>
      </w:r>
      <w:r w:rsidR="00CE7746">
        <w:rPr>
          <w:rFonts w:ascii="Calibri" w:hAnsi="Calibri"/>
        </w:rPr>
        <w:t xml:space="preserve"> introduced during</w:t>
      </w:r>
      <w:r w:rsidR="00F241D6">
        <w:rPr>
          <w:rFonts w:ascii="Calibri" w:hAnsi="Calibri"/>
        </w:rPr>
        <w:t xml:space="preserve"> the s</w:t>
      </w:r>
      <w:r>
        <w:rPr>
          <w:rFonts w:ascii="Calibri" w:hAnsi="Calibri"/>
        </w:rPr>
        <w:t>econd phase of data collection and is</w:t>
      </w:r>
      <w:r w:rsidR="00A46BC0" w:rsidRPr="00447379">
        <w:rPr>
          <w:rFonts w:ascii="Calibri" w:hAnsi="Calibri"/>
        </w:rPr>
        <w:t xml:space="preserve"> computed for </w:t>
      </w:r>
      <w:r w:rsidR="00CF510A" w:rsidRPr="00447379">
        <w:rPr>
          <w:rFonts w:ascii="Calibri" w:hAnsi="Calibri"/>
        </w:rPr>
        <w:t>respondents from</w:t>
      </w:r>
      <w:r w:rsidR="00A46BC0" w:rsidRPr="00447379">
        <w:rPr>
          <w:rFonts w:ascii="Calibri" w:hAnsi="Calibri"/>
        </w:rPr>
        <w:t xml:space="preserve"> the cell phone sample </w:t>
      </w:r>
      <w:r w:rsidR="00F241D6">
        <w:rPr>
          <w:rFonts w:ascii="Calibri" w:hAnsi="Calibri"/>
        </w:rPr>
        <w:t xml:space="preserve">only. </w:t>
      </w:r>
      <w:r w:rsidR="00904969">
        <w:rPr>
          <w:rFonts w:ascii="Calibri" w:hAnsi="Calibri"/>
        </w:rPr>
        <w:t>It is</w:t>
      </w:r>
      <w:r w:rsidR="00F241D6">
        <w:rPr>
          <w:rFonts w:ascii="Calibri" w:hAnsi="Calibri"/>
        </w:rPr>
        <w:t xml:space="preserve"> computed</w:t>
      </w:r>
      <w:r w:rsidR="00B74E6D">
        <w:rPr>
          <w:rFonts w:ascii="Calibri" w:hAnsi="Calibri"/>
        </w:rPr>
        <w:t xml:space="preserve"> using the same procedures as the </w:t>
      </w:r>
      <w:r w:rsidR="007D32E9">
        <w:rPr>
          <w:rFonts w:ascii="Calibri" w:hAnsi="Calibri"/>
        </w:rPr>
        <w:t xml:space="preserve">original </w:t>
      </w:r>
      <w:r w:rsidR="00B74E6D">
        <w:rPr>
          <w:rFonts w:ascii="Calibri" w:hAnsi="Calibri"/>
        </w:rPr>
        <w:t xml:space="preserve">full sample weight variable </w:t>
      </w:r>
      <w:r w:rsidR="005275A3">
        <w:rPr>
          <w:rFonts w:ascii="Calibri" w:hAnsi="Calibri"/>
        </w:rPr>
        <w:t>(</w:t>
      </w:r>
      <w:r w:rsidR="00B74E6D" w:rsidRPr="00B74E6D">
        <w:rPr>
          <w:rFonts w:ascii="Calibri" w:hAnsi="Calibri"/>
          <w:i/>
        </w:rPr>
        <w:t>WEIGHT</w:t>
      </w:r>
      <w:r w:rsidR="005275A3">
        <w:rPr>
          <w:rFonts w:ascii="Calibri" w:hAnsi="Calibri"/>
          <w:i/>
        </w:rPr>
        <w:t>)</w:t>
      </w:r>
      <w:r w:rsidR="00B74E6D">
        <w:rPr>
          <w:rFonts w:ascii="Calibri" w:hAnsi="Calibri"/>
        </w:rPr>
        <w:t xml:space="preserve"> </w:t>
      </w:r>
      <w:r w:rsidR="00A46BC0" w:rsidRPr="00447379">
        <w:rPr>
          <w:rFonts w:ascii="Calibri" w:hAnsi="Calibri"/>
        </w:rPr>
        <w:t xml:space="preserve">except there is no </w:t>
      </w:r>
      <w:r w:rsidR="00205F5D">
        <w:rPr>
          <w:rFonts w:ascii="Calibri" w:hAnsi="Calibri"/>
        </w:rPr>
        <w:t>first stage weighting</w:t>
      </w:r>
      <w:r w:rsidR="00A46BC0" w:rsidRPr="00447379">
        <w:rPr>
          <w:rFonts w:ascii="Calibri" w:hAnsi="Calibri"/>
        </w:rPr>
        <w:t xml:space="preserve"> </w:t>
      </w:r>
      <w:r w:rsidR="003247C4">
        <w:rPr>
          <w:rFonts w:ascii="Calibri" w:hAnsi="Calibri"/>
        </w:rPr>
        <w:t xml:space="preserve">and </w:t>
      </w:r>
      <w:r w:rsidR="00A46BC0" w:rsidRPr="00447379">
        <w:rPr>
          <w:rFonts w:ascii="Calibri" w:hAnsi="Calibri"/>
        </w:rPr>
        <w:t xml:space="preserve">a phone use parameter is </w:t>
      </w:r>
      <w:r w:rsidR="00A46BC0" w:rsidRPr="008C6807">
        <w:rPr>
          <w:rFonts w:ascii="Calibri" w:hAnsi="Calibri"/>
          <w:i/>
        </w:rPr>
        <w:t>not</w:t>
      </w:r>
      <w:r w:rsidR="00A46BC0" w:rsidRPr="00447379">
        <w:rPr>
          <w:rFonts w:ascii="Calibri" w:hAnsi="Calibri"/>
        </w:rPr>
        <w:t xml:space="preserve"> included in the second stage weight. </w:t>
      </w:r>
      <w:r w:rsidR="00F241D6">
        <w:rPr>
          <w:rFonts w:ascii="Calibri" w:hAnsi="Calibri"/>
        </w:rPr>
        <w:t xml:space="preserve">A </w:t>
      </w:r>
      <w:r w:rsidR="003E68D1">
        <w:rPr>
          <w:rFonts w:ascii="Calibri" w:hAnsi="Calibri"/>
        </w:rPr>
        <w:t>first stage weight</w:t>
      </w:r>
      <w:r w:rsidR="00F241D6">
        <w:rPr>
          <w:rFonts w:ascii="Calibri" w:hAnsi="Calibri"/>
        </w:rPr>
        <w:t xml:space="preserve"> </w:t>
      </w:r>
      <w:r w:rsidR="00AB0235">
        <w:rPr>
          <w:rFonts w:ascii="Calibri" w:hAnsi="Calibri"/>
        </w:rPr>
        <w:t>is</w:t>
      </w:r>
      <w:r w:rsidR="00F241D6">
        <w:rPr>
          <w:rFonts w:ascii="Calibri" w:hAnsi="Calibri"/>
        </w:rPr>
        <w:t xml:space="preserve"> not required</w:t>
      </w:r>
      <w:r w:rsidR="00A46BC0" w:rsidRPr="00574423">
        <w:rPr>
          <w:rFonts w:ascii="Calibri" w:hAnsi="Calibri"/>
        </w:rPr>
        <w:t xml:space="preserve"> because the probability of selection from t</w:t>
      </w:r>
      <w:r w:rsidR="005D6AC3">
        <w:rPr>
          <w:rFonts w:ascii="Calibri" w:hAnsi="Calibri"/>
        </w:rPr>
        <w:t>he cell phone frame is constant,</w:t>
      </w:r>
      <w:r w:rsidR="00A46BC0" w:rsidRPr="00574423">
        <w:rPr>
          <w:rFonts w:ascii="Calibri" w:hAnsi="Calibri"/>
        </w:rPr>
        <w:t xml:space="preserve"> there is no within household selection of cell phone respondents, and there </w:t>
      </w:r>
      <w:r w:rsidR="00805DB4">
        <w:rPr>
          <w:rFonts w:ascii="Calibri" w:hAnsi="Calibri"/>
        </w:rPr>
        <w:t>is</w:t>
      </w:r>
      <w:r w:rsidR="00A46BC0" w:rsidRPr="00574423">
        <w:rPr>
          <w:rFonts w:ascii="Calibri" w:hAnsi="Calibri"/>
        </w:rPr>
        <w:t xml:space="preserve"> no adjustment for the number of cell phones. </w:t>
      </w:r>
      <w:r w:rsidR="007F60C1">
        <w:rPr>
          <w:rFonts w:ascii="Calibri" w:hAnsi="Calibri"/>
        </w:rPr>
        <w:t>Th</w:t>
      </w:r>
      <w:r w:rsidR="008D399F">
        <w:rPr>
          <w:rFonts w:ascii="Calibri" w:hAnsi="Calibri"/>
        </w:rPr>
        <w:t xml:space="preserve">is new weight </w:t>
      </w:r>
      <w:r w:rsidR="00B065D6">
        <w:rPr>
          <w:rFonts w:ascii="Calibri" w:hAnsi="Calibri"/>
        </w:rPr>
        <w:t xml:space="preserve">replaces a </w:t>
      </w:r>
      <w:r w:rsidR="007C417A">
        <w:rPr>
          <w:rFonts w:ascii="Calibri" w:hAnsi="Calibri"/>
        </w:rPr>
        <w:t xml:space="preserve">previous </w:t>
      </w:r>
      <w:r w:rsidR="00B065D6">
        <w:rPr>
          <w:rFonts w:ascii="Calibri" w:hAnsi="Calibri"/>
        </w:rPr>
        <w:t>weight</w:t>
      </w:r>
      <w:r w:rsidR="005C64FA">
        <w:rPr>
          <w:rFonts w:ascii="Calibri" w:hAnsi="Calibri"/>
        </w:rPr>
        <w:t xml:space="preserve">, labeled </w:t>
      </w:r>
      <w:proofErr w:type="gramStart"/>
      <w:r w:rsidR="005C64FA" w:rsidRPr="005C64FA">
        <w:rPr>
          <w:rFonts w:ascii="Calibri" w:hAnsi="Calibri"/>
          <w:i/>
        </w:rPr>
        <w:t>COWEIGHT</w:t>
      </w:r>
      <w:r w:rsidR="005C64FA">
        <w:rPr>
          <w:rFonts w:ascii="Calibri" w:hAnsi="Calibri"/>
        </w:rPr>
        <w:t>,</w:t>
      </w:r>
      <w:r w:rsidR="00F70A33">
        <w:rPr>
          <w:rFonts w:ascii="Calibri" w:hAnsi="Calibri"/>
        </w:rPr>
        <w:t xml:space="preserve"> </w:t>
      </w:r>
      <w:r w:rsidR="007C417A">
        <w:rPr>
          <w:rFonts w:ascii="Calibri" w:hAnsi="Calibri"/>
        </w:rPr>
        <w:t>that</w:t>
      </w:r>
      <w:proofErr w:type="gramEnd"/>
      <w:r w:rsidR="007C417A">
        <w:rPr>
          <w:rFonts w:ascii="Calibri" w:hAnsi="Calibri"/>
        </w:rPr>
        <w:t xml:space="preserve"> was </w:t>
      </w:r>
      <w:r w:rsidR="00B065D6">
        <w:rPr>
          <w:rFonts w:ascii="Calibri" w:hAnsi="Calibri"/>
        </w:rPr>
        <w:t>computed for landline sample and cell phone only respondent</w:t>
      </w:r>
      <w:r w:rsidR="005C64FA">
        <w:rPr>
          <w:rFonts w:ascii="Calibri" w:hAnsi="Calibri"/>
        </w:rPr>
        <w:t xml:space="preserve">s </w:t>
      </w:r>
      <w:r w:rsidR="00D75A8D">
        <w:rPr>
          <w:rFonts w:ascii="Calibri" w:hAnsi="Calibri"/>
        </w:rPr>
        <w:t>in the first phase of data collection</w:t>
      </w:r>
      <w:r w:rsidR="007C417A">
        <w:rPr>
          <w:rFonts w:ascii="Calibri" w:hAnsi="Calibri"/>
        </w:rPr>
        <w:t xml:space="preserve">. </w:t>
      </w:r>
    </w:p>
    <w:p w:rsidR="00E122EA" w:rsidRDefault="00E122EA" w:rsidP="005A3E3C">
      <w:pPr>
        <w:spacing w:line="288" w:lineRule="auto"/>
        <w:rPr>
          <w:rFonts w:ascii="Calibri" w:hAnsi="Calibri" w:cs="Arial"/>
          <w:b/>
          <w:bCs/>
          <w:color w:val="000080"/>
          <w:sz w:val="28"/>
          <w:szCs w:val="28"/>
        </w:rPr>
      </w:pPr>
    </w:p>
    <w:p w:rsidR="005A3E3C" w:rsidRPr="00073C86" w:rsidRDefault="005A3E3C" w:rsidP="005A3E3C">
      <w:pPr>
        <w:spacing w:line="288" w:lineRule="auto"/>
        <w:rPr>
          <w:rFonts w:ascii="Calibri" w:hAnsi="Calibri" w:cs="Arial"/>
          <w:b/>
          <w:bCs/>
          <w:color w:val="E60000"/>
          <w:sz w:val="28"/>
          <w:szCs w:val="28"/>
        </w:rPr>
      </w:pPr>
      <w:r w:rsidRPr="00073C86">
        <w:rPr>
          <w:rFonts w:ascii="Calibri" w:hAnsi="Calibri" w:cs="Arial"/>
          <w:b/>
          <w:bCs/>
          <w:color w:val="E60000"/>
          <w:sz w:val="28"/>
          <w:szCs w:val="28"/>
        </w:rPr>
        <w:t>V</w:t>
      </w:r>
      <w:r w:rsidR="00F45E97" w:rsidRPr="00073C86">
        <w:rPr>
          <w:rFonts w:ascii="Calibri" w:hAnsi="Calibri" w:cs="Arial"/>
          <w:b/>
          <w:bCs/>
          <w:color w:val="E60000"/>
          <w:sz w:val="28"/>
          <w:szCs w:val="28"/>
        </w:rPr>
        <w:t>I</w:t>
      </w:r>
      <w:r w:rsidRPr="00073C86">
        <w:rPr>
          <w:rFonts w:ascii="Calibri" w:hAnsi="Calibri" w:cs="Arial"/>
          <w:b/>
          <w:bCs/>
          <w:color w:val="E60000"/>
          <w:sz w:val="28"/>
          <w:szCs w:val="28"/>
        </w:rPr>
        <w:t>I</w:t>
      </w:r>
      <w:proofErr w:type="gramStart"/>
      <w:r w:rsidRPr="00073C86">
        <w:rPr>
          <w:rFonts w:ascii="Calibri" w:hAnsi="Calibri" w:cs="Arial"/>
          <w:b/>
          <w:bCs/>
          <w:color w:val="E60000"/>
          <w:sz w:val="28"/>
          <w:szCs w:val="28"/>
        </w:rPr>
        <w:t>.  DESIGN</w:t>
      </w:r>
      <w:proofErr w:type="gramEnd"/>
      <w:r w:rsidRPr="00073C86">
        <w:rPr>
          <w:rFonts w:ascii="Calibri" w:hAnsi="Calibri" w:cs="Arial"/>
          <w:b/>
          <w:bCs/>
          <w:color w:val="E60000"/>
          <w:sz w:val="28"/>
          <w:szCs w:val="28"/>
        </w:rPr>
        <w:t xml:space="preserve"> EFFECT AND MARGIN OF ERROR</w:t>
      </w:r>
    </w:p>
    <w:p w:rsidR="00D75A8D" w:rsidRDefault="005A3E3C" w:rsidP="00187EEF">
      <w:pPr>
        <w:spacing w:line="312" w:lineRule="auto"/>
        <w:rPr>
          <w:rFonts w:ascii="Calibri" w:eastAsia="Times New Roman" w:hAnsi="Calibri" w:cs="Arial"/>
          <w:snapToGrid/>
          <w:szCs w:val="20"/>
        </w:rPr>
      </w:pPr>
      <w:r w:rsidRPr="005A3E3C">
        <w:rPr>
          <w:rFonts w:ascii="Calibri" w:eastAsia="Times New Roman" w:hAnsi="Calibri" w:cs="Arial"/>
          <w:snapToGrid/>
          <w:szCs w:val="20"/>
        </w:rPr>
        <w:t xml:space="preserve">Weighting and survey design features that depart from simple random sampling tend to result in an increase in the variance of survey estimates.  This increase, known as the design effect or </w:t>
      </w:r>
      <w:r w:rsidRPr="005A3E3C">
        <w:rPr>
          <w:rFonts w:ascii="Calibri" w:eastAsia="Times New Roman" w:hAnsi="Calibri" w:cs="Arial"/>
          <w:i/>
          <w:snapToGrid/>
          <w:szCs w:val="20"/>
        </w:rPr>
        <w:t>deff</w:t>
      </w:r>
      <w:r w:rsidRPr="005A3E3C">
        <w:rPr>
          <w:rFonts w:ascii="Calibri" w:eastAsia="Times New Roman" w:hAnsi="Calibri" w:cs="Arial"/>
          <w:snapToGrid/>
          <w:szCs w:val="20"/>
        </w:rPr>
        <w:t xml:space="preserve">, should be incorporated into the margin of error, standard errors, and tests of statistical significance.  The overall design effect for a survey is commonly approximated as the 1 plus the squared coefficient of variation of the weights.  For this survey, the margin of error (half-width </w:t>
      </w:r>
      <w:r w:rsidRPr="005F4ECE">
        <w:rPr>
          <w:rFonts w:ascii="Calibri" w:eastAsia="Times New Roman" w:hAnsi="Calibri" w:cs="Arial"/>
          <w:snapToGrid/>
          <w:szCs w:val="20"/>
        </w:rPr>
        <w:t>of the 95% confidence interval) incorporating the design effect for full-s</w:t>
      </w:r>
      <w:r w:rsidR="0060426C">
        <w:rPr>
          <w:rFonts w:ascii="Calibri" w:eastAsia="Times New Roman" w:hAnsi="Calibri" w:cs="Arial"/>
          <w:snapToGrid/>
          <w:szCs w:val="20"/>
        </w:rPr>
        <w:t xml:space="preserve">ample estimates at 50% </w:t>
      </w:r>
      <w:r w:rsidR="0060426C" w:rsidRPr="00D75A8D">
        <w:rPr>
          <w:rFonts w:ascii="Calibri" w:eastAsia="Times New Roman" w:hAnsi="Calibri" w:cs="Arial"/>
          <w:snapToGrid/>
          <w:szCs w:val="20"/>
        </w:rPr>
        <w:t xml:space="preserve">is ± </w:t>
      </w:r>
      <w:r w:rsidR="00D75A8D" w:rsidRPr="00D75A8D">
        <w:rPr>
          <w:rFonts w:ascii="Calibri" w:eastAsia="Times New Roman" w:hAnsi="Calibri" w:cs="Arial"/>
          <w:snapToGrid/>
          <w:szCs w:val="20"/>
        </w:rPr>
        <w:t>1.13</w:t>
      </w:r>
      <w:r w:rsidR="00D75A8D">
        <w:rPr>
          <w:rFonts w:ascii="Calibri" w:eastAsia="Times New Roman" w:hAnsi="Calibri" w:cs="Arial"/>
          <w:snapToGrid/>
          <w:szCs w:val="20"/>
        </w:rPr>
        <w:t xml:space="preserve"> </w:t>
      </w:r>
      <w:r w:rsidRPr="005F4ECE">
        <w:rPr>
          <w:rFonts w:ascii="Calibri" w:eastAsia="Times New Roman" w:hAnsi="Calibri" w:cs="Arial"/>
          <w:snapToGrid/>
          <w:szCs w:val="20"/>
        </w:rPr>
        <w:t>percentage</w:t>
      </w:r>
      <w:r w:rsidRPr="005A3E3C">
        <w:rPr>
          <w:rFonts w:ascii="Calibri" w:eastAsia="Times New Roman" w:hAnsi="Calibri" w:cs="Arial"/>
          <w:snapToGrid/>
          <w:szCs w:val="20"/>
        </w:rPr>
        <w:t xml:space="preserve"> points</w:t>
      </w:r>
      <w:r w:rsidR="005D6AC3">
        <w:rPr>
          <w:rFonts w:ascii="Calibri" w:eastAsia="Times New Roman" w:hAnsi="Calibri" w:cs="Arial"/>
          <w:snapToGrid/>
          <w:szCs w:val="20"/>
        </w:rPr>
        <w:t xml:space="preserve"> when using interviews from all three phases</w:t>
      </w:r>
      <w:r w:rsidRPr="005A3E3C">
        <w:rPr>
          <w:rFonts w:ascii="Calibri" w:eastAsia="Times New Roman" w:hAnsi="Calibri" w:cs="Arial"/>
          <w:snapToGrid/>
          <w:szCs w:val="20"/>
        </w:rPr>
        <w:t>.  Estimates</w:t>
      </w:r>
      <w:r w:rsidRPr="005A3E3C">
        <w:rPr>
          <w:rFonts w:ascii="Calibri" w:eastAsia="Times New Roman" w:hAnsi="Calibri"/>
          <w:snapToGrid/>
          <w:szCs w:val="20"/>
        </w:rPr>
        <w:t xml:space="preserve"> based on subgroups will have larger margins of error.  </w:t>
      </w:r>
      <w:r w:rsidRPr="005A3E3C">
        <w:rPr>
          <w:rFonts w:ascii="Calibri" w:eastAsia="Times New Roman" w:hAnsi="Calibri" w:cs="Arial"/>
          <w:snapToGrid/>
          <w:szCs w:val="20"/>
        </w:rPr>
        <w:t xml:space="preserve">It is important to remember that random sampling error is only one possible source of error in a survey estimate. Other sources, such as question wording and reporting inaccuracy, may contribute additional error. </w:t>
      </w:r>
      <w:r w:rsidR="005D0AF1">
        <w:rPr>
          <w:rFonts w:ascii="Calibri" w:eastAsia="Times New Roman" w:hAnsi="Calibri" w:cs="Arial"/>
          <w:snapToGrid/>
          <w:szCs w:val="20"/>
        </w:rPr>
        <w:t>A summary of the weights</w:t>
      </w:r>
      <w:r w:rsidR="00A870BB">
        <w:rPr>
          <w:rFonts w:ascii="Calibri" w:eastAsia="Times New Roman" w:hAnsi="Calibri" w:cs="Arial"/>
          <w:snapToGrid/>
          <w:szCs w:val="20"/>
        </w:rPr>
        <w:t xml:space="preserve"> and</w:t>
      </w:r>
      <w:r w:rsidR="005D0AF1">
        <w:rPr>
          <w:rFonts w:ascii="Calibri" w:eastAsia="Times New Roman" w:hAnsi="Calibri" w:cs="Arial"/>
          <w:snapToGrid/>
          <w:szCs w:val="20"/>
        </w:rPr>
        <w:t xml:space="preserve"> the</w:t>
      </w:r>
      <w:r w:rsidR="0051327F">
        <w:rPr>
          <w:rFonts w:ascii="Calibri" w:eastAsia="Times New Roman" w:hAnsi="Calibri" w:cs="Arial"/>
          <w:snapToGrid/>
          <w:szCs w:val="20"/>
        </w:rPr>
        <w:t>ir</w:t>
      </w:r>
      <w:r w:rsidR="005D0AF1">
        <w:rPr>
          <w:rFonts w:ascii="Calibri" w:eastAsia="Times New Roman" w:hAnsi="Calibri" w:cs="Arial"/>
          <w:snapToGrid/>
          <w:szCs w:val="20"/>
        </w:rPr>
        <w:t xml:space="preserve"> associated design effect is </w:t>
      </w:r>
      <w:r w:rsidR="00A870BB">
        <w:rPr>
          <w:rFonts w:ascii="Calibri" w:eastAsia="Times New Roman" w:hAnsi="Calibri" w:cs="Arial"/>
          <w:snapToGrid/>
          <w:szCs w:val="20"/>
        </w:rPr>
        <w:t>reported</w:t>
      </w:r>
      <w:r w:rsidR="005D0AF1">
        <w:rPr>
          <w:rFonts w:ascii="Calibri" w:eastAsia="Times New Roman" w:hAnsi="Calibri" w:cs="Arial"/>
          <w:snapToGrid/>
          <w:szCs w:val="20"/>
        </w:rPr>
        <w:t xml:space="preserve"> in Table 3 below.</w:t>
      </w:r>
    </w:p>
    <w:p w:rsidR="005D0AF1" w:rsidRDefault="005D0AF1" w:rsidP="00187EEF">
      <w:pPr>
        <w:spacing w:line="312" w:lineRule="auto"/>
        <w:rPr>
          <w:rFonts w:ascii="Calibri" w:eastAsia="Times New Roman" w:hAnsi="Calibri" w:cs="Arial"/>
          <w:snapToGrid/>
          <w:szCs w:val="20"/>
        </w:rPr>
      </w:pPr>
    </w:p>
    <w:p w:rsidR="00C90C8F" w:rsidRPr="00BF0AEC" w:rsidRDefault="00BF0AEC" w:rsidP="00187EEF">
      <w:pPr>
        <w:spacing w:line="312" w:lineRule="auto"/>
        <w:rPr>
          <w:rFonts w:ascii="Calibri" w:eastAsia="Times New Roman" w:hAnsi="Calibri" w:cs="Arial"/>
          <w:b/>
          <w:snapToGrid/>
          <w:sz w:val="22"/>
          <w:szCs w:val="22"/>
        </w:rPr>
      </w:pPr>
      <w:proofErr w:type="gramStart"/>
      <w:r w:rsidRPr="00BF0AEC">
        <w:rPr>
          <w:rFonts w:ascii="Calibri" w:eastAsia="Times New Roman" w:hAnsi="Calibri" w:cs="Arial"/>
          <w:b/>
          <w:snapToGrid/>
          <w:sz w:val="22"/>
          <w:szCs w:val="22"/>
        </w:rPr>
        <w:t>Table 3.</w:t>
      </w:r>
      <w:proofErr w:type="gramEnd"/>
      <w:r w:rsidRPr="00BF0AEC">
        <w:rPr>
          <w:rFonts w:ascii="Calibri" w:eastAsia="Times New Roman" w:hAnsi="Calibri" w:cs="Arial"/>
          <w:b/>
          <w:snapToGrid/>
          <w:sz w:val="22"/>
          <w:szCs w:val="22"/>
        </w:rPr>
        <w:t xml:space="preserve"> </w:t>
      </w:r>
      <w:r w:rsidR="009A5081">
        <w:rPr>
          <w:rFonts w:ascii="Calibri" w:eastAsia="Times New Roman" w:hAnsi="Calibri" w:cs="Arial"/>
          <w:b/>
          <w:snapToGrid/>
          <w:sz w:val="22"/>
          <w:szCs w:val="22"/>
        </w:rPr>
        <w:t>Effective Sample Size: Full Sample Estimates</w:t>
      </w:r>
    </w:p>
    <w:tbl>
      <w:tblPr>
        <w:tblW w:w="8118" w:type="dxa"/>
        <w:tblLook w:val="04A0" w:firstRow="1" w:lastRow="0" w:firstColumn="1" w:lastColumn="0" w:noHBand="0" w:noVBand="1"/>
      </w:tblPr>
      <w:tblGrid>
        <w:gridCol w:w="1920"/>
        <w:gridCol w:w="1229"/>
        <w:gridCol w:w="1189"/>
        <w:gridCol w:w="1260"/>
        <w:gridCol w:w="1170"/>
        <w:gridCol w:w="1350"/>
      </w:tblGrid>
      <w:tr w:rsidR="00BF0AEC" w:rsidRPr="0001358F" w:rsidTr="004C124A">
        <w:trPr>
          <w:trHeight w:val="300"/>
        </w:trPr>
        <w:tc>
          <w:tcPr>
            <w:tcW w:w="1920" w:type="dxa"/>
            <w:vMerge w:val="restart"/>
            <w:tcBorders>
              <w:top w:val="single" w:sz="12" w:space="0" w:color="auto"/>
              <w:left w:val="nil"/>
              <w:bottom w:val="single" w:sz="4" w:space="0" w:color="000000"/>
              <w:right w:val="nil"/>
            </w:tcBorders>
            <w:shd w:val="clear" w:color="auto" w:fill="auto"/>
            <w:vAlign w:val="center"/>
            <w:hideMark/>
          </w:tcPr>
          <w:p w:rsidR="00BF0AEC" w:rsidRPr="00DE344D" w:rsidRDefault="005D0AF1" w:rsidP="00DE344D">
            <w:pPr>
              <w:rPr>
                <w:rFonts w:ascii="Calibri" w:eastAsia="Times New Roman" w:hAnsi="Calibri" w:cs="Arial"/>
                <w:b/>
                <w:bCs/>
                <w:color w:val="000000"/>
                <w:sz w:val="22"/>
                <w:szCs w:val="22"/>
              </w:rPr>
            </w:pPr>
            <w:r w:rsidRPr="00DE344D">
              <w:rPr>
                <w:rFonts w:ascii="Calibri" w:eastAsia="Times New Roman" w:hAnsi="Calibri" w:cs="Arial"/>
                <w:b/>
                <w:bCs/>
                <w:color w:val="000000"/>
                <w:sz w:val="22"/>
                <w:szCs w:val="22"/>
              </w:rPr>
              <w:t>Weight Variable</w:t>
            </w:r>
          </w:p>
        </w:tc>
        <w:tc>
          <w:tcPr>
            <w:tcW w:w="1229" w:type="dxa"/>
            <w:vMerge w:val="restart"/>
            <w:tcBorders>
              <w:top w:val="single" w:sz="12" w:space="0" w:color="auto"/>
              <w:left w:val="nil"/>
              <w:bottom w:val="single" w:sz="4" w:space="0" w:color="000000"/>
              <w:right w:val="nil"/>
            </w:tcBorders>
            <w:shd w:val="clear" w:color="auto" w:fill="auto"/>
            <w:vAlign w:val="center"/>
            <w:hideMark/>
          </w:tcPr>
          <w:p w:rsidR="00BF0AEC" w:rsidRPr="00DE344D" w:rsidRDefault="00BF0AEC" w:rsidP="00DE344D">
            <w:pPr>
              <w:jc w:val="center"/>
              <w:rPr>
                <w:rFonts w:ascii="Calibri" w:eastAsia="Times New Roman" w:hAnsi="Calibri" w:cs="Arial"/>
                <w:b/>
                <w:bCs/>
                <w:color w:val="000000"/>
                <w:sz w:val="22"/>
                <w:szCs w:val="22"/>
              </w:rPr>
            </w:pPr>
            <w:r w:rsidRPr="00DE344D">
              <w:rPr>
                <w:rFonts w:ascii="Calibri" w:eastAsia="Times New Roman" w:hAnsi="Calibri" w:cs="Arial"/>
                <w:b/>
                <w:bCs/>
                <w:color w:val="000000"/>
                <w:sz w:val="22"/>
                <w:szCs w:val="22"/>
              </w:rPr>
              <w:t>Number of cases (n)</w:t>
            </w:r>
          </w:p>
        </w:tc>
        <w:tc>
          <w:tcPr>
            <w:tcW w:w="1189" w:type="dxa"/>
            <w:vMerge w:val="restart"/>
            <w:tcBorders>
              <w:top w:val="single" w:sz="12" w:space="0" w:color="auto"/>
              <w:left w:val="nil"/>
              <w:bottom w:val="single" w:sz="4" w:space="0" w:color="000000"/>
              <w:right w:val="nil"/>
            </w:tcBorders>
            <w:shd w:val="clear" w:color="auto" w:fill="auto"/>
            <w:vAlign w:val="center"/>
            <w:hideMark/>
          </w:tcPr>
          <w:p w:rsidR="00BF0AEC" w:rsidRPr="00DE344D" w:rsidRDefault="00BF0AEC" w:rsidP="00DE344D">
            <w:pPr>
              <w:jc w:val="center"/>
              <w:rPr>
                <w:rFonts w:ascii="Calibri" w:eastAsia="Times New Roman" w:hAnsi="Calibri" w:cs="Arial"/>
                <w:b/>
                <w:bCs/>
                <w:color w:val="000000"/>
                <w:sz w:val="22"/>
                <w:szCs w:val="22"/>
              </w:rPr>
            </w:pPr>
            <w:r w:rsidRPr="00DE344D">
              <w:rPr>
                <w:rFonts w:ascii="Calibri" w:eastAsia="Times New Roman" w:hAnsi="Calibri" w:cs="Arial"/>
                <w:b/>
                <w:bCs/>
                <w:color w:val="000000"/>
                <w:sz w:val="22"/>
                <w:szCs w:val="22"/>
              </w:rPr>
              <w:t>Minimum weight</w:t>
            </w:r>
          </w:p>
        </w:tc>
        <w:tc>
          <w:tcPr>
            <w:tcW w:w="1260" w:type="dxa"/>
            <w:vMerge w:val="restart"/>
            <w:tcBorders>
              <w:top w:val="single" w:sz="12" w:space="0" w:color="auto"/>
              <w:left w:val="nil"/>
              <w:bottom w:val="single" w:sz="4" w:space="0" w:color="000000"/>
              <w:right w:val="nil"/>
            </w:tcBorders>
            <w:shd w:val="clear" w:color="auto" w:fill="auto"/>
            <w:vAlign w:val="center"/>
            <w:hideMark/>
          </w:tcPr>
          <w:p w:rsidR="00BF0AEC" w:rsidRPr="00DE344D" w:rsidRDefault="00BF0AEC" w:rsidP="00DE344D">
            <w:pPr>
              <w:jc w:val="center"/>
              <w:rPr>
                <w:rFonts w:ascii="Calibri" w:eastAsia="Times New Roman" w:hAnsi="Calibri" w:cs="Arial"/>
                <w:b/>
                <w:bCs/>
                <w:color w:val="000000"/>
                <w:sz w:val="22"/>
                <w:szCs w:val="22"/>
              </w:rPr>
            </w:pPr>
            <w:r w:rsidRPr="00DE344D">
              <w:rPr>
                <w:rFonts w:ascii="Calibri" w:eastAsia="Times New Roman" w:hAnsi="Calibri" w:cs="Arial"/>
                <w:b/>
                <w:bCs/>
                <w:color w:val="000000"/>
                <w:sz w:val="22"/>
                <w:szCs w:val="22"/>
              </w:rPr>
              <w:t>Maximum weight</w:t>
            </w:r>
          </w:p>
        </w:tc>
        <w:tc>
          <w:tcPr>
            <w:tcW w:w="1170" w:type="dxa"/>
            <w:vMerge w:val="restart"/>
            <w:tcBorders>
              <w:top w:val="single" w:sz="12" w:space="0" w:color="auto"/>
              <w:left w:val="nil"/>
              <w:bottom w:val="single" w:sz="4" w:space="0" w:color="000000"/>
              <w:right w:val="nil"/>
            </w:tcBorders>
            <w:shd w:val="clear" w:color="auto" w:fill="auto"/>
            <w:vAlign w:val="center"/>
            <w:hideMark/>
          </w:tcPr>
          <w:p w:rsidR="00BF0AEC" w:rsidRPr="00DE344D" w:rsidRDefault="00BF0AEC" w:rsidP="00DE344D">
            <w:pPr>
              <w:jc w:val="center"/>
              <w:rPr>
                <w:rFonts w:ascii="Calibri" w:eastAsia="Times New Roman" w:hAnsi="Calibri"/>
                <w:b/>
                <w:bCs/>
                <w:color w:val="000000"/>
                <w:sz w:val="22"/>
                <w:szCs w:val="22"/>
              </w:rPr>
            </w:pPr>
            <w:r w:rsidRPr="00DE344D">
              <w:rPr>
                <w:rFonts w:ascii="Calibri" w:eastAsia="Times New Roman" w:hAnsi="Calibri"/>
                <w:b/>
                <w:bCs/>
                <w:color w:val="000000"/>
                <w:sz w:val="22"/>
                <w:szCs w:val="22"/>
              </w:rPr>
              <w:t>Design effect</w:t>
            </w:r>
          </w:p>
        </w:tc>
        <w:tc>
          <w:tcPr>
            <w:tcW w:w="1350" w:type="dxa"/>
            <w:vMerge w:val="restart"/>
            <w:tcBorders>
              <w:top w:val="single" w:sz="12" w:space="0" w:color="auto"/>
              <w:left w:val="nil"/>
              <w:bottom w:val="single" w:sz="4" w:space="0" w:color="000000"/>
              <w:right w:val="nil"/>
            </w:tcBorders>
            <w:shd w:val="clear" w:color="auto" w:fill="auto"/>
            <w:vAlign w:val="center"/>
            <w:hideMark/>
          </w:tcPr>
          <w:p w:rsidR="00BF0AEC" w:rsidRPr="00DE344D" w:rsidRDefault="00BF0AEC" w:rsidP="00DE344D">
            <w:pPr>
              <w:jc w:val="center"/>
              <w:rPr>
                <w:rFonts w:ascii="Calibri" w:eastAsia="Times New Roman" w:hAnsi="Calibri" w:cs="Arial"/>
                <w:b/>
                <w:bCs/>
                <w:color w:val="000000"/>
                <w:sz w:val="22"/>
                <w:szCs w:val="22"/>
              </w:rPr>
            </w:pPr>
            <w:r w:rsidRPr="00DE344D">
              <w:rPr>
                <w:rFonts w:ascii="Calibri" w:eastAsia="Times New Roman" w:hAnsi="Calibri" w:cs="Arial"/>
                <w:b/>
                <w:bCs/>
                <w:color w:val="000000"/>
                <w:sz w:val="22"/>
                <w:szCs w:val="22"/>
              </w:rPr>
              <w:t>Effective n</w:t>
            </w:r>
          </w:p>
        </w:tc>
      </w:tr>
      <w:tr w:rsidR="00BF0AEC" w:rsidRPr="0001358F" w:rsidTr="004C124A">
        <w:trPr>
          <w:trHeight w:val="600"/>
        </w:trPr>
        <w:tc>
          <w:tcPr>
            <w:tcW w:w="1920" w:type="dxa"/>
            <w:vMerge/>
            <w:tcBorders>
              <w:top w:val="single" w:sz="4" w:space="0" w:color="auto"/>
              <w:left w:val="nil"/>
              <w:bottom w:val="single" w:sz="4" w:space="0" w:color="000000"/>
              <w:right w:val="nil"/>
            </w:tcBorders>
            <w:vAlign w:val="center"/>
            <w:hideMark/>
          </w:tcPr>
          <w:p w:rsidR="00BF0AEC" w:rsidRPr="00DE344D" w:rsidRDefault="00BF0AEC" w:rsidP="00DE344D">
            <w:pPr>
              <w:rPr>
                <w:rFonts w:ascii="Calibri" w:eastAsia="Times New Roman" w:hAnsi="Calibri" w:cs="Arial"/>
                <w:b/>
                <w:bCs/>
                <w:color w:val="000000"/>
                <w:sz w:val="22"/>
                <w:szCs w:val="22"/>
              </w:rPr>
            </w:pPr>
          </w:p>
        </w:tc>
        <w:tc>
          <w:tcPr>
            <w:tcW w:w="1229" w:type="dxa"/>
            <w:vMerge/>
            <w:tcBorders>
              <w:top w:val="single" w:sz="4" w:space="0" w:color="auto"/>
              <w:left w:val="nil"/>
              <w:bottom w:val="single" w:sz="4" w:space="0" w:color="000000"/>
              <w:right w:val="nil"/>
            </w:tcBorders>
            <w:vAlign w:val="center"/>
            <w:hideMark/>
          </w:tcPr>
          <w:p w:rsidR="00BF0AEC" w:rsidRPr="00DE344D" w:rsidRDefault="00BF0AEC" w:rsidP="00DE344D">
            <w:pPr>
              <w:rPr>
                <w:rFonts w:ascii="Calibri" w:eastAsia="Times New Roman" w:hAnsi="Calibri" w:cs="Arial"/>
                <w:b/>
                <w:bCs/>
                <w:color w:val="000000"/>
                <w:sz w:val="22"/>
                <w:szCs w:val="22"/>
              </w:rPr>
            </w:pPr>
          </w:p>
        </w:tc>
        <w:tc>
          <w:tcPr>
            <w:tcW w:w="1189" w:type="dxa"/>
            <w:vMerge/>
            <w:tcBorders>
              <w:top w:val="single" w:sz="4" w:space="0" w:color="auto"/>
              <w:left w:val="nil"/>
              <w:bottom w:val="single" w:sz="4" w:space="0" w:color="000000"/>
              <w:right w:val="nil"/>
            </w:tcBorders>
            <w:vAlign w:val="center"/>
            <w:hideMark/>
          </w:tcPr>
          <w:p w:rsidR="00BF0AEC" w:rsidRPr="00DE344D" w:rsidRDefault="00BF0AEC" w:rsidP="00DE344D">
            <w:pPr>
              <w:rPr>
                <w:rFonts w:ascii="Calibri" w:eastAsia="Times New Roman" w:hAnsi="Calibri" w:cs="Arial"/>
                <w:b/>
                <w:bCs/>
                <w:color w:val="000000"/>
                <w:sz w:val="22"/>
                <w:szCs w:val="22"/>
              </w:rPr>
            </w:pPr>
          </w:p>
        </w:tc>
        <w:tc>
          <w:tcPr>
            <w:tcW w:w="1260" w:type="dxa"/>
            <w:vMerge/>
            <w:tcBorders>
              <w:top w:val="single" w:sz="4" w:space="0" w:color="auto"/>
              <w:left w:val="nil"/>
              <w:bottom w:val="single" w:sz="4" w:space="0" w:color="000000"/>
              <w:right w:val="nil"/>
            </w:tcBorders>
            <w:vAlign w:val="center"/>
            <w:hideMark/>
          </w:tcPr>
          <w:p w:rsidR="00BF0AEC" w:rsidRPr="00DE344D" w:rsidRDefault="00BF0AEC" w:rsidP="00DE344D">
            <w:pPr>
              <w:rPr>
                <w:rFonts w:ascii="Calibri" w:eastAsia="Times New Roman" w:hAnsi="Calibri" w:cs="Arial"/>
                <w:b/>
                <w:bCs/>
                <w:color w:val="000000"/>
                <w:sz w:val="22"/>
                <w:szCs w:val="22"/>
              </w:rPr>
            </w:pPr>
          </w:p>
        </w:tc>
        <w:tc>
          <w:tcPr>
            <w:tcW w:w="1170" w:type="dxa"/>
            <w:vMerge/>
            <w:tcBorders>
              <w:top w:val="single" w:sz="4" w:space="0" w:color="auto"/>
              <w:left w:val="nil"/>
              <w:bottom w:val="single" w:sz="4" w:space="0" w:color="000000"/>
              <w:right w:val="nil"/>
            </w:tcBorders>
            <w:vAlign w:val="center"/>
            <w:hideMark/>
          </w:tcPr>
          <w:p w:rsidR="00BF0AEC" w:rsidRPr="00DE344D" w:rsidRDefault="00BF0AEC" w:rsidP="00DE344D">
            <w:pPr>
              <w:rPr>
                <w:rFonts w:ascii="Calibri" w:eastAsia="Times New Roman" w:hAnsi="Calibri"/>
                <w:b/>
                <w:bCs/>
                <w:color w:val="000000"/>
                <w:sz w:val="22"/>
                <w:szCs w:val="22"/>
              </w:rPr>
            </w:pPr>
          </w:p>
        </w:tc>
        <w:tc>
          <w:tcPr>
            <w:tcW w:w="1350" w:type="dxa"/>
            <w:vMerge/>
            <w:tcBorders>
              <w:top w:val="single" w:sz="4" w:space="0" w:color="auto"/>
              <w:left w:val="nil"/>
              <w:bottom w:val="single" w:sz="4" w:space="0" w:color="000000"/>
              <w:right w:val="nil"/>
            </w:tcBorders>
            <w:vAlign w:val="center"/>
            <w:hideMark/>
          </w:tcPr>
          <w:p w:rsidR="00BF0AEC" w:rsidRPr="00DE344D" w:rsidRDefault="00BF0AEC" w:rsidP="00DE344D">
            <w:pPr>
              <w:rPr>
                <w:rFonts w:ascii="Calibri" w:eastAsia="Times New Roman" w:hAnsi="Calibri" w:cs="Arial"/>
                <w:b/>
                <w:bCs/>
                <w:color w:val="000000"/>
                <w:sz w:val="22"/>
                <w:szCs w:val="22"/>
              </w:rPr>
            </w:pPr>
          </w:p>
        </w:tc>
      </w:tr>
      <w:tr w:rsidR="00BF0AEC" w:rsidRPr="0001358F" w:rsidTr="004C124A">
        <w:trPr>
          <w:trHeight w:val="300"/>
        </w:trPr>
        <w:tc>
          <w:tcPr>
            <w:tcW w:w="1920" w:type="dxa"/>
            <w:tcBorders>
              <w:top w:val="nil"/>
              <w:left w:val="nil"/>
              <w:bottom w:val="nil"/>
              <w:right w:val="nil"/>
            </w:tcBorders>
            <w:shd w:val="clear" w:color="auto" w:fill="auto"/>
            <w:vAlign w:val="center"/>
            <w:hideMark/>
          </w:tcPr>
          <w:p w:rsidR="00BF0AEC" w:rsidRPr="00DE344D" w:rsidRDefault="005D0AF1" w:rsidP="00DE344D">
            <w:pPr>
              <w:rPr>
                <w:rFonts w:ascii="Calibri" w:eastAsia="Times New Roman" w:hAnsi="Calibri"/>
                <w:color w:val="000000"/>
                <w:sz w:val="22"/>
                <w:szCs w:val="22"/>
              </w:rPr>
            </w:pPr>
            <w:r w:rsidRPr="00DE344D">
              <w:rPr>
                <w:rFonts w:ascii="Calibri" w:eastAsia="Times New Roman" w:hAnsi="Calibri"/>
                <w:color w:val="000000"/>
                <w:sz w:val="22"/>
                <w:szCs w:val="22"/>
              </w:rPr>
              <w:t>WEIGHT</w:t>
            </w:r>
          </w:p>
        </w:tc>
        <w:tc>
          <w:tcPr>
            <w:tcW w:w="1229" w:type="dxa"/>
            <w:tcBorders>
              <w:top w:val="nil"/>
              <w:left w:val="nil"/>
              <w:bottom w:val="nil"/>
              <w:right w:val="nil"/>
            </w:tcBorders>
            <w:shd w:val="clear" w:color="auto" w:fill="auto"/>
            <w:vAlign w:val="center"/>
            <w:hideMark/>
          </w:tcPr>
          <w:p w:rsidR="00BF0AEC" w:rsidRPr="00DE344D" w:rsidRDefault="0051327F"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10,014</w:t>
            </w:r>
          </w:p>
        </w:tc>
        <w:tc>
          <w:tcPr>
            <w:tcW w:w="1189" w:type="dxa"/>
            <w:tcBorders>
              <w:top w:val="nil"/>
              <w:left w:val="nil"/>
              <w:bottom w:val="nil"/>
              <w:right w:val="nil"/>
            </w:tcBorders>
            <w:shd w:val="clear" w:color="auto" w:fill="auto"/>
            <w:vAlign w:val="center"/>
            <w:hideMark/>
          </w:tcPr>
          <w:p w:rsidR="00BF0AEC" w:rsidRPr="00DE344D" w:rsidRDefault="00BF0AEC" w:rsidP="003554E8">
            <w:pPr>
              <w:jc w:val="center"/>
              <w:rPr>
                <w:rFonts w:ascii="Calibri" w:eastAsia="Times New Roman" w:hAnsi="Calibri"/>
                <w:color w:val="000000"/>
                <w:sz w:val="22"/>
                <w:szCs w:val="22"/>
              </w:rPr>
            </w:pPr>
            <w:r w:rsidRPr="00DE344D">
              <w:rPr>
                <w:rFonts w:ascii="Calibri" w:eastAsia="Times New Roman" w:hAnsi="Calibri"/>
                <w:color w:val="000000"/>
                <w:sz w:val="22"/>
                <w:szCs w:val="22"/>
              </w:rPr>
              <w:t>0.</w:t>
            </w:r>
            <w:r w:rsidR="003554E8" w:rsidRPr="00DE344D">
              <w:rPr>
                <w:rFonts w:ascii="Calibri" w:eastAsia="Times New Roman" w:hAnsi="Calibri"/>
                <w:color w:val="000000"/>
                <w:sz w:val="22"/>
                <w:szCs w:val="22"/>
              </w:rPr>
              <w:t>2962</w:t>
            </w:r>
          </w:p>
        </w:tc>
        <w:tc>
          <w:tcPr>
            <w:tcW w:w="1260"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2.3421</w:t>
            </w:r>
          </w:p>
        </w:tc>
        <w:tc>
          <w:tcPr>
            <w:tcW w:w="1170"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1.32</w:t>
            </w:r>
          </w:p>
        </w:tc>
        <w:tc>
          <w:tcPr>
            <w:tcW w:w="1350"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7,564</w:t>
            </w:r>
          </w:p>
        </w:tc>
      </w:tr>
      <w:tr w:rsidR="00BF0AEC" w:rsidRPr="0001358F" w:rsidTr="004C124A">
        <w:trPr>
          <w:trHeight w:val="300"/>
        </w:trPr>
        <w:tc>
          <w:tcPr>
            <w:tcW w:w="1920" w:type="dxa"/>
            <w:tcBorders>
              <w:top w:val="nil"/>
              <w:left w:val="nil"/>
              <w:bottom w:val="nil"/>
              <w:right w:val="nil"/>
            </w:tcBorders>
            <w:shd w:val="clear" w:color="auto" w:fill="auto"/>
            <w:vAlign w:val="center"/>
            <w:hideMark/>
          </w:tcPr>
          <w:p w:rsidR="00BF0AEC" w:rsidRPr="00DE344D" w:rsidRDefault="005D0AF1" w:rsidP="00DE344D">
            <w:pPr>
              <w:rPr>
                <w:rFonts w:ascii="Calibri" w:eastAsia="Times New Roman" w:hAnsi="Calibri"/>
                <w:color w:val="000000"/>
                <w:sz w:val="22"/>
                <w:szCs w:val="22"/>
              </w:rPr>
            </w:pPr>
            <w:r w:rsidRPr="00DE344D">
              <w:rPr>
                <w:rFonts w:ascii="Calibri" w:eastAsia="Times New Roman" w:hAnsi="Calibri"/>
                <w:color w:val="000000"/>
                <w:sz w:val="22"/>
                <w:szCs w:val="22"/>
              </w:rPr>
              <w:t>LLWEIGHT</w:t>
            </w:r>
          </w:p>
        </w:tc>
        <w:tc>
          <w:tcPr>
            <w:tcW w:w="1229"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5,010</w:t>
            </w:r>
          </w:p>
        </w:tc>
        <w:tc>
          <w:tcPr>
            <w:tcW w:w="1189"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0.1726</w:t>
            </w:r>
          </w:p>
        </w:tc>
        <w:tc>
          <w:tcPr>
            <w:tcW w:w="1260"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4.3263</w:t>
            </w:r>
          </w:p>
        </w:tc>
        <w:tc>
          <w:tcPr>
            <w:tcW w:w="1170"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2.01</w:t>
            </w:r>
          </w:p>
        </w:tc>
        <w:tc>
          <w:tcPr>
            <w:tcW w:w="1350" w:type="dxa"/>
            <w:tcBorders>
              <w:top w:val="nil"/>
              <w:left w:val="nil"/>
              <w:bottom w:val="nil"/>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2,496</w:t>
            </w:r>
          </w:p>
        </w:tc>
      </w:tr>
      <w:tr w:rsidR="00BF0AEC" w:rsidRPr="0001358F" w:rsidTr="004C124A">
        <w:trPr>
          <w:trHeight w:val="300"/>
        </w:trPr>
        <w:tc>
          <w:tcPr>
            <w:tcW w:w="1920" w:type="dxa"/>
            <w:tcBorders>
              <w:top w:val="nil"/>
              <w:left w:val="nil"/>
              <w:bottom w:val="single" w:sz="12" w:space="0" w:color="auto"/>
              <w:right w:val="nil"/>
            </w:tcBorders>
            <w:shd w:val="clear" w:color="auto" w:fill="auto"/>
            <w:vAlign w:val="center"/>
            <w:hideMark/>
          </w:tcPr>
          <w:p w:rsidR="00BF0AEC" w:rsidRPr="00DE344D" w:rsidRDefault="005D0AF1" w:rsidP="00DE344D">
            <w:pPr>
              <w:rPr>
                <w:rFonts w:ascii="Calibri" w:eastAsia="Times New Roman" w:hAnsi="Calibri"/>
                <w:color w:val="000000"/>
                <w:sz w:val="22"/>
                <w:szCs w:val="22"/>
              </w:rPr>
            </w:pPr>
            <w:r w:rsidRPr="005D0AF1">
              <w:rPr>
                <w:rFonts w:ascii="Calibri" w:eastAsia="Times New Roman" w:hAnsi="Calibri"/>
                <w:color w:val="000000"/>
                <w:sz w:val="22"/>
                <w:szCs w:val="22"/>
              </w:rPr>
              <w:t>CELLWEIGHT</w:t>
            </w:r>
          </w:p>
        </w:tc>
        <w:tc>
          <w:tcPr>
            <w:tcW w:w="1229" w:type="dxa"/>
            <w:tcBorders>
              <w:top w:val="nil"/>
              <w:left w:val="nil"/>
              <w:bottom w:val="single" w:sz="12" w:space="0" w:color="auto"/>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5,0</w:t>
            </w:r>
            <w:r w:rsidR="00A0569F" w:rsidRPr="00DE344D">
              <w:rPr>
                <w:rFonts w:ascii="Calibri" w:eastAsia="Times New Roman" w:hAnsi="Calibri"/>
                <w:color w:val="000000"/>
                <w:sz w:val="22"/>
                <w:szCs w:val="22"/>
              </w:rPr>
              <w:t>04</w:t>
            </w:r>
          </w:p>
        </w:tc>
        <w:tc>
          <w:tcPr>
            <w:tcW w:w="1189" w:type="dxa"/>
            <w:tcBorders>
              <w:top w:val="nil"/>
              <w:left w:val="nil"/>
              <w:bottom w:val="single" w:sz="12" w:space="0" w:color="auto"/>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0.4068</w:t>
            </w:r>
          </w:p>
        </w:tc>
        <w:tc>
          <w:tcPr>
            <w:tcW w:w="1260" w:type="dxa"/>
            <w:tcBorders>
              <w:top w:val="nil"/>
              <w:left w:val="nil"/>
              <w:bottom w:val="single" w:sz="12" w:space="0" w:color="auto"/>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2.0424</w:t>
            </w:r>
          </w:p>
        </w:tc>
        <w:tc>
          <w:tcPr>
            <w:tcW w:w="1170" w:type="dxa"/>
            <w:tcBorders>
              <w:top w:val="nil"/>
              <w:left w:val="nil"/>
              <w:bottom w:val="single" w:sz="12" w:space="0" w:color="auto"/>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1.17</w:t>
            </w:r>
          </w:p>
        </w:tc>
        <w:tc>
          <w:tcPr>
            <w:tcW w:w="1350" w:type="dxa"/>
            <w:tcBorders>
              <w:top w:val="nil"/>
              <w:left w:val="nil"/>
              <w:bottom w:val="single" w:sz="12" w:space="0" w:color="auto"/>
              <w:right w:val="nil"/>
            </w:tcBorders>
            <w:shd w:val="clear" w:color="auto" w:fill="auto"/>
            <w:vAlign w:val="center"/>
            <w:hideMark/>
          </w:tcPr>
          <w:p w:rsidR="00BF0AEC" w:rsidRPr="00DE344D" w:rsidRDefault="003554E8" w:rsidP="00DE344D">
            <w:pPr>
              <w:jc w:val="center"/>
              <w:rPr>
                <w:rFonts w:ascii="Calibri" w:eastAsia="Times New Roman" w:hAnsi="Calibri"/>
                <w:color w:val="000000"/>
                <w:sz w:val="22"/>
                <w:szCs w:val="22"/>
              </w:rPr>
            </w:pPr>
            <w:r w:rsidRPr="00DE344D">
              <w:rPr>
                <w:rFonts w:ascii="Calibri" w:eastAsia="Times New Roman" w:hAnsi="Calibri"/>
                <w:color w:val="000000"/>
                <w:sz w:val="22"/>
                <w:szCs w:val="22"/>
              </w:rPr>
              <w:t>4,274</w:t>
            </w:r>
          </w:p>
        </w:tc>
      </w:tr>
    </w:tbl>
    <w:p w:rsidR="005A3E3C" w:rsidRPr="005A3E3C" w:rsidRDefault="005A3E3C" w:rsidP="005A3E3C">
      <w:pPr>
        <w:rPr>
          <w:sz w:val="20"/>
          <w:szCs w:val="20"/>
        </w:rPr>
      </w:pPr>
    </w:p>
    <w:p w:rsidR="005D6AC3" w:rsidRDefault="004549AA" w:rsidP="00570DFD">
      <w:pPr>
        <w:pStyle w:val="BodyofReport"/>
        <w:spacing w:line="288" w:lineRule="auto"/>
        <w:ind w:firstLine="0"/>
        <w:rPr>
          <w:rFonts w:ascii="Calibri" w:hAnsi="Calibri" w:cs="Arial"/>
          <w:b/>
          <w:bCs/>
          <w:color w:val="E60000"/>
          <w:sz w:val="28"/>
          <w:szCs w:val="28"/>
        </w:rPr>
      </w:pPr>
      <w:r>
        <w:rPr>
          <w:rFonts w:ascii="Calibri" w:hAnsi="Calibri" w:cs="Arial"/>
          <w:b/>
          <w:bCs/>
          <w:color w:val="E60000"/>
          <w:sz w:val="28"/>
          <w:szCs w:val="28"/>
        </w:rPr>
        <w:br w:type="page"/>
      </w:r>
    </w:p>
    <w:p w:rsidR="00570DFD" w:rsidRPr="00073C86" w:rsidRDefault="00570DFD" w:rsidP="00570DFD">
      <w:pPr>
        <w:pStyle w:val="BodyofReport"/>
        <w:spacing w:line="288" w:lineRule="auto"/>
        <w:ind w:firstLine="0"/>
        <w:rPr>
          <w:rFonts w:ascii="Calibri" w:hAnsi="Calibri" w:cs="Arial"/>
          <w:b/>
          <w:bCs/>
          <w:color w:val="E60000"/>
          <w:sz w:val="28"/>
          <w:szCs w:val="28"/>
        </w:rPr>
      </w:pPr>
      <w:r w:rsidRPr="00073C86">
        <w:rPr>
          <w:rFonts w:ascii="Calibri" w:hAnsi="Calibri" w:cs="Arial"/>
          <w:b/>
          <w:bCs/>
          <w:color w:val="E60000"/>
          <w:sz w:val="28"/>
          <w:szCs w:val="28"/>
        </w:rPr>
        <w:t>VI</w:t>
      </w:r>
      <w:r w:rsidR="00F45E97" w:rsidRPr="00073C86">
        <w:rPr>
          <w:rFonts w:ascii="Calibri" w:hAnsi="Calibri" w:cs="Arial"/>
          <w:b/>
          <w:bCs/>
          <w:color w:val="E60000"/>
          <w:sz w:val="28"/>
          <w:szCs w:val="28"/>
        </w:rPr>
        <w:t>I</w:t>
      </w:r>
      <w:r w:rsidRPr="00073C86">
        <w:rPr>
          <w:rFonts w:ascii="Calibri" w:hAnsi="Calibri" w:cs="Arial"/>
          <w:b/>
          <w:bCs/>
          <w:color w:val="E60000"/>
          <w:sz w:val="28"/>
          <w:szCs w:val="28"/>
        </w:rPr>
        <w:t>I</w:t>
      </w:r>
      <w:proofErr w:type="gramStart"/>
      <w:r w:rsidRPr="00073C86">
        <w:rPr>
          <w:rFonts w:ascii="Calibri" w:hAnsi="Calibri" w:cs="Arial"/>
          <w:b/>
          <w:bCs/>
          <w:color w:val="E60000"/>
          <w:sz w:val="28"/>
          <w:szCs w:val="28"/>
        </w:rPr>
        <w:t>.  DISPOSITIONS</w:t>
      </w:r>
      <w:proofErr w:type="gramEnd"/>
      <w:r w:rsidRPr="00073C86">
        <w:rPr>
          <w:rFonts w:ascii="Calibri" w:hAnsi="Calibri" w:cs="Arial"/>
          <w:b/>
          <w:bCs/>
          <w:color w:val="E60000"/>
          <w:sz w:val="28"/>
          <w:szCs w:val="28"/>
        </w:rPr>
        <w:t xml:space="preserve"> </w:t>
      </w:r>
    </w:p>
    <w:p w:rsidR="00B727F9" w:rsidRDefault="00D1251F" w:rsidP="00187EEF">
      <w:pPr>
        <w:pStyle w:val="BodyofReport"/>
        <w:ind w:firstLine="0"/>
        <w:rPr>
          <w:rFonts w:ascii="Calibri" w:hAnsi="Calibri" w:cs="Arial"/>
        </w:rPr>
      </w:pPr>
      <w:r>
        <w:rPr>
          <w:rFonts w:ascii="Calibri" w:hAnsi="Calibri" w:cs="Arial"/>
        </w:rPr>
        <w:t>Table 4</w:t>
      </w:r>
      <w:r w:rsidR="00B727F9" w:rsidRPr="00350205">
        <w:rPr>
          <w:rFonts w:ascii="Calibri" w:hAnsi="Calibri" w:cs="Arial"/>
        </w:rPr>
        <w:t xml:space="preserve"> reports the disposition of all sampled telephone numbers dialed </w:t>
      </w:r>
      <w:r w:rsidR="004F6E8F">
        <w:rPr>
          <w:rFonts w:ascii="Calibri" w:hAnsi="Calibri" w:cs="Arial"/>
        </w:rPr>
        <w:t>for the survey</w:t>
      </w:r>
      <w:r w:rsidR="00B727F9" w:rsidRPr="00350205">
        <w:rPr>
          <w:rFonts w:ascii="Calibri" w:hAnsi="Calibri" w:cs="Arial"/>
        </w:rPr>
        <w:t xml:space="preserve">. </w:t>
      </w:r>
      <w:r w:rsidR="00A97B7A">
        <w:rPr>
          <w:rFonts w:ascii="Calibri" w:hAnsi="Calibri" w:cs="Arial"/>
        </w:rPr>
        <w:t>Abt SRBI calculates four component rates: Response rate, Cooperation rate, Refusal rate and Contact rate</w:t>
      </w:r>
      <w:r w:rsidR="00B727F9" w:rsidRPr="00350205">
        <w:rPr>
          <w:rFonts w:ascii="Calibri" w:hAnsi="Calibri" w:cs="Arial"/>
        </w:rPr>
        <w:t>:</w:t>
      </w:r>
      <w:r w:rsidR="00B727F9" w:rsidRPr="00350205">
        <w:rPr>
          <w:rStyle w:val="FootnoteReference"/>
          <w:rFonts w:ascii="Calibri" w:hAnsi="Calibri" w:cs="Arial"/>
        </w:rPr>
        <w:footnoteReference w:id="2"/>
      </w:r>
      <w:r w:rsidR="00A97B7A">
        <w:rPr>
          <w:rFonts w:ascii="Calibri" w:hAnsi="Calibri" w:cs="Arial"/>
        </w:rPr>
        <w:t xml:space="preserve"> </w:t>
      </w:r>
    </w:p>
    <w:p w:rsidR="00A97B7A" w:rsidRPr="00350205" w:rsidRDefault="00A97B7A" w:rsidP="00B727F9">
      <w:pPr>
        <w:pStyle w:val="BodyofReport"/>
        <w:rPr>
          <w:rFonts w:ascii="Calibri" w:hAnsi="Calibri" w:cs="Arial"/>
        </w:rPr>
      </w:pPr>
    </w:p>
    <w:p w:rsidR="00B727F9" w:rsidRPr="00350205" w:rsidRDefault="008A29FE" w:rsidP="00B727F9">
      <w:pPr>
        <w:pStyle w:val="BodyofReport"/>
        <w:numPr>
          <w:ilvl w:val="0"/>
          <w:numId w:val="24"/>
        </w:numPr>
        <w:spacing w:line="360" w:lineRule="auto"/>
        <w:rPr>
          <w:rFonts w:ascii="Calibri" w:hAnsi="Calibri" w:cs="Arial"/>
        </w:rPr>
      </w:pPr>
      <w:r>
        <w:rPr>
          <w:rFonts w:ascii="Calibri" w:hAnsi="Calibri" w:cs="Arial"/>
        </w:rPr>
        <w:t>Response</w:t>
      </w:r>
      <w:r w:rsidR="00B727F9" w:rsidRPr="00350205">
        <w:rPr>
          <w:rFonts w:ascii="Calibri" w:hAnsi="Calibri" w:cs="Arial"/>
        </w:rPr>
        <w:t xml:space="preserve"> rate – the </w:t>
      </w:r>
      <w:r>
        <w:rPr>
          <w:rFonts w:ascii="Calibri" w:hAnsi="Calibri" w:cs="Arial"/>
        </w:rPr>
        <w:t>number of complete interviews with reporting units divided by the number of eligible reporting units in the sample.</w:t>
      </w:r>
    </w:p>
    <w:p w:rsidR="00B727F9" w:rsidRPr="00350205" w:rsidRDefault="00B727F9" w:rsidP="00B727F9">
      <w:pPr>
        <w:pStyle w:val="BodyofReport"/>
        <w:numPr>
          <w:ilvl w:val="0"/>
          <w:numId w:val="24"/>
        </w:numPr>
        <w:spacing w:line="360" w:lineRule="auto"/>
        <w:rPr>
          <w:rFonts w:ascii="Calibri" w:hAnsi="Calibri" w:cs="Arial"/>
        </w:rPr>
      </w:pPr>
      <w:r w:rsidRPr="00350205">
        <w:rPr>
          <w:rFonts w:ascii="Calibri" w:hAnsi="Calibri" w:cs="Arial"/>
        </w:rPr>
        <w:t>Cooperation rate – the proportion of</w:t>
      </w:r>
      <w:r w:rsidR="00D96F1B">
        <w:rPr>
          <w:rFonts w:ascii="Calibri" w:hAnsi="Calibri" w:cs="Arial"/>
        </w:rPr>
        <w:t xml:space="preserve"> all cases interviewed of all eligible units ever contacted.</w:t>
      </w:r>
    </w:p>
    <w:p w:rsidR="00A97B7A" w:rsidRPr="00350205" w:rsidRDefault="00A97B7A" w:rsidP="00B727F9">
      <w:pPr>
        <w:pStyle w:val="BodyofReport"/>
        <w:numPr>
          <w:ilvl w:val="0"/>
          <w:numId w:val="24"/>
        </w:numPr>
        <w:spacing w:line="360" w:lineRule="auto"/>
        <w:rPr>
          <w:rFonts w:ascii="Calibri" w:hAnsi="Calibri" w:cs="Arial"/>
        </w:rPr>
      </w:pPr>
      <w:r>
        <w:rPr>
          <w:rFonts w:ascii="Calibri" w:hAnsi="Calibri" w:cs="Arial"/>
        </w:rPr>
        <w:t xml:space="preserve">Contact rate </w:t>
      </w:r>
      <w:r w:rsidRPr="00350205">
        <w:rPr>
          <w:rFonts w:ascii="Calibri" w:hAnsi="Calibri" w:cs="Arial"/>
        </w:rPr>
        <w:t>–</w:t>
      </w:r>
      <w:r>
        <w:rPr>
          <w:rFonts w:ascii="Calibri" w:hAnsi="Calibri" w:cs="Arial"/>
        </w:rPr>
        <w:t xml:space="preserve"> </w:t>
      </w:r>
      <w:r w:rsidR="003145EC">
        <w:rPr>
          <w:rFonts w:ascii="Calibri" w:hAnsi="Calibri" w:cs="Arial"/>
        </w:rPr>
        <w:t xml:space="preserve">measures </w:t>
      </w:r>
      <w:r>
        <w:rPr>
          <w:rFonts w:ascii="Calibri" w:hAnsi="Calibri" w:cs="Arial"/>
        </w:rPr>
        <w:t xml:space="preserve">the proportion of </w:t>
      </w:r>
      <w:r w:rsidR="003145EC">
        <w:rPr>
          <w:rFonts w:ascii="Calibri" w:hAnsi="Calibri" w:cs="Arial"/>
        </w:rPr>
        <w:t>all cases in which some responsible member of a housing unit was reached by the survey</w:t>
      </w:r>
      <w:r>
        <w:rPr>
          <w:rFonts w:ascii="Calibri" w:hAnsi="Calibri" w:cs="Arial"/>
        </w:rPr>
        <w:t xml:space="preserve"> </w:t>
      </w:r>
    </w:p>
    <w:p w:rsidR="00991280" w:rsidRDefault="00A97B7A" w:rsidP="00B727F9">
      <w:pPr>
        <w:pStyle w:val="BodyofReport"/>
        <w:spacing w:line="360" w:lineRule="auto"/>
        <w:ind w:firstLine="0"/>
        <w:rPr>
          <w:rFonts w:ascii="Calibri" w:hAnsi="Calibri" w:cs="Arial"/>
        </w:rPr>
      </w:pPr>
      <w:r>
        <w:rPr>
          <w:rFonts w:ascii="Calibri" w:hAnsi="Calibri" w:cs="Arial"/>
        </w:rPr>
        <w:t xml:space="preserve">   </w:t>
      </w:r>
    </w:p>
    <w:p w:rsidR="00B727F9" w:rsidRDefault="00786009" w:rsidP="00692DF6">
      <w:pPr>
        <w:pStyle w:val="BodyofReport"/>
        <w:spacing w:line="360" w:lineRule="auto"/>
        <w:ind w:firstLine="0"/>
        <w:rPr>
          <w:rFonts w:ascii="Calibri" w:hAnsi="Calibri" w:cs="Arial"/>
        </w:rPr>
      </w:pPr>
      <w:r>
        <w:rPr>
          <w:rFonts w:ascii="Calibri" w:hAnsi="Calibri" w:cs="Arial"/>
        </w:rPr>
        <w:t>Overall, t</w:t>
      </w:r>
      <w:r w:rsidR="00991280">
        <w:rPr>
          <w:rFonts w:ascii="Calibri" w:hAnsi="Calibri" w:cs="Arial"/>
        </w:rPr>
        <w:t xml:space="preserve">he </w:t>
      </w:r>
      <w:r w:rsidR="006244AA">
        <w:rPr>
          <w:rFonts w:ascii="Calibri" w:hAnsi="Calibri" w:cs="Arial"/>
        </w:rPr>
        <w:t>response rate (AAPOR3) was 11.2</w:t>
      </w:r>
      <w:r w:rsidR="00692DF6">
        <w:rPr>
          <w:rFonts w:ascii="Calibri" w:hAnsi="Calibri" w:cs="Arial"/>
        </w:rPr>
        <w:t xml:space="preserve">% for the landline sample and </w:t>
      </w:r>
      <w:r w:rsidR="006244AA">
        <w:rPr>
          <w:rFonts w:ascii="Calibri" w:hAnsi="Calibri" w:cs="Arial"/>
        </w:rPr>
        <w:t>9.8</w:t>
      </w:r>
      <w:r w:rsidR="00692DF6">
        <w:rPr>
          <w:rFonts w:ascii="Calibri" w:hAnsi="Calibri" w:cs="Arial"/>
        </w:rPr>
        <w:t>% for the cell sample.</w:t>
      </w:r>
    </w:p>
    <w:tbl>
      <w:tblPr>
        <w:tblW w:w="9497" w:type="dxa"/>
        <w:tblInd w:w="93" w:type="dxa"/>
        <w:tblLook w:val="04A0" w:firstRow="1" w:lastRow="0" w:firstColumn="1" w:lastColumn="0" w:noHBand="0" w:noVBand="1"/>
      </w:tblPr>
      <w:tblGrid>
        <w:gridCol w:w="6848"/>
        <w:gridCol w:w="718"/>
        <w:gridCol w:w="991"/>
        <w:gridCol w:w="940"/>
      </w:tblGrid>
      <w:tr w:rsidR="00204407" w:rsidRPr="00204407" w:rsidTr="00204407">
        <w:trPr>
          <w:trHeight w:val="330"/>
        </w:trPr>
        <w:tc>
          <w:tcPr>
            <w:tcW w:w="9497" w:type="dxa"/>
            <w:gridSpan w:val="4"/>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color w:val="000000"/>
                <w:sz w:val="22"/>
                <w:szCs w:val="22"/>
              </w:rPr>
            </w:pPr>
            <w:r w:rsidRPr="00204407">
              <w:rPr>
                <w:rFonts w:ascii="Calibri" w:eastAsia="Times New Roman" w:hAnsi="Calibri"/>
                <w:b/>
                <w:bCs/>
                <w:snapToGrid/>
                <w:color w:val="000000"/>
                <w:sz w:val="22"/>
                <w:szCs w:val="22"/>
              </w:rPr>
              <w:t>Table 4. Final Dispositions and Rates, by Sample</w:t>
            </w:r>
          </w:p>
        </w:tc>
      </w:tr>
      <w:tr w:rsidR="00204407" w:rsidRPr="00204407" w:rsidTr="00204407">
        <w:trPr>
          <w:trHeight w:val="6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center"/>
              <w:rPr>
                <w:rFonts w:ascii="Calibri" w:eastAsia="Times New Roman" w:hAnsi="Calibri"/>
                <w:b/>
                <w:bCs/>
                <w:snapToGrid/>
                <w:color w:val="000000"/>
                <w:sz w:val="22"/>
                <w:szCs w:val="22"/>
              </w:rPr>
            </w:pPr>
            <w:r w:rsidRPr="00204407">
              <w:rPr>
                <w:rFonts w:ascii="Calibri" w:eastAsia="Times New Roman" w:hAnsi="Calibri"/>
                <w:b/>
                <w:bCs/>
                <w:snapToGrid/>
                <w:color w:val="000000"/>
                <w:sz w:val="22"/>
                <w:szCs w:val="22"/>
              </w:rPr>
              <w:t>Landline                    Sample</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center"/>
              <w:rPr>
                <w:rFonts w:ascii="Calibri" w:eastAsia="Times New Roman" w:hAnsi="Calibri"/>
                <w:b/>
                <w:bCs/>
                <w:snapToGrid/>
                <w:color w:val="000000"/>
                <w:sz w:val="22"/>
                <w:szCs w:val="22"/>
              </w:rPr>
            </w:pPr>
            <w:r w:rsidRPr="00204407">
              <w:rPr>
                <w:rFonts w:ascii="Calibri" w:eastAsia="Times New Roman" w:hAnsi="Calibri"/>
                <w:b/>
                <w:bCs/>
                <w:snapToGrid/>
                <w:color w:val="000000"/>
                <w:sz w:val="22"/>
                <w:szCs w:val="22"/>
              </w:rPr>
              <w:t>Cell                        Sample</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Interview</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Complete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1.000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5,003</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5,001</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Screen-outs</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1.100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Partial</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1.200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210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249</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Eligible, non-interview</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Refusal and breakoff</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2.100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265</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164</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xml:space="preserve">Refusal                </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2.110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21,280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Respondent never available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2.210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123</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Telephone answering device (confirming HH)</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2.220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Answering machine household-no message left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2.221</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12,136</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Answering machine household-message left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2.222</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Deceased respondent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2.310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Physically or mentally unable/incompetent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2.320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1,031</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Language problem</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2.330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Household-level language problem</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2.331</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632</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lastRenderedPageBreak/>
              <w:t>Respondent language problem</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2.332</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Unknown eligibility, non-interview</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Always busy</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3.120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1,468</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2,784</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 answer</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3.130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16,870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6,377</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Call blocking</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3.150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34</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239</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Technical phone problems</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3.160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35</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Housing unit, unknown if eligible respondent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3.200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 screener completed: No live contact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3.210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35,718</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 screener completed: Live contact made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3.210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sz w:val="22"/>
                <w:szCs w:val="22"/>
              </w:rPr>
            </w:pPr>
            <w:r w:rsidRPr="00204407">
              <w:rPr>
                <w:rFonts w:ascii="Calibri" w:eastAsia="Times New Roman" w:hAnsi="Calibri"/>
                <w:snapToGrid/>
                <w:sz w:val="22"/>
                <w:szCs w:val="22"/>
              </w:rPr>
              <w:t>28,209</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Other: "cell phone" dispo used in error</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3.910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49</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Other: Cell case physically or mentally unable/incompetent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3.920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509</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Other: Cell case language problem</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3.930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1,275</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xml:space="preserve"> </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Not eligible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Out of sample - other strata than originally coded</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4.100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Fax/data line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4.200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6,026</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352</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Non-working/disconnect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4.300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124,847</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33,924</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Non-working number</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4.310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Disconnected number</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4.320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Temporarily out of service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4.330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3,577</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2,991</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Special technological circumstances</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4.400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Number changed</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4.410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Cell phone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4.420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41</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Pager</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4.440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proofErr w:type="spellStart"/>
            <w:r w:rsidRPr="00204407">
              <w:rPr>
                <w:rFonts w:ascii="Calibri" w:eastAsia="Times New Roman" w:hAnsi="Calibri"/>
                <w:snapToGrid/>
                <w:color w:val="000000"/>
                <w:sz w:val="22"/>
                <w:szCs w:val="22"/>
              </w:rPr>
              <w:t>Nonresidence</w:t>
            </w:r>
            <w:proofErr w:type="spellEnd"/>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4.500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Business, gov't, other org</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4.510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8,309</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3,671</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 eligible respondent: Child/Teen phone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4.700</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3,299</w:t>
            </w:r>
          </w:p>
        </w:tc>
      </w:tr>
      <w:tr w:rsidR="00204407" w:rsidRPr="00204407" w:rsidTr="00204407">
        <w:trPr>
          <w:trHeight w:val="315"/>
        </w:trPr>
        <w:tc>
          <w:tcPr>
            <w:tcW w:w="684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Other</w:t>
            </w:r>
          </w:p>
        </w:tc>
        <w:tc>
          <w:tcPr>
            <w:tcW w:w="71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4.900</w:t>
            </w:r>
          </w:p>
        </w:tc>
        <w:tc>
          <w:tcPr>
            <w:tcW w:w="991"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41</w:t>
            </w:r>
          </w:p>
        </w:tc>
        <w:tc>
          <w:tcPr>
            <w:tcW w:w="940"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15"/>
        </w:trPr>
        <w:tc>
          <w:tcPr>
            <w:tcW w:w="684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Total phone numbers used</w:t>
            </w:r>
          </w:p>
        </w:tc>
        <w:tc>
          <w:tcPr>
            <w:tcW w:w="71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 </w:t>
            </w:r>
          </w:p>
        </w:tc>
        <w:tc>
          <w:tcPr>
            <w:tcW w:w="991"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sz w:val="22"/>
                <w:szCs w:val="22"/>
              </w:rPr>
            </w:pPr>
            <w:r w:rsidRPr="00204407">
              <w:rPr>
                <w:rFonts w:ascii="Calibri" w:eastAsia="Times New Roman" w:hAnsi="Calibri"/>
                <w:snapToGrid/>
                <w:sz w:val="22"/>
                <w:szCs w:val="22"/>
              </w:rPr>
              <w:t>201,893</w:t>
            </w:r>
          </w:p>
        </w:tc>
        <w:tc>
          <w:tcPr>
            <w:tcW w:w="940"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sz w:val="22"/>
                <w:szCs w:val="22"/>
              </w:rPr>
            </w:pPr>
            <w:r w:rsidRPr="00204407">
              <w:rPr>
                <w:rFonts w:ascii="Calibri" w:eastAsia="Times New Roman" w:hAnsi="Calibri"/>
                <w:snapToGrid/>
                <w:sz w:val="22"/>
                <w:szCs w:val="22"/>
              </w:rPr>
              <w:t>124,846</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Completes (1.0)</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snapToGrid/>
                <w:sz w:val="22"/>
                <w:szCs w:val="22"/>
              </w:rPr>
              <w:t>I</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sz w:val="22"/>
                <w:szCs w:val="22"/>
              </w:rPr>
            </w:pPr>
            <w:r w:rsidRPr="00204407">
              <w:rPr>
                <w:rFonts w:ascii="Calibri" w:eastAsia="Times New Roman" w:hAnsi="Calibri"/>
                <w:snapToGrid/>
                <w:sz w:val="22"/>
                <w:szCs w:val="22"/>
              </w:rPr>
              <w:t>5,003</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sz w:val="22"/>
                <w:szCs w:val="22"/>
              </w:rPr>
            </w:pPr>
            <w:r w:rsidRPr="00204407">
              <w:rPr>
                <w:rFonts w:ascii="Calibri" w:eastAsia="Times New Roman" w:hAnsi="Calibri"/>
                <w:snapToGrid/>
                <w:sz w:val="22"/>
                <w:szCs w:val="22"/>
              </w:rPr>
              <w:t>5,001</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Partial Interviews (1.2)</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P</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210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249</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Eligible Non-Interview: Refusal (2.1)</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R</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21,545</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164</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Eligible Non-Interview: Non-Contact (2.2)</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NC</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12,259</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Eligible Non-Interview: Other (2.3)</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O</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1,663</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Undetermined If Working and Residential (3.1)</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UH</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18,372</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9,435</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Working and Residential But Undetermined Eligibility (3.2,3.9)</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r>
      <w:tr w:rsidR="00204407" w:rsidRPr="00204407" w:rsidTr="00204407">
        <w:trPr>
          <w:trHeight w:val="36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xml:space="preserve">   Live contact was made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UO</w:t>
            </w:r>
            <w:r w:rsidRPr="00204407">
              <w:rPr>
                <w:rFonts w:ascii="Calibri" w:eastAsia="Times New Roman" w:hAnsi="Calibri"/>
                <w:snapToGrid/>
                <w:color w:val="000000"/>
                <w:sz w:val="22"/>
                <w:szCs w:val="22"/>
                <w:vertAlign w:val="subscript"/>
              </w:rPr>
              <w:t>C</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29,993</w:t>
            </w:r>
          </w:p>
        </w:tc>
      </w:tr>
      <w:tr w:rsidR="00204407" w:rsidRPr="00204407" w:rsidTr="00204407">
        <w:trPr>
          <w:trHeight w:val="36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xml:space="preserve">   Live contact not made</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UO</w:t>
            </w:r>
            <w:r w:rsidRPr="00204407">
              <w:rPr>
                <w:rFonts w:ascii="Calibri" w:eastAsia="Times New Roman" w:hAnsi="Calibri"/>
                <w:snapToGrid/>
                <w:color w:val="000000"/>
                <w:sz w:val="22"/>
                <w:szCs w:val="22"/>
                <w:vertAlign w:val="subscript"/>
              </w:rPr>
              <w:t>NC</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35,767</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Not Eligible: Nonworking, Nonresidential, or Ported (4.1-4.5,4.9)</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NWC</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142,841</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40,938</w:t>
            </w:r>
          </w:p>
        </w:tc>
      </w:tr>
      <w:tr w:rsidR="00204407" w:rsidRPr="00204407" w:rsidTr="00204407">
        <w:trPr>
          <w:trHeight w:val="300"/>
        </w:trPr>
        <w:tc>
          <w:tcPr>
            <w:tcW w:w="684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Screen Out: Working and Residential but Not Eligible (4.7)</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SO</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3,299</w:t>
            </w:r>
          </w:p>
        </w:tc>
      </w:tr>
      <w:tr w:rsidR="00204407" w:rsidRPr="00204407" w:rsidTr="00204407">
        <w:trPr>
          <w:trHeight w:val="315"/>
        </w:trPr>
        <w:tc>
          <w:tcPr>
            <w:tcW w:w="684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color w:val="000000"/>
                <w:sz w:val="22"/>
                <w:szCs w:val="22"/>
              </w:rPr>
            </w:pPr>
            <w:r w:rsidRPr="00204407">
              <w:rPr>
                <w:rFonts w:ascii="Calibri" w:eastAsia="Times New Roman" w:hAnsi="Calibri"/>
                <w:b/>
                <w:bCs/>
                <w:snapToGrid/>
                <w:color w:val="000000"/>
                <w:sz w:val="22"/>
                <w:szCs w:val="22"/>
              </w:rPr>
              <w:t>TOTAL</w:t>
            </w:r>
          </w:p>
        </w:tc>
        <w:tc>
          <w:tcPr>
            <w:tcW w:w="71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b/>
                <w:bCs/>
                <w:snapToGrid/>
                <w:color w:val="000000"/>
                <w:sz w:val="22"/>
                <w:szCs w:val="22"/>
              </w:rPr>
            </w:pPr>
            <w:r w:rsidRPr="00204407">
              <w:rPr>
                <w:rFonts w:ascii="Calibri" w:eastAsia="Times New Roman" w:hAnsi="Calibri"/>
                <w:b/>
                <w:bCs/>
                <w:snapToGrid/>
                <w:color w:val="000000"/>
                <w:sz w:val="22"/>
                <w:szCs w:val="22"/>
              </w:rPr>
              <w:t xml:space="preserve"> </w:t>
            </w:r>
          </w:p>
        </w:tc>
        <w:tc>
          <w:tcPr>
            <w:tcW w:w="991"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201,893</w:t>
            </w:r>
          </w:p>
        </w:tc>
        <w:tc>
          <w:tcPr>
            <w:tcW w:w="940"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124,846</w:t>
            </w:r>
          </w:p>
        </w:tc>
      </w:tr>
      <w:tr w:rsidR="00204407" w:rsidRPr="00204407" w:rsidTr="00204407">
        <w:trPr>
          <w:trHeight w:val="360"/>
        </w:trPr>
        <w:tc>
          <w:tcPr>
            <w:tcW w:w="6848"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b/>
                <w:bCs/>
                <w:snapToGrid/>
                <w:sz w:val="22"/>
                <w:szCs w:val="22"/>
              </w:rPr>
              <w:lastRenderedPageBreak/>
              <w:t>e1</w:t>
            </w:r>
            <w:r w:rsidRPr="00204407">
              <w:rPr>
                <w:rFonts w:ascii="Calibri" w:eastAsia="Times New Roman" w:hAnsi="Calibri"/>
                <w:snapToGrid/>
                <w:sz w:val="22"/>
                <w:szCs w:val="22"/>
              </w:rPr>
              <w:t>=(I+P+R+NC+O+UO</w:t>
            </w:r>
            <w:r w:rsidRPr="00204407">
              <w:rPr>
                <w:rFonts w:ascii="Calibri" w:eastAsia="Times New Roman" w:hAnsi="Calibri"/>
                <w:snapToGrid/>
                <w:sz w:val="22"/>
                <w:szCs w:val="22"/>
                <w:vertAlign w:val="subscript"/>
              </w:rPr>
              <w:t>C</w:t>
            </w:r>
            <w:r w:rsidRPr="00204407">
              <w:rPr>
                <w:rFonts w:ascii="Calibri" w:eastAsia="Times New Roman" w:hAnsi="Calibri"/>
                <w:snapToGrid/>
                <w:sz w:val="22"/>
                <w:szCs w:val="22"/>
              </w:rPr>
              <w:t>+OU</w:t>
            </w:r>
            <w:r w:rsidRPr="00204407">
              <w:rPr>
                <w:rFonts w:ascii="Calibri" w:eastAsia="Times New Roman" w:hAnsi="Calibri"/>
                <w:snapToGrid/>
                <w:sz w:val="22"/>
                <w:szCs w:val="22"/>
                <w:vertAlign w:val="subscript"/>
              </w:rPr>
              <w:t>NC</w:t>
            </w:r>
            <w:r w:rsidRPr="00204407">
              <w:rPr>
                <w:rFonts w:ascii="Calibri" w:eastAsia="Times New Roman" w:hAnsi="Calibri"/>
                <w:snapToGrid/>
                <w:sz w:val="22"/>
                <w:szCs w:val="22"/>
              </w:rPr>
              <w:t>+SO)/(I+P+R+NC+O+UO</w:t>
            </w:r>
            <w:r w:rsidRPr="00204407">
              <w:rPr>
                <w:rFonts w:ascii="Calibri" w:eastAsia="Times New Roman" w:hAnsi="Calibri"/>
                <w:snapToGrid/>
                <w:sz w:val="22"/>
                <w:szCs w:val="22"/>
                <w:vertAlign w:val="subscript"/>
              </w:rPr>
              <w:t>C</w:t>
            </w:r>
            <w:r w:rsidRPr="00204407">
              <w:rPr>
                <w:rFonts w:ascii="Calibri" w:eastAsia="Times New Roman" w:hAnsi="Calibri"/>
                <w:snapToGrid/>
                <w:sz w:val="22"/>
                <w:szCs w:val="22"/>
              </w:rPr>
              <w:t>+OU</w:t>
            </w:r>
            <w:r w:rsidRPr="00204407">
              <w:rPr>
                <w:rFonts w:ascii="Calibri" w:eastAsia="Times New Roman" w:hAnsi="Calibri"/>
                <w:snapToGrid/>
                <w:sz w:val="22"/>
                <w:szCs w:val="22"/>
                <w:vertAlign w:val="subscript"/>
              </w:rPr>
              <w:t>NC</w:t>
            </w:r>
            <w:r w:rsidRPr="00204407">
              <w:rPr>
                <w:rFonts w:ascii="Calibri" w:eastAsia="Times New Roman" w:hAnsi="Calibri"/>
                <w:snapToGrid/>
                <w:sz w:val="22"/>
                <w:szCs w:val="22"/>
              </w:rPr>
              <w:t>+SO+NWC)</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22.2%</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64.5%</w:t>
            </w:r>
          </w:p>
        </w:tc>
      </w:tr>
      <w:tr w:rsidR="00204407" w:rsidRPr="00204407" w:rsidTr="00204407">
        <w:trPr>
          <w:trHeight w:val="315"/>
        </w:trPr>
        <w:tc>
          <w:tcPr>
            <w:tcW w:w="6848" w:type="dxa"/>
            <w:tcBorders>
              <w:top w:val="nil"/>
              <w:left w:val="nil"/>
              <w:bottom w:val="single" w:sz="8" w:space="0" w:color="auto"/>
              <w:right w:val="nil"/>
            </w:tcBorders>
            <w:shd w:val="clear" w:color="000000" w:fill="FFFFFF"/>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b/>
                <w:bCs/>
                <w:snapToGrid/>
                <w:sz w:val="22"/>
                <w:szCs w:val="22"/>
              </w:rPr>
              <w:t>e2</w:t>
            </w:r>
            <w:r w:rsidRPr="00204407">
              <w:rPr>
                <w:rFonts w:ascii="Calibri" w:eastAsia="Times New Roman" w:hAnsi="Calibri"/>
                <w:snapToGrid/>
                <w:sz w:val="22"/>
                <w:szCs w:val="22"/>
              </w:rPr>
              <w:t>=(I+P+R)/(I+P+R+SO)</w:t>
            </w:r>
          </w:p>
        </w:tc>
        <w:tc>
          <w:tcPr>
            <w:tcW w:w="718" w:type="dxa"/>
            <w:tcBorders>
              <w:top w:val="nil"/>
              <w:left w:val="nil"/>
              <w:bottom w:val="single" w:sz="8" w:space="0" w:color="auto"/>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91"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100.0%</w:t>
            </w:r>
          </w:p>
        </w:tc>
        <w:tc>
          <w:tcPr>
            <w:tcW w:w="940" w:type="dxa"/>
            <w:tcBorders>
              <w:top w:val="nil"/>
              <w:left w:val="nil"/>
              <w:bottom w:val="single" w:sz="8" w:space="0" w:color="auto"/>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62.1%</w:t>
            </w:r>
          </w:p>
        </w:tc>
      </w:tr>
      <w:tr w:rsidR="00204407" w:rsidRPr="00204407" w:rsidTr="00204407">
        <w:trPr>
          <w:trHeight w:val="660"/>
        </w:trPr>
        <w:tc>
          <w:tcPr>
            <w:tcW w:w="6848"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AAPOR RR3</w:t>
            </w:r>
            <w:r w:rsidRPr="00204407">
              <w:rPr>
                <w:rFonts w:ascii="Calibri" w:eastAsia="Times New Roman" w:hAnsi="Calibri"/>
                <w:snapToGrid/>
                <w:sz w:val="22"/>
                <w:szCs w:val="22"/>
              </w:rPr>
              <w:t xml:space="preserve"> =                                                                                                                                                         I / (I+P+R+NC+O+[e1*e2*UH]+[e2*(UO</w:t>
            </w:r>
            <w:r w:rsidRPr="00204407">
              <w:rPr>
                <w:rFonts w:ascii="Calibri" w:eastAsia="Times New Roman" w:hAnsi="Calibri"/>
                <w:snapToGrid/>
                <w:sz w:val="22"/>
                <w:szCs w:val="22"/>
                <w:vertAlign w:val="subscript"/>
              </w:rPr>
              <w:t>C</w:t>
            </w:r>
            <w:r w:rsidRPr="00204407">
              <w:rPr>
                <w:rFonts w:ascii="Calibri" w:eastAsia="Times New Roman" w:hAnsi="Calibri"/>
                <w:snapToGrid/>
                <w:sz w:val="22"/>
                <w:szCs w:val="22"/>
              </w:rPr>
              <w:t xml:space="preserve"> +UO</w:t>
            </w:r>
            <w:r w:rsidRPr="00204407">
              <w:rPr>
                <w:rFonts w:ascii="Calibri" w:eastAsia="Times New Roman" w:hAnsi="Calibri"/>
                <w:snapToGrid/>
                <w:sz w:val="22"/>
                <w:szCs w:val="22"/>
                <w:vertAlign w:val="subscript"/>
              </w:rPr>
              <w:t>NC</w:t>
            </w:r>
            <w:r w:rsidRPr="00204407">
              <w:rPr>
                <w:rFonts w:ascii="Calibri" w:eastAsia="Times New Roman" w:hAnsi="Calibri"/>
                <w:snapToGrid/>
                <w:sz w:val="22"/>
                <w:szCs w:val="22"/>
              </w:rPr>
              <w: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11.18%</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9.99%</w:t>
            </w:r>
          </w:p>
        </w:tc>
      </w:tr>
      <w:tr w:rsidR="00204407" w:rsidRPr="00204407" w:rsidTr="00204407">
        <w:trPr>
          <w:trHeight w:val="660"/>
        </w:trPr>
        <w:tc>
          <w:tcPr>
            <w:tcW w:w="6848"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b/>
                <w:bCs/>
                <w:snapToGrid/>
                <w:sz w:val="22"/>
                <w:szCs w:val="22"/>
              </w:rPr>
            </w:pPr>
            <w:r w:rsidRPr="00204407">
              <w:rPr>
                <w:rFonts w:ascii="Calibri" w:eastAsia="Times New Roman" w:hAnsi="Calibri"/>
                <w:b/>
                <w:bCs/>
                <w:snapToGrid/>
                <w:sz w:val="22"/>
                <w:szCs w:val="22"/>
              </w:rPr>
              <w:t xml:space="preserve">AAPOR CON2 </w:t>
            </w:r>
            <w:r w:rsidRPr="00204407">
              <w:rPr>
                <w:rFonts w:ascii="Calibri" w:eastAsia="Times New Roman" w:hAnsi="Calibri"/>
                <w:snapToGrid/>
                <w:sz w:val="22"/>
                <w:szCs w:val="22"/>
              </w:rPr>
              <w:t>=                                                                                                                                                     (I+P+R+O+[e2*UO</w:t>
            </w:r>
            <w:r w:rsidRPr="00204407">
              <w:rPr>
                <w:rFonts w:ascii="Calibri" w:eastAsia="Times New Roman" w:hAnsi="Calibri"/>
                <w:snapToGrid/>
                <w:sz w:val="22"/>
                <w:szCs w:val="22"/>
                <w:vertAlign w:val="subscript"/>
              </w:rPr>
              <w:t>C</w:t>
            </w:r>
            <w:r w:rsidRPr="00204407">
              <w:rPr>
                <w:rFonts w:ascii="Calibri" w:eastAsia="Times New Roman" w:hAnsi="Calibri"/>
                <w:snapToGrid/>
                <w:sz w:val="22"/>
                <w:szCs w:val="22"/>
              </w:rPr>
              <w:t>]) / (I+P+R+NC+O+[e1*e2*UH]+[e2*(UO</w:t>
            </w:r>
            <w:r w:rsidRPr="00204407">
              <w:rPr>
                <w:rFonts w:ascii="Calibri" w:eastAsia="Times New Roman" w:hAnsi="Calibri"/>
                <w:snapToGrid/>
                <w:sz w:val="22"/>
                <w:szCs w:val="22"/>
                <w:vertAlign w:val="subscript"/>
              </w:rPr>
              <w:t>C</w:t>
            </w:r>
            <w:r w:rsidRPr="00204407">
              <w:rPr>
                <w:rFonts w:ascii="Calibri" w:eastAsia="Times New Roman" w:hAnsi="Calibri"/>
                <w:snapToGrid/>
                <w:sz w:val="22"/>
                <w:szCs w:val="22"/>
              </w:rPr>
              <w:t>+UO</w:t>
            </w:r>
            <w:r w:rsidRPr="00204407">
              <w:rPr>
                <w:rFonts w:ascii="Calibri" w:eastAsia="Times New Roman" w:hAnsi="Calibri"/>
                <w:snapToGrid/>
                <w:sz w:val="22"/>
                <w:szCs w:val="22"/>
                <w:vertAlign w:val="subscript"/>
              </w:rPr>
              <w:t>NC</w:t>
            </w:r>
            <w:r w:rsidRPr="00204407">
              <w:rPr>
                <w:rFonts w:ascii="Calibri" w:eastAsia="Times New Roman" w:hAnsi="Calibri"/>
                <w:snapToGrid/>
                <w:sz w:val="22"/>
                <w:szCs w:val="22"/>
              </w:rPr>
              <w: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xml:space="preserve">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63.51%</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48.05%</w:t>
            </w:r>
          </w:p>
        </w:tc>
      </w:tr>
      <w:tr w:rsidR="00204407" w:rsidRPr="00204407" w:rsidTr="00204407">
        <w:trPr>
          <w:trHeight w:val="360"/>
        </w:trPr>
        <w:tc>
          <w:tcPr>
            <w:tcW w:w="6848" w:type="dxa"/>
            <w:tcBorders>
              <w:top w:val="nil"/>
              <w:left w:val="nil"/>
              <w:bottom w:val="nil"/>
              <w:right w:val="nil"/>
            </w:tcBorders>
            <w:shd w:val="clear" w:color="000000" w:fill="FFFFFF"/>
            <w:vAlign w:val="bottom"/>
            <w:hideMark/>
          </w:tcPr>
          <w:p w:rsidR="00204407" w:rsidRPr="00204407" w:rsidRDefault="00204407" w:rsidP="00204407">
            <w:pPr>
              <w:jc w:val="left"/>
              <w:rPr>
                <w:rFonts w:ascii="Calibri" w:eastAsia="Times New Roman" w:hAnsi="Calibri"/>
                <w:snapToGrid/>
                <w:sz w:val="22"/>
                <w:szCs w:val="22"/>
              </w:rPr>
            </w:pPr>
            <w:r w:rsidRPr="00204407">
              <w:rPr>
                <w:rFonts w:ascii="Calibri" w:eastAsia="Times New Roman" w:hAnsi="Calibri"/>
                <w:b/>
                <w:bCs/>
                <w:snapToGrid/>
                <w:sz w:val="22"/>
                <w:szCs w:val="22"/>
              </w:rPr>
              <w:t>AAPOR COOP1</w:t>
            </w:r>
            <w:r w:rsidRPr="00204407">
              <w:rPr>
                <w:rFonts w:ascii="Calibri" w:eastAsia="Times New Roman" w:hAnsi="Calibri"/>
                <w:snapToGrid/>
                <w:sz w:val="22"/>
                <w:szCs w:val="22"/>
              </w:rPr>
              <w:t xml:space="preserve"> = I / (I+P+R+O+[e2*UO</w:t>
            </w:r>
            <w:r w:rsidRPr="00204407">
              <w:rPr>
                <w:rFonts w:ascii="Calibri" w:eastAsia="Times New Roman" w:hAnsi="Calibri"/>
                <w:snapToGrid/>
                <w:sz w:val="22"/>
                <w:szCs w:val="22"/>
                <w:vertAlign w:val="subscript"/>
              </w:rPr>
              <w:t>C</w:t>
            </w:r>
            <w:r w:rsidRPr="00204407">
              <w:rPr>
                <w:rFonts w:ascii="Calibri" w:eastAsia="Times New Roman" w:hAnsi="Calibri"/>
                <w:snapToGrid/>
                <w:sz w:val="22"/>
                <w:szCs w:val="22"/>
              </w:rPr>
              <w:t>])</w:t>
            </w:r>
          </w:p>
        </w:tc>
        <w:tc>
          <w:tcPr>
            <w:tcW w:w="718" w:type="dxa"/>
            <w:tcBorders>
              <w:top w:val="nil"/>
              <w:left w:val="nil"/>
              <w:bottom w:val="nil"/>
              <w:right w:val="nil"/>
            </w:tcBorders>
            <w:shd w:val="clear" w:color="000000" w:fill="FFFFFF"/>
            <w:noWrap/>
            <w:vAlign w:val="bottom"/>
            <w:hideMark/>
          </w:tcPr>
          <w:p w:rsidR="00204407" w:rsidRPr="00204407" w:rsidRDefault="00204407" w:rsidP="00204407">
            <w:pPr>
              <w:jc w:val="left"/>
              <w:rPr>
                <w:rFonts w:ascii="Calibri" w:eastAsia="Times New Roman" w:hAnsi="Calibri"/>
                <w:snapToGrid/>
                <w:color w:val="000000"/>
                <w:sz w:val="22"/>
                <w:szCs w:val="22"/>
              </w:rPr>
            </w:pPr>
            <w:r w:rsidRPr="00204407">
              <w:rPr>
                <w:rFonts w:ascii="Calibri" w:eastAsia="Times New Roman" w:hAnsi="Calibri"/>
                <w:snapToGrid/>
                <w:color w:val="000000"/>
                <w:sz w:val="22"/>
                <w:szCs w:val="22"/>
              </w:rPr>
              <w:t> </w:t>
            </w:r>
          </w:p>
        </w:tc>
        <w:tc>
          <w:tcPr>
            <w:tcW w:w="991"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17.60%</w:t>
            </w:r>
          </w:p>
        </w:tc>
        <w:tc>
          <w:tcPr>
            <w:tcW w:w="940" w:type="dxa"/>
            <w:tcBorders>
              <w:top w:val="nil"/>
              <w:left w:val="nil"/>
              <w:bottom w:val="nil"/>
              <w:right w:val="nil"/>
            </w:tcBorders>
            <w:shd w:val="clear" w:color="000000" w:fill="FFFFFF"/>
            <w:vAlign w:val="bottom"/>
            <w:hideMark/>
          </w:tcPr>
          <w:p w:rsidR="00204407" w:rsidRPr="00204407" w:rsidRDefault="00204407" w:rsidP="00204407">
            <w:pPr>
              <w:jc w:val="right"/>
              <w:rPr>
                <w:rFonts w:ascii="Calibri" w:eastAsia="Times New Roman" w:hAnsi="Calibri"/>
                <w:snapToGrid/>
                <w:color w:val="000000"/>
                <w:sz w:val="22"/>
                <w:szCs w:val="22"/>
              </w:rPr>
            </w:pPr>
            <w:r w:rsidRPr="00204407">
              <w:rPr>
                <w:rFonts w:ascii="Calibri" w:eastAsia="Times New Roman" w:hAnsi="Calibri"/>
                <w:snapToGrid/>
                <w:color w:val="000000"/>
                <w:sz w:val="22"/>
                <w:szCs w:val="22"/>
              </w:rPr>
              <w:t>20.79%</w:t>
            </w:r>
          </w:p>
        </w:tc>
      </w:tr>
    </w:tbl>
    <w:p w:rsidR="00880433" w:rsidRPr="00350205" w:rsidRDefault="00880433" w:rsidP="00B727F9">
      <w:pPr>
        <w:pStyle w:val="BodyofReport"/>
        <w:spacing w:line="360" w:lineRule="auto"/>
        <w:ind w:firstLine="0"/>
        <w:rPr>
          <w:rFonts w:ascii="Calibri" w:hAnsi="Calibri" w:cs="Arial"/>
        </w:rPr>
      </w:pPr>
    </w:p>
    <w:p w:rsidR="00570DFD" w:rsidRDefault="00570DFD" w:rsidP="00B727F9">
      <w:pPr>
        <w:pStyle w:val="BodyofReport"/>
        <w:spacing w:line="360" w:lineRule="auto"/>
        <w:ind w:firstLine="0"/>
        <w:rPr>
          <w:rFonts w:ascii="Calibri" w:hAnsi="Calibri" w:cs="Arial"/>
          <w:highlight w:val="yellow"/>
        </w:rPr>
      </w:pPr>
    </w:p>
    <w:p w:rsidR="00DD4786" w:rsidRPr="000528B8" w:rsidRDefault="00DD4786" w:rsidP="00DD4786">
      <w:pPr>
        <w:spacing w:line="288" w:lineRule="auto"/>
        <w:rPr>
          <w:rFonts w:ascii="Calibri" w:hAnsi="Calibri"/>
        </w:rPr>
      </w:pPr>
    </w:p>
    <w:p w:rsidR="00880433" w:rsidRDefault="00880433" w:rsidP="00717339">
      <w:pPr>
        <w:tabs>
          <w:tab w:val="left" w:pos="2880"/>
        </w:tabs>
        <w:spacing w:line="288" w:lineRule="auto"/>
        <w:ind w:left="-960"/>
        <w:rPr>
          <w:rFonts w:ascii="Calibri" w:hAnsi="Calibri"/>
          <w:b/>
          <w:bCs/>
        </w:rPr>
      </w:pPr>
    </w:p>
    <w:p w:rsidR="00880433" w:rsidRDefault="00880433" w:rsidP="00717339">
      <w:pPr>
        <w:tabs>
          <w:tab w:val="left" w:pos="2880"/>
        </w:tabs>
        <w:spacing w:line="288" w:lineRule="auto"/>
        <w:ind w:left="-960"/>
        <w:rPr>
          <w:rFonts w:ascii="Calibri" w:hAnsi="Calibri"/>
          <w:b/>
          <w:bCs/>
        </w:rPr>
      </w:pPr>
    </w:p>
    <w:p w:rsidR="00880433" w:rsidRDefault="00880433" w:rsidP="00717339">
      <w:pPr>
        <w:tabs>
          <w:tab w:val="left" w:pos="2880"/>
        </w:tabs>
        <w:spacing w:line="288" w:lineRule="auto"/>
        <w:ind w:left="-960"/>
        <w:rPr>
          <w:rFonts w:ascii="Calibri" w:hAnsi="Calibri"/>
          <w:b/>
          <w:bCs/>
        </w:rPr>
      </w:pPr>
    </w:p>
    <w:p w:rsidR="00880433" w:rsidRDefault="00880433" w:rsidP="00717339">
      <w:pPr>
        <w:tabs>
          <w:tab w:val="left" w:pos="2880"/>
        </w:tabs>
        <w:spacing w:line="288" w:lineRule="auto"/>
        <w:ind w:left="-960"/>
        <w:rPr>
          <w:rFonts w:ascii="Calibri" w:hAnsi="Calibri"/>
          <w:b/>
          <w:bCs/>
        </w:rPr>
      </w:pPr>
    </w:p>
    <w:sectPr w:rsidR="00880433" w:rsidSect="00570DFD">
      <w:headerReference w:type="default" r:id="rId10"/>
      <w:footerReference w:type="even" r:id="rId11"/>
      <w:footerReference w:type="default" r:id="rId12"/>
      <w:headerReference w:type="first" r:id="rId13"/>
      <w:footerReference w:type="first" r:id="rId14"/>
      <w:pgSz w:w="12240" w:h="15840" w:code="1"/>
      <w:pgMar w:top="1440" w:right="1440" w:bottom="1440" w:left="1440" w:header="907" w:footer="69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471" w:rsidRDefault="00F77471">
      <w:r>
        <w:separator/>
      </w:r>
    </w:p>
  </w:endnote>
  <w:endnote w:type="continuationSeparator" w:id="0">
    <w:p w:rsidR="00F77471" w:rsidRDefault="00F7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471" w:rsidRDefault="00F77471" w:rsidP="007F2A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471" w:rsidRDefault="00F77471" w:rsidP="00AE10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471" w:rsidRDefault="00F77471">
    <w:pPr>
      <w:pStyle w:val="Footer"/>
    </w:pPr>
    <w:r w:rsidRPr="00061367">
      <w:rPr>
        <w:noProof/>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AbtSRBI_letterhead_footer_cropped.jpg" style="width:441.75pt;height:21pt;visibility:visible">
          <v:imagedata r:id="rId1" o:title="AbtSRBI_letterhead_footer_cropped"/>
        </v:shape>
      </w:pict>
    </w:r>
  </w:p>
  <w:p w:rsidR="00F77471" w:rsidRPr="00DC079A" w:rsidRDefault="00F77471" w:rsidP="00E84804">
    <w:pPr>
      <w:pStyle w:val="Footer"/>
      <w:ind w:right="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471" w:rsidRPr="00E84804" w:rsidRDefault="00F77471" w:rsidP="00C17C2B">
    <w:pPr>
      <w:pStyle w:val="Footer"/>
      <w:jc w:val="right"/>
      <w:rPr>
        <w:rFonts w:cs="Arial"/>
        <w:sz w:val="16"/>
        <w:szCs w:val="16"/>
      </w:rPr>
    </w:pPr>
    <w:r w:rsidRPr="00E84804">
      <w:rPr>
        <w:rStyle w:val="PageNumber"/>
      </w:rPr>
      <w:fldChar w:fldCharType="begin"/>
    </w:r>
    <w:r w:rsidRPr="00E84804">
      <w:rPr>
        <w:rStyle w:val="PageNumber"/>
      </w:rPr>
      <w:instrText xml:space="preserve"> PAGE </w:instrText>
    </w:r>
    <w:r w:rsidRPr="00E84804">
      <w:rPr>
        <w:rStyle w:val="PageNumber"/>
      </w:rPr>
      <w:fldChar w:fldCharType="separate"/>
    </w:r>
    <w:r w:rsidR="004549AA">
      <w:rPr>
        <w:rStyle w:val="PageNumber"/>
        <w:noProof/>
      </w:rPr>
      <w:t>1</w:t>
    </w:r>
    <w:r w:rsidRPr="00E84804">
      <w:rPr>
        <w:rStyle w:val="PageNumber"/>
      </w:rPr>
      <w:fldChar w:fldCharType="end"/>
    </w:r>
    <w:r w:rsidRPr="00E84804">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471" w:rsidRDefault="00F77471">
      <w:r>
        <w:separator/>
      </w:r>
    </w:p>
  </w:footnote>
  <w:footnote w:type="continuationSeparator" w:id="0">
    <w:p w:rsidR="00F77471" w:rsidRDefault="00F77471">
      <w:r>
        <w:continuationSeparator/>
      </w:r>
    </w:p>
  </w:footnote>
  <w:footnote w:id="1">
    <w:p w:rsidR="00F77471" w:rsidRPr="00C36AC5" w:rsidRDefault="00F77471" w:rsidP="00E731A4">
      <w:pPr>
        <w:pStyle w:val="FootnoteText"/>
        <w:rPr>
          <w:rFonts w:ascii="Calibri" w:hAnsi="Calibri"/>
        </w:rPr>
      </w:pPr>
      <w:r w:rsidRPr="00C36AC5">
        <w:rPr>
          <w:rStyle w:val="FootnoteReference"/>
          <w:rFonts w:ascii="Calibri" w:hAnsi="Calibri"/>
        </w:rPr>
        <w:footnoteRef/>
      </w:r>
      <w:r w:rsidRPr="00C36AC5">
        <w:rPr>
          <w:rFonts w:ascii="Calibri" w:hAnsi="Calibri"/>
        </w:rPr>
        <w:t xml:space="preserve"> Blumberg SJ, Luke JV. Wireless substitution: Early </w:t>
      </w:r>
      <w:r>
        <w:rPr>
          <w:rFonts w:ascii="Calibri" w:hAnsi="Calibri"/>
        </w:rPr>
        <w:t>R</w:t>
      </w:r>
      <w:r w:rsidRPr="00C36AC5">
        <w:rPr>
          <w:rFonts w:ascii="Calibri" w:hAnsi="Calibri"/>
        </w:rPr>
        <w:t xml:space="preserve">elease of </w:t>
      </w:r>
      <w:r>
        <w:rPr>
          <w:rFonts w:ascii="Calibri" w:hAnsi="Calibri"/>
        </w:rPr>
        <w:t>E</w:t>
      </w:r>
      <w:r w:rsidRPr="00C36AC5">
        <w:rPr>
          <w:rFonts w:ascii="Calibri" w:hAnsi="Calibri"/>
        </w:rPr>
        <w:t xml:space="preserve">stimates from the National Health Interview Survey, </w:t>
      </w:r>
      <w:r>
        <w:rPr>
          <w:rFonts w:ascii="Calibri" w:hAnsi="Calibri"/>
        </w:rPr>
        <w:t>January-June, 2013</w:t>
      </w:r>
      <w:r w:rsidRPr="00C36AC5">
        <w:rPr>
          <w:rFonts w:ascii="Calibri" w:hAnsi="Calibri"/>
        </w:rPr>
        <w:t xml:space="preserve">. </w:t>
      </w:r>
      <w:proofErr w:type="gramStart"/>
      <w:r w:rsidRPr="00C36AC5">
        <w:rPr>
          <w:rFonts w:ascii="Calibri" w:hAnsi="Calibri"/>
        </w:rPr>
        <w:t>National Center for Health Statistics.</w:t>
      </w:r>
      <w:proofErr w:type="gramEnd"/>
      <w:r w:rsidRPr="00C36AC5">
        <w:rPr>
          <w:rFonts w:ascii="Calibri" w:hAnsi="Calibri"/>
        </w:rPr>
        <w:t xml:space="preserve"> </w:t>
      </w:r>
      <w:r>
        <w:rPr>
          <w:rFonts w:ascii="Calibri" w:hAnsi="Calibri"/>
        </w:rPr>
        <w:t xml:space="preserve">December 2013. </w:t>
      </w:r>
    </w:p>
  </w:footnote>
  <w:footnote w:id="2">
    <w:p w:rsidR="00F77471" w:rsidRPr="0033231B" w:rsidRDefault="00F77471" w:rsidP="00B727F9">
      <w:pPr>
        <w:pStyle w:val="FootnoteText"/>
        <w:rPr>
          <w:rFonts w:ascii="Calibri" w:hAnsi="Calibri"/>
        </w:rPr>
      </w:pPr>
      <w:r w:rsidRPr="0033231B">
        <w:rPr>
          <w:rStyle w:val="FootnoteReference"/>
          <w:rFonts w:ascii="Calibri" w:hAnsi="Calibri"/>
        </w:rPr>
        <w:footnoteRef/>
      </w:r>
      <w:r w:rsidRPr="0033231B">
        <w:rPr>
          <w:rFonts w:ascii="Calibri" w:hAnsi="Calibri"/>
        </w:rPr>
        <w:t xml:space="preserve"> Abt SRBI’s disposition codes and reporting are consistent with the American Association for Public Opinion Research standards.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471" w:rsidRDefault="00F77471">
    <w:pPr>
      <w:pStyle w:val="Header"/>
    </w:pPr>
    <w:r>
      <w:t xml:space="preserve"> </w:t>
    </w:r>
  </w:p>
  <w:p w:rsidR="00F77471" w:rsidRPr="00420433" w:rsidRDefault="00F77471" w:rsidP="00A35B88">
    <w:pPr>
      <w:pStyle w:val="Header"/>
      <w:rPr>
        <w:rFonts w:cs="Arial"/>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471" w:rsidRDefault="00F77471" w:rsidP="00F21565">
    <w:pPr>
      <w:pStyle w:val="Header"/>
    </w:pPr>
    <w:r w:rsidRPr="00BE453D">
      <w:rPr>
        <w:noProof/>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cintosh HD:Users:freelance:Desktop:abtSRBI_logo_150.jpg" style="width:166.5pt;height:45.75pt;visibility:visible">
          <v:imagedata r:id="rId1" o:title="abtSRBI_logo_150"/>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F3673BE"/>
    <w:lvl w:ilvl="0">
      <w:start w:val="1"/>
      <w:numFmt w:val="bullet"/>
      <w:pStyle w:val="ListContinue2"/>
      <w:lvlText w:val=""/>
      <w:lvlJc w:val="left"/>
      <w:pPr>
        <w:tabs>
          <w:tab w:val="num" w:pos="1080"/>
        </w:tabs>
        <w:ind w:left="1080" w:hanging="360"/>
      </w:pPr>
      <w:rPr>
        <w:rFonts w:ascii="Symbol" w:hAnsi="Symbol" w:hint="default"/>
      </w:rPr>
    </w:lvl>
  </w:abstractNum>
  <w:abstractNum w:abstractNumId="1">
    <w:nsid w:val="FFFFFF83"/>
    <w:multiLevelType w:val="singleLevel"/>
    <w:tmpl w:val="567409FC"/>
    <w:lvl w:ilvl="0">
      <w:start w:val="1"/>
      <w:numFmt w:val="bullet"/>
      <w:pStyle w:val="ListBullet3"/>
      <w:lvlText w:val=""/>
      <w:lvlJc w:val="left"/>
      <w:pPr>
        <w:tabs>
          <w:tab w:val="num" w:pos="720"/>
        </w:tabs>
        <w:ind w:left="720" w:hanging="360"/>
      </w:pPr>
      <w:rPr>
        <w:rFonts w:ascii="Symbol" w:hAnsi="Symbol" w:hint="default"/>
      </w:rPr>
    </w:lvl>
  </w:abstractNum>
  <w:abstractNum w:abstractNumId="2">
    <w:nsid w:val="0061247E"/>
    <w:multiLevelType w:val="hybridMultilevel"/>
    <w:tmpl w:val="8226929C"/>
    <w:lvl w:ilvl="0" w:tplc="5E86D4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78133E"/>
    <w:multiLevelType w:val="hybridMultilevel"/>
    <w:tmpl w:val="D8666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FA3231"/>
    <w:multiLevelType w:val="hybridMultilevel"/>
    <w:tmpl w:val="801881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F3773FD"/>
    <w:multiLevelType w:val="hybridMultilevel"/>
    <w:tmpl w:val="FBE88B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A139D1"/>
    <w:multiLevelType w:val="hybridMultilevel"/>
    <w:tmpl w:val="41E2F5D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9B72E03"/>
    <w:multiLevelType w:val="hybridMultilevel"/>
    <w:tmpl w:val="E236E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E52B44"/>
    <w:multiLevelType w:val="hybridMultilevel"/>
    <w:tmpl w:val="378C7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627B9D"/>
    <w:multiLevelType w:val="hybridMultilevel"/>
    <w:tmpl w:val="19DECCA4"/>
    <w:lvl w:ilvl="0" w:tplc="AAFACC9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B22C2A"/>
    <w:multiLevelType w:val="hybridMultilevel"/>
    <w:tmpl w:val="F71801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790ED3"/>
    <w:multiLevelType w:val="hybridMultilevel"/>
    <w:tmpl w:val="B51478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3B7892"/>
    <w:multiLevelType w:val="hybridMultilevel"/>
    <w:tmpl w:val="3368AA26"/>
    <w:lvl w:ilvl="0" w:tplc="1D10387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83566AF"/>
    <w:multiLevelType w:val="hybridMultilevel"/>
    <w:tmpl w:val="27289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9FB565E"/>
    <w:multiLevelType w:val="hybridMultilevel"/>
    <w:tmpl w:val="28C0AB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0F366B"/>
    <w:multiLevelType w:val="hybridMultilevel"/>
    <w:tmpl w:val="ADBC9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BEA7008"/>
    <w:multiLevelType w:val="hybridMultilevel"/>
    <w:tmpl w:val="43B03224"/>
    <w:lvl w:ilvl="0" w:tplc="AAFACC9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C22445D"/>
    <w:multiLevelType w:val="hybridMultilevel"/>
    <w:tmpl w:val="ABCC1D7E"/>
    <w:lvl w:ilvl="0" w:tplc="AAFACC9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5D75D0"/>
    <w:multiLevelType w:val="hybridMultilevel"/>
    <w:tmpl w:val="EA7415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66464B7"/>
    <w:multiLevelType w:val="hybridMultilevel"/>
    <w:tmpl w:val="2BE66900"/>
    <w:lvl w:ilvl="0" w:tplc="7F765130">
      <w:numFmt w:val="bullet"/>
      <w:lvlText w:val="-"/>
      <w:lvlJc w:val="left"/>
      <w:pPr>
        <w:tabs>
          <w:tab w:val="num" w:pos="720"/>
        </w:tabs>
        <w:ind w:left="720" w:hanging="360"/>
      </w:pPr>
      <w:rPr>
        <w:rFonts w:ascii="Arial" w:eastAsia="Arial Unicode MS"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963300"/>
    <w:multiLevelType w:val="hybridMultilevel"/>
    <w:tmpl w:val="7A6873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9A21E4D"/>
    <w:multiLevelType w:val="hybridMultilevel"/>
    <w:tmpl w:val="3994617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7B096BBB"/>
    <w:multiLevelType w:val="hybridMultilevel"/>
    <w:tmpl w:val="449EB7A2"/>
    <w:lvl w:ilvl="0" w:tplc="723499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6"/>
  </w:num>
  <w:num w:numId="4">
    <w:abstractNumId w:val="0"/>
  </w:num>
  <w:num w:numId="5">
    <w:abstractNumId w:val="1"/>
  </w:num>
  <w:num w:numId="6">
    <w:abstractNumId w:val="21"/>
  </w:num>
  <w:num w:numId="7">
    <w:abstractNumId w:val="20"/>
  </w:num>
  <w:num w:numId="8">
    <w:abstractNumId w:val="14"/>
  </w:num>
  <w:num w:numId="9">
    <w:abstractNumId w:val="10"/>
  </w:num>
  <w:num w:numId="10">
    <w:abstractNumId w:val="15"/>
  </w:num>
  <w:num w:numId="11">
    <w:abstractNumId w:val="11"/>
  </w:num>
  <w:num w:numId="12">
    <w:abstractNumId w:val="3"/>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4"/>
  </w:num>
  <w:num w:numId="17">
    <w:abstractNumId w:val="16"/>
  </w:num>
  <w:num w:numId="18">
    <w:abstractNumId w:val="1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7"/>
  </w:num>
  <w:num w:numId="22">
    <w:abstractNumId w:val="2"/>
  </w:num>
  <w:num w:numId="23">
    <w:abstractNumId w:val="9"/>
  </w:num>
  <w:num w:numId="2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688F"/>
    <w:rsid w:val="000009DD"/>
    <w:rsid w:val="00001B62"/>
    <w:rsid w:val="00003376"/>
    <w:rsid w:val="00004010"/>
    <w:rsid w:val="000043E7"/>
    <w:rsid w:val="00006697"/>
    <w:rsid w:val="00012910"/>
    <w:rsid w:val="00015884"/>
    <w:rsid w:val="0001786C"/>
    <w:rsid w:val="00017AB7"/>
    <w:rsid w:val="00020BD0"/>
    <w:rsid w:val="00021CFD"/>
    <w:rsid w:val="00021E88"/>
    <w:rsid w:val="00022625"/>
    <w:rsid w:val="00022A59"/>
    <w:rsid w:val="00025E0C"/>
    <w:rsid w:val="00030FAF"/>
    <w:rsid w:val="000322DC"/>
    <w:rsid w:val="00037636"/>
    <w:rsid w:val="00040574"/>
    <w:rsid w:val="0004077A"/>
    <w:rsid w:val="00040F27"/>
    <w:rsid w:val="00042C87"/>
    <w:rsid w:val="0004369A"/>
    <w:rsid w:val="00043A2C"/>
    <w:rsid w:val="00043F8A"/>
    <w:rsid w:val="00045004"/>
    <w:rsid w:val="0004520F"/>
    <w:rsid w:val="00045D9B"/>
    <w:rsid w:val="00047AE6"/>
    <w:rsid w:val="00052CDD"/>
    <w:rsid w:val="000538DF"/>
    <w:rsid w:val="00054432"/>
    <w:rsid w:val="00054651"/>
    <w:rsid w:val="000569A1"/>
    <w:rsid w:val="00056F39"/>
    <w:rsid w:val="00061367"/>
    <w:rsid w:val="00067719"/>
    <w:rsid w:val="000710B4"/>
    <w:rsid w:val="000726E8"/>
    <w:rsid w:val="00073C86"/>
    <w:rsid w:val="00077212"/>
    <w:rsid w:val="0007758A"/>
    <w:rsid w:val="000775C8"/>
    <w:rsid w:val="00077D47"/>
    <w:rsid w:val="00080CF2"/>
    <w:rsid w:val="0008376A"/>
    <w:rsid w:val="00084662"/>
    <w:rsid w:val="00090001"/>
    <w:rsid w:val="000924E9"/>
    <w:rsid w:val="00094207"/>
    <w:rsid w:val="00094E3B"/>
    <w:rsid w:val="00095521"/>
    <w:rsid w:val="000A0C13"/>
    <w:rsid w:val="000A32B2"/>
    <w:rsid w:val="000A3632"/>
    <w:rsid w:val="000A4096"/>
    <w:rsid w:val="000A429E"/>
    <w:rsid w:val="000A4A67"/>
    <w:rsid w:val="000A6949"/>
    <w:rsid w:val="000A6F7C"/>
    <w:rsid w:val="000A7546"/>
    <w:rsid w:val="000A7EB6"/>
    <w:rsid w:val="000B3771"/>
    <w:rsid w:val="000B4D1E"/>
    <w:rsid w:val="000B5373"/>
    <w:rsid w:val="000B6F51"/>
    <w:rsid w:val="000B6FDB"/>
    <w:rsid w:val="000C00FE"/>
    <w:rsid w:val="000C0C59"/>
    <w:rsid w:val="000C26E1"/>
    <w:rsid w:val="000C3903"/>
    <w:rsid w:val="000C3B09"/>
    <w:rsid w:val="000C46A4"/>
    <w:rsid w:val="000C5B37"/>
    <w:rsid w:val="000C5F03"/>
    <w:rsid w:val="000D06CD"/>
    <w:rsid w:val="000D2B39"/>
    <w:rsid w:val="000D2F43"/>
    <w:rsid w:val="000D4DFB"/>
    <w:rsid w:val="000D7BC9"/>
    <w:rsid w:val="000E15C3"/>
    <w:rsid w:val="000E1813"/>
    <w:rsid w:val="000E1923"/>
    <w:rsid w:val="000E1F8A"/>
    <w:rsid w:val="000E27FC"/>
    <w:rsid w:val="000E7492"/>
    <w:rsid w:val="000F399F"/>
    <w:rsid w:val="000F39E8"/>
    <w:rsid w:val="000F3F75"/>
    <w:rsid w:val="000F582E"/>
    <w:rsid w:val="001010F2"/>
    <w:rsid w:val="00102520"/>
    <w:rsid w:val="00103845"/>
    <w:rsid w:val="001078DB"/>
    <w:rsid w:val="00107940"/>
    <w:rsid w:val="00107999"/>
    <w:rsid w:val="00107DA7"/>
    <w:rsid w:val="0011015D"/>
    <w:rsid w:val="00111197"/>
    <w:rsid w:val="00113440"/>
    <w:rsid w:val="001156BB"/>
    <w:rsid w:val="00117E66"/>
    <w:rsid w:val="0012045F"/>
    <w:rsid w:val="001208C4"/>
    <w:rsid w:val="00121031"/>
    <w:rsid w:val="001230BF"/>
    <w:rsid w:val="00123E2C"/>
    <w:rsid w:val="0012465C"/>
    <w:rsid w:val="001253E6"/>
    <w:rsid w:val="00125B7C"/>
    <w:rsid w:val="00126D12"/>
    <w:rsid w:val="00130157"/>
    <w:rsid w:val="00131708"/>
    <w:rsid w:val="0013344F"/>
    <w:rsid w:val="00135B16"/>
    <w:rsid w:val="00137105"/>
    <w:rsid w:val="00137799"/>
    <w:rsid w:val="0014486A"/>
    <w:rsid w:val="00145C86"/>
    <w:rsid w:val="0014663B"/>
    <w:rsid w:val="00146EDD"/>
    <w:rsid w:val="00147B1E"/>
    <w:rsid w:val="00147F51"/>
    <w:rsid w:val="001502E5"/>
    <w:rsid w:val="001524EC"/>
    <w:rsid w:val="0015344A"/>
    <w:rsid w:val="00156431"/>
    <w:rsid w:val="00156A17"/>
    <w:rsid w:val="00157584"/>
    <w:rsid w:val="00163BD6"/>
    <w:rsid w:val="001679A7"/>
    <w:rsid w:val="001746EF"/>
    <w:rsid w:val="0017543F"/>
    <w:rsid w:val="00176392"/>
    <w:rsid w:val="00177D7B"/>
    <w:rsid w:val="00180ACF"/>
    <w:rsid w:val="0018638D"/>
    <w:rsid w:val="00187EEF"/>
    <w:rsid w:val="00190687"/>
    <w:rsid w:val="00191823"/>
    <w:rsid w:val="00193340"/>
    <w:rsid w:val="00196324"/>
    <w:rsid w:val="001A0682"/>
    <w:rsid w:val="001A0A69"/>
    <w:rsid w:val="001A17CF"/>
    <w:rsid w:val="001A2563"/>
    <w:rsid w:val="001A26A2"/>
    <w:rsid w:val="001A63A6"/>
    <w:rsid w:val="001A6A04"/>
    <w:rsid w:val="001A7F20"/>
    <w:rsid w:val="001A7F78"/>
    <w:rsid w:val="001B056A"/>
    <w:rsid w:val="001B0806"/>
    <w:rsid w:val="001B11FD"/>
    <w:rsid w:val="001B2C50"/>
    <w:rsid w:val="001B3642"/>
    <w:rsid w:val="001B542E"/>
    <w:rsid w:val="001B7E74"/>
    <w:rsid w:val="001C1DBC"/>
    <w:rsid w:val="001C1E8F"/>
    <w:rsid w:val="001C27BB"/>
    <w:rsid w:val="001C37FF"/>
    <w:rsid w:val="001C3946"/>
    <w:rsid w:val="001C5CA2"/>
    <w:rsid w:val="001C5D3E"/>
    <w:rsid w:val="001C6BFC"/>
    <w:rsid w:val="001C6F7B"/>
    <w:rsid w:val="001D092C"/>
    <w:rsid w:val="001D0F79"/>
    <w:rsid w:val="001D185D"/>
    <w:rsid w:val="001E0B64"/>
    <w:rsid w:val="001E42E9"/>
    <w:rsid w:val="001E52E0"/>
    <w:rsid w:val="001E5B3A"/>
    <w:rsid w:val="001E5EDB"/>
    <w:rsid w:val="001E5F62"/>
    <w:rsid w:val="001E630E"/>
    <w:rsid w:val="001F0F70"/>
    <w:rsid w:val="001F3B6F"/>
    <w:rsid w:val="001F3DE1"/>
    <w:rsid w:val="001F780B"/>
    <w:rsid w:val="001F7ED2"/>
    <w:rsid w:val="001F7FD9"/>
    <w:rsid w:val="00200795"/>
    <w:rsid w:val="00203E9A"/>
    <w:rsid w:val="00204407"/>
    <w:rsid w:val="00204C8B"/>
    <w:rsid w:val="002054F3"/>
    <w:rsid w:val="00205F5D"/>
    <w:rsid w:val="00206BE5"/>
    <w:rsid w:val="00210D06"/>
    <w:rsid w:val="00212D95"/>
    <w:rsid w:val="002155C5"/>
    <w:rsid w:val="002156F2"/>
    <w:rsid w:val="00221298"/>
    <w:rsid w:val="002222B5"/>
    <w:rsid w:val="002229E6"/>
    <w:rsid w:val="002242AC"/>
    <w:rsid w:val="00224F54"/>
    <w:rsid w:val="00225D47"/>
    <w:rsid w:val="0022762C"/>
    <w:rsid w:val="002304C1"/>
    <w:rsid w:val="002320CB"/>
    <w:rsid w:val="00234D38"/>
    <w:rsid w:val="00236FB7"/>
    <w:rsid w:val="0023735B"/>
    <w:rsid w:val="00240277"/>
    <w:rsid w:val="00240D56"/>
    <w:rsid w:val="00241EBD"/>
    <w:rsid w:val="00243632"/>
    <w:rsid w:val="0024606A"/>
    <w:rsid w:val="0026220C"/>
    <w:rsid w:val="0026290E"/>
    <w:rsid w:val="002649AD"/>
    <w:rsid w:val="00265BFF"/>
    <w:rsid w:val="002705CB"/>
    <w:rsid w:val="0027224B"/>
    <w:rsid w:val="00273F42"/>
    <w:rsid w:val="00274679"/>
    <w:rsid w:val="00274B66"/>
    <w:rsid w:val="002755F2"/>
    <w:rsid w:val="002760EB"/>
    <w:rsid w:val="00276EF9"/>
    <w:rsid w:val="00277AC1"/>
    <w:rsid w:val="00280B7C"/>
    <w:rsid w:val="00280D52"/>
    <w:rsid w:val="00290EB4"/>
    <w:rsid w:val="00291337"/>
    <w:rsid w:val="00292116"/>
    <w:rsid w:val="00293DFF"/>
    <w:rsid w:val="002A018E"/>
    <w:rsid w:val="002A12F8"/>
    <w:rsid w:val="002A17CF"/>
    <w:rsid w:val="002A2CBB"/>
    <w:rsid w:val="002A5CE3"/>
    <w:rsid w:val="002A5ED5"/>
    <w:rsid w:val="002B3EC4"/>
    <w:rsid w:val="002B5862"/>
    <w:rsid w:val="002B5B09"/>
    <w:rsid w:val="002C068D"/>
    <w:rsid w:val="002C0F56"/>
    <w:rsid w:val="002C16F6"/>
    <w:rsid w:val="002C2E00"/>
    <w:rsid w:val="002C3F80"/>
    <w:rsid w:val="002C7430"/>
    <w:rsid w:val="002C7C72"/>
    <w:rsid w:val="002D085A"/>
    <w:rsid w:val="002D1D9B"/>
    <w:rsid w:val="002D2163"/>
    <w:rsid w:val="002D3607"/>
    <w:rsid w:val="002D38BE"/>
    <w:rsid w:val="002D5167"/>
    <w:rsid w:val="002D5248"/>
    <w:rsid w:val="002D61CB"/>
    <w:rsid w:val="002E307B"/>
    <w:rsid w:val="002E43F0"/>
    <w:rsid w:val="002E650F"/>
    <w:rsid w:val="002E7CEA"/>
    <w:rsid w:val="002F1A60"/>
    <w:rsid w:val="002F2A9D"/>
    <w:rsid w:val="002F3826"/>
    <w:rsid w:val="002F383B"/>
    <w:rsid w:val="002F63DA"/>
    <w:rsid w:val="002F6B42"/>
    <w:rsid w:val="002F6D74"/>
    <w:rsid w:val="002F77CF"/>
    <w:rsid w:val="0030165D"/>
    <w:rsid w:val="0030379C"/>
    <w:rsid w:val="00307182"/>
    <w:rsid w:val="00307D24"/>
    <w:rsid w:val="00311FDF"/>
    <w:rsid w:val="00312364"/>
    <w:rsid w:val="0031237C"/>
    <w:rsid w:val="003145EC"/>
    <w:rsid w:val="00315664"/>
    <w:rsid w:val="00315737"/>
    <w:rsid w:val="0031642F"/>
    <w:rsid w:val="00317F8B"/>
    <w:rsid w:val="00321A2F"/>
    <w:rsid w:val="00323F81"/>
    <w:rsid w:val="003247C4"/>
    <w:rsid w:val="00325957"/>
    <w:rsid w:val="00326872"/>
    <w:rsid w:val="0032723F"/>
    <w:rsid w:val="0033231B"/>
    <w:rsid w:val="00333A24"/>
    <w:rsid w:val="00333D27"/>
    <w:rsid w:val="00335B7C"/>
    <w:rsid w:val="00337936"/>
    <w:rsid w:val="00341935"/>
    <w:rsid w:val="00341E2C"/>
    <w:rsid w:val="0034590C"/>
    <w:rsid w:val="003463F7"/>
    <w:rsid w:val="00347C8E"/>
    <w:rsid w:val="00351E8B"/>
    <w:rsid w:val="00354E59"/>
    <w:rsid w:val="003554E8"/>
    <w:rsid w:val="0035559A"/>
    <w:rsid w:val="003576D4"/>
    <w:rsid w:val="00357E47"/>
    <w:rsid w:val="00360229"/>
    <w:rsid w:val="00362581"/>
    <w:rsid w:val="003645FE"/>
    <w:rsid w:val="00364F73"/>
    <w:rsid w:val="00365760"/>
    <w:rsid w:val="0037299E"/>
    <w:rsid w:val="00373A86"/>
    <w:rsid w:val="003822BB"/>
    <w:rsid w:val="00384F8E"/>
    <w:rsid w:val="003857A2"/>
    <w:rsid w:val="003857B7"/>
    <w:rsid w:val="003910C7"/>
    <w:rsid w:val="003932CB"/>
    <w:rsid w:val="0039414D"/>
    <w:rsid w:val="00395183"/>
    <w:rsid w:val="00395259"/>
    <w:rsid w:val="003A086C"/>
    <w:rsid w:val="003A2E7B"/>
    <w:rsid w:val="003A3609"/>
    <w:rsid w:val="003A448C"/>
    <w:rsid w:val="003B0141"/>
    <w:rsid w:val="003B2353"/>
    <w:rsid w:val="003B2954"/>
    <w:rsid w:val="003B2B14"/>
    <w:rsid w:val="003B3D41"/>
    <w:rsid w:val="003B5F35"/>
    <w:rsid w:val="003C1558"/>
    <w:rsid w:val="003C17E9"/>
    <w:rsid w:val="003C2310"/>
    <w:rsid w:val="003C3A6A"/>
    <w:rsid w:val="003C3F99"/>
    <w:rsid w:val="003C6F1B"/>
    <w:rsid w:val="003C748C"/>
    <w:rsid w:val="003C7658"/>
    <w:rsid w:val="003D0F1C"/>
    <w:rsid w:val="003D3144"/>
    <w:rsid w:val="003D49DF"/>
    <w:rsid w:val="003E05A2"/>
    <w:rsid w:val="003E0F97"/>
    <w:rsid w:val="003E1E61"/>
    <w:rsid w:val="003E26FC"/>
    <w:rsid w:val="003E2770"/>
    <w:rsid w:val="003E5733"/>
    <w:rsid w:val="003E59FD"/>
    <w:rsid w:val="003E68D1"/>
    <w:rsid w:val="003F0652"/>
    <w:rsid w:val="003F2522"/>
    <w:rsid w:val="003F73EC"/>
    <w:rsid w:val="003F74D4"/>
    <w:rsid w:val="00402ADA"/>
    <w:rsid w:val="004046ED"/>
    <w:rsid w:val="00406FE9"/>
    <w:rsid w:val="00412BD0"/>
    <w:rsid w:val="00417792"/>
    <w:rsid w:val="00420433"/>
    <w:rsid w:val="00423832"/>
    <w:rsid w:val="00424ADE"/>
    <w:rsid w:val="00425D21"/>
    <w:rsid w:val="00426CE4"/>
    <w:rsid w:val="00427774"/>
    <w:rsid w:val="00431D65"/>
    <w:rsid w:val="0043364C"/>
    <w:rsid w:val="00435E9A"/>
    <w:rsid w:val="0043683F"/>
    <w:rsid w:val="00440795"/>
    <w:rsid w:val="004425A3"/>
    <w:rsid w:val="004426C6"/>
    <w:rsid w:val="004429C7"/>
    <w:rsid w:val="004431DD"/>
    <w:rsid w:val="00445104"/>
    <w:rsid w:val="00447379"/>
    <w:rsid w:val="0044754A"/>
    <w:rsid w:val="00451055"/>
    <w:rsid w:val="004517F7"/>
    <w:rsid w:val="00453342"/>
    <w:rsid w:val="004549AA"/>
    <w:rsid w:val="00454D52"/>
    <w:rsid w:val="004560D4"/>
    <w:rsid w:val="00456BEF"/>
    <w:rsid w:val="004604B4"/>
    <w:rsid w:val="004612AB"/>
    <w:rsid w:val="004643B2"/>
    <w:rsid w:val="00465B6A"/>
    <w:rsid w:val="00467067"/>
    <w:rsid w:val="0047013B"/>
    <w:rsid w:val="004711A0"/>
    <w:rsid w:val="00472DC1"/>
    <w:rsid w:val="00473395"/>
    <w:rsid w:val="00474000"/>
    <w:rsid w:val="0047404E"/>
    <w:rsid w:val="00476346"/>
    <w:rsid w:val="004767B9"/>
    <w:rsid w:val="0047721F"/>
    <w:rsid w:val="004811CE"/>
    <w:rsid w:val="00481725"/>
    <w:rsid w:val="00482161"/>
    <w:rsid w:val="004833CD"/>
    <w:rsid w:val="00483C58"/>
    <w:rsid w:val="0048665E"/>
    <w:rsid w:val="00486692"/>
    <w:rsid w:val="00487527"/>
    <w:rsid w:val="00487FC0"/>
    <w:rsid w:val="00492044"/>
    <w:rsid w:val="004926AE"/>
    <w:rsid w:val="00496319"/>
    <w:rsid w:val="004978C2"/>
    <w:rsid w:val="004A0D19"/>
    <w:rsid w:val="004A1132"/>
    <w:rsid w:val="004A1281"/>
    <w:rsid w:val="004A2D5F"/>
    <w:rsid w:val="004A37C1"/>
    <w:rsid w:val="004A49C0"/>
    <w:rsid w:val="004A688F"/>
    <w:rsid w:val="004A705B"/>
    <w:rsid w:val="004A7A6A"/>
    <w:rsid w:val="004B4356"/>
    <w:rsid w:val="004B746E"/>
    <w:rsid w:val="004B77EF"/>
    <w:rsid w:val="004B7904"/>
    <w:rsid w:val="004C0C02"/>
    <w:rsid w:val="004C124A"/>
    <w:rsid w:val="004C1444"/>
    <w:rsid w:val="004C37AE"/>
    <w:rsid w:val="004C643F"/>
    <w:rsid w:val="004C6CE9"/>
    <w:rsid w:val="004C78EC"/>
    <w:rsid w:val="004D0EC8"/>
    <w:rsid w:val="004D12B5"/>
    <w:rsid w:val="004D5087"/>
    <w:rsid w:val="004D7696"/>
    <w:rsid w:val="004D78E2"/>
    <w:rsid w:val="004E1603"/>
    <w:rsid w:val="004E1AB4"/>
    <w:rsid w:val="004E2109"/>
    <w:rsid w:val="004E55B6"/>
    <w:rsid w:val="004E5873"/>
    <w:rsid w:val="004E7720"/>
    <w:rsid w:val="004E79D6"/>
    <w:rsid w:val="004F0E63"/>
    <w:rsid w:val="004F207D"/>
    <w:rsid w:val="004F35D2"/>
    <w:rsid w:val="004F4A5F"/>
    <w:rsid w:val="004F5C18"/>
    <w:rsid w:val="004F6E8F"/>
    <w:rsid w:val="00503361"/>
    <w:rsid w:val="00503D08"/>
    <w:rsid w:val="00504231"/>
    <w:rsid w:val="00504294"/>
    <w:rsid w:val="005066CF"/>
    <w:rsid w:val="005115AE"/>
    <w:rsid w:val="00511998"/>
    <w:rsid w:val="00512BA5"/>
    <w:rsid w:val="0051327F"/>
    <w:rsid w:val="00514B9E"/>
    <w:rsid w:val="0052030E"/>
    <w:rsid w:val="00521FD4"/>
    <w:rsid w:val="00522842"/>
    <w:rsid w:val="005236A8"/>
    <w:rsid w:val="00524093"/>
    <w:rsid w:val="005248CD"/>
    <w:rsid w:val="00527535"/>
    <w:rsid w:val="005275A3"/>
    <w:rsid w:val="00530D82"/>
    <w:rsid w:val="005347E6"/>
    <w:rsid w:val="00535F63"/>
    <w:rsid w:val="00540836"/>
    <w:rsid w:val="00542869"/>
    <w:rsid w:val="00544E94"/>
    <w:rsid w:val="00550836"/>
    <w:rsid w:val="00552574"/>
    <w:rsid w:val="00553688"/>
    <w:rsid w:val="005621A1"/>
    <w:rsid w:val="00570DFD"/>
    <w:rsid w:val="00571900"/>
    <w:rsid w:val="005735A2"/>
    <w:rsid w:val="00574423"/>
    <w:rsid w:val="00576A37"/>
    <w:rsid w:val="0057700F"/>
    <w:rsid w:val="00580391"/>
    <w:rsid w:val="0058080D"/>
    <w:rsid w:val="00581209"/>
    <w:rsid w:val="00581B95"/>
    <w:rsid w:val="005823B6"/>
    <w:rsid w:val="00586B3E"/>
    <w:rsid w:val="00591379"/>
    <w:rsid w:val="00591567"/>
    <w:rsid w:val="005917F2"/>
    <w:rsid w:val="005943A9"/>
    <w:rsid w:val="00596C7B"/>
    <w:rsid w:val="00597F53"/>
    <w:rsid w:val="005A2F57"/>
    <w:rsid w:val="005A3C08"/>
    <w:rsid w:val="005A3D7E"/>
    <w:rsid w:val="005A3E3C"/>
    <w:rsid w:val="005A6A6C"/>
    <w:rsid w:val="005B00DD"/>
    <w:rsid w:val="005B2EF1"/>
    <w:rsid w:val="005B63C0"/>
    <w:rsid w:val="005C0B5F"/>
    <w:rsid w:val="005C0FAC"/>
    <w:rsid w:val="005C178A"/>
    <w:rsid w:val="005C275D"/>
    <w:rsid w:val="005C2FAE"/>
    <w:rsid w:val="005C3AEB"/>
    <w:rsid w:val="005C4071"/>
    <w:rsid w:val="005C57CE"/>
    <w:rsid w:val="005C614B"/>
    <w:rsid w:val="005C64FA"/>
    <w:rsid w:val="005C6687"/>
    <w:rsid w:val="005C6C2E"/>
    <w:rsid w:val="005C7235"/>
    <w:rsid w:val="005C79F4"/>
    <w:rsid w:val="005C7AE7"/>
    <w:rsid w:val="005D0AF1"/>
    <w:rsid w:val="005D1583"/>
    <w:rsid w:val="005D55BD"/>
    <w:rsid w:val="005D605D"/>
    <w:rsid w:val="005D6AC3"/>
    <w:rsid w:val="005E42A5"/>
    <w:rsid w:val="005E441C"/>
    <w:rsid w:val="005E5346"/>
    <w:rsid w:val="005E6AEC"/>
    <w:rsid w:val="005F04AE"/>
    <w:rsid w:val="005F31C2"/>
    <w:rsid w:val="005F4ECE"/>
    <w:rsid w:val="005F7490"/>
    <w:rsid w:val="0060053A"/>
    <w:rsid w:val="00601471"/>
    <w:rsid w:val="00603BFB"/>
    <w:rsid w:val="0060426C"/>
    <w:rsid w:val="0060478F"/>
    <w:rsid w:val="006050BE"/>
    <w:rsid w:val="00605839"/>
    <w:rsid w:val="006061BC"/>
    <w:rsid w:val="00607079"/>
    <w:rsid w:val="00610B15"/>
    <w:rsid w:val="006120BC"/>
    <w:rsid w:val="006133D4"/>
    <w:rsid w:val="00614101"/>
    <w:rsid w:val="00615584"/>
    <w:rsid w:val="0061564D"/>
    <w:rsid w:val="0061586A"/>
    <w:rsid w:val="00620121"/>
    <w:rsid w:val="006208BE"/>
    <w:rsid w:val="00620960"/>
    <w:rsid w:val="006244AA"/>
    <w:rsid w:val="006273C7"/>
    <w:rsid w:val="00627816"/>
    <w:rsid w:val="00630875"/>
    <w:rsid w:val="00630DB6"/>
    <w:rsid w:val="00630EDB"/>
    <w:rsid w:val="00632918"/>
    <w:rsid w:val="00640C89"/>
    <w:rsid w:val="00641EBB"/>
    <w:rsid w:val="00643AF7"/>
    <w:rsid w:val="006509C7"/>
    <w:rsid w:val="006515FE"/>
    <w:rsid w:val="00652A3D"/>
    <w:rsid w:val="00652A6E"/>
    <w:rsid w:val="00653280"/>
    <w:rsid w:val="00653554"/>
    <w:rsid w:val="00653FCC"/>
    <w:rsid w:val="006540D9"/>
    <w:rsid w:val="006543F7"/>
    <w:rsid w:val="0065549F"/>
    <w:rsid w:val="00655B57"/>
    <w:rsid w:val="00657AF9"/>
    <w:rsid w:val="00661BFF"/>
    <w:rsid w:val="00661ECB"/>
    <w:rsid w:val="0066222D"/>
    <w:rsid w:val="00662EC1"/>
    <w:rsid w:val="00663C2E"/>
    <w:rsid w:val="006641B8"/>
    <w:rsid w:val="006708A0"/>
    <w:rsid w:val="00675A2C"/>
    <w:rsid w:val="00680A37"/>
    <w:rsid w:val="00681C18"/>
    <w:rsid w:val="006836AA"/>
    <w:rsid w:val="00685F19"/>
    <w:rsid w:val="00686016"/>
    <w:rsid w:val="00686F74"/>
    <w:rsid w:val="00687091"/>
    <w:rsid w:val="006907DA"/>
    <w:rsid w:val="006928DB"/>
    <w:rsid w:val="00692DF6"/>
    <w:rsid w:val="006934A5"/>
    <w:rsid w:val="0069437D"/>
    <w:rsid w:val="00695CA6"/>
    <w:rsid w:val="00696060"/>
    <w:rsid w:val="006A019F"/>
    <w:rsid w:val="006A03B0"/>
    <w:rsid w:val="006A0A7F"/>
    <w:rsid w:val="006A423F"/>
    <w:rsid w:val="006B55E3"/>
    <w:rsid w:val="006B5E7D"/>
    <w:rsid w:val="006B6221"/>
    <w:rsid w:val="006C179C"/>
    <w:rsid w:val="006C29CC"/>
    <w:rsid w:val="006C3769"/>
    <w:rsid w:val="006C7208"/>
    <w:rsid w:val="006D087D"/>
    <w:rsid w:val="006D1E5A"/>
    <w:rsid w:val="006D4EE7"/>
    <w:rsid w:val="006D59CB"/>
    <w:rsid w:val="006E0C98"/>
    <w:rsid w:val="006E14B1"/>
    <w:rsid w:val="006E1F9B"/>
    <w:rsid w:val="006E2645"/>
    <w:rsid w:val="006E3C5B"/>
    <w:rsid w:val="006E3CD8"/>
    <w:rsid w:val="006E69CA"/>
    <w:rsid w:val="006E73C2"/>
    <w:rsid w:val="006F2E88"/>
    <w:rsid w:val="006F6BE5"/>
    <w:rsid w:val="007016A8"/>
    <w:rsid w:val="00702370"/>
    <w:rsid w:val="007026BC"/>
    <w:rsid w:val="00702A8F"/>
    <w:rsid w:val="0070383E"/>
    <w:rsid w:val="007038B9"/>
    <w:rsid w:val="00704037"/>
    <w:rsid w:val="00706DC9"/>
    <w:rsid w:val="0071039E"/>
    <w:rsid w:val="007112C4"/>
    <w:rsid w:val="00714A21"/>
    <w:rsid w:val="00714E6C"/>
    <w:rsid w:val="00715B6D"/>
    <w:rsid w:val="00715BE9"/>
    <w:rsid w:val="00717339"/>
    <w:rsid w:val="00717820"/>
    <w:rsid w:val="00720900"/>
    <w:rsid w:val="007226FD"/>
    <w:rsid w:val="00722C41"/>
    <w:rsid w:val="00722DE3"/>
    <w:rsid w:val="0072534E"/>
    <w:rsid w:val="00725CB6"/>
    <w:rsid w:val="00726072"/>
    <w:rsid w:val="007306AA"/>
    <w:rsid w:val="00730AEA"/>
    <w:rsid w:val="007317E7"/>
    <w:rsid w:val="007317FF"/>
    <w:rsid w:val="0073339A"/>
    <w:rsid w:val="007352D4"/>
    <w:rsid w:val="00736265"/>
    <w:rsid w:val="00736287"/>
    <w:rsid w:val="00737E5E"/>
    <w:rsid w:val="00742AE1"/>
    <w:rsid w:val="00743040"/>
    <w:rsid w:val="00743E7C"/>
    <w:rsid w:val="0074664C"/>
    <w:rsid w:val="00747441"/>
    <w:rsid w:val="0075291C"/>
    <w:rsid w:val="00755775"/>
    <w:rsid w:val="0075777D"/>
    <w:rsid w:val="00760008"/>
    <w:rsid w:val="00762BEF"/>
    <w:rsid w:val="00765A52"/>
    <w:rsid w:val="00765B4C"/>
    <w:rsid w:val="00766F2F"/>
    <w:rsid w:val="00767D8A"/>
    <w:rsid w:val="00771C04"/>
    <w:rsid w:val="00773468"/>
    <w:rsid w:val="00773E1E"/>
    <w:rsid w:val="0077479C"/>
    <w:rsid w:val="00775418"/>
    <w:rsid w:val="00776F75"/>
    <w:rsid w:val="00777231"/>
    <w:rsid w:val="00777343"/>
    <w:rsid w:val="00777570"/>
    <w:rsid w:val="0077773E"/>
    <w:rsid w:val="00783D1B"/>
    <w:rsid w:val="00784000"/>
    <w:rsid w:val="00786009"/>
    <w:rsid w:val="007865B9"/>
    <w:rsid w:val="00787550"/>
    <w:rsid w:val="00787683"/>
    <w:rsid w:val="0078772B"/>
    <w:rsid w:val="00787B6E"/>
    <w:rsid w:val="007929F4"/>
    <w:rsid w:val="00792D93"/>
    <w:rsid w:val="00793379"/>
    <w:rsid w:val="00793618"/>
    <w:rsid w:val="00794C86"/>
    <w:rsid w:val="007979FE"/>
    <w:rsid w:val="007A09CA"/>
    <w:rsid w:val="007A5C2C"/>
    <w:rsid w:val="007B040C"/>
    <w:rsid w:val="007B126E"/>
    <w:rsid w:val="007B14BF"/>
    <w:rsid w:val="007B1BD2"/>
    <w:rsid w:val="007B74E3"/>
    <w:rsid w:val="007C0009"/>
    <w:rsid w:val="007C0048"/>
    <w:rsid w:val="007C262F"/>
    <w:rsid w:val="007C417A"/>
    <w:rsid w:val="007C4956"/>
    <w:rsid w:val="007C509E"/>
    <w:rsid w:val="007C53A7"/>
    <w:rsid w:val="007C6EC4"/>
    <w:rsid w:val="007D14A9"/>
    <w:rsid w:val="007D2862"/>
    <w:rsid w:val="007D319E"/>
    <w:rsid w:val="007D32E9"/>
    <w:rsid w:val="007D4AA2"/>
    <w:rsid w:val="007D5BB8"/>
    <w:rsid w:val="007D7018"/>
    <w:rsid w:val="007D78F4"/>
    <w:rsid w:val="007E3C64"/>
    <w:rsid w:val="007E4D81"/>
    <w:rsid w:val="007E51F3"/>
    <w:rsid w:val="007E7459"/>
    <w:rsid w:val="007F23E4"/>
    <w:rsid w:val="007F2ABD"/>
    <w:rsid w:val="007F4C7A"/>
    <w:rsid w:val="007F60C1"/>
    <w:rsid w:val="007F6914"/>
    <w:rsid w:val="007F747F"/>
    <w:rsid w:val="0080046A"/>
    <w:rsid w:val="0080197E"/>
    <w:rsid w:val="00802C8F"/>
    <w:rsid w:val="008036C3"/>
    <w:rsid w:val="00804EFD"/>
    <w:rsid w:val="00805DB4"/>
    <w:rsid w:val="008077BB"/>
    <w:rsid w:val="00807877"/>
    <w:rsid w:val="00810DA9"/>
    <w:rsid w:val="00811471"/>
    <w:rsid w:val="008119B4"/>
    <w:rsid w:val="008126D5"/>
    <w:rsid w:val="008137FD"/>
    <w:rsid w:val="00814027"/>
    <w:rsid w:val="008167AC"/>
    <w:rsid w:val="00816B40"/>
    <w:rsid w:val="00816D53"/>
    <w:rsid w:val="00821B9A"/>
    <w:rsid w:val="00822D0F"/>
    <w:rsid w:val="00825C33"/>
    <w:rsid w:val="00825F1F"/>
    <w:rsid w:val="008300B4"/>
    <w:rsid w:val="00830839"/>
    <w:rsid w:val="008324AB"/>
    <w:rsid w:val="0083252E"/>
    <w:rsid w:val="00834A37"/>
    <w:rsid w:val="008371D8"/>
    <w:rsid w:val="00841245"/>
    <w:rsid w:val="0084201E"/>
    <w:rsid w:val="00842070"/>
    <w:rsid w:val="00842BFB"/>
    <w:rsid w:val="00844EB5"/>
    <w:rsid w:val="00846BBA"/>
    <w:rsid w:val="008502F6"/>
    <w:rsid w:val="00852479"/>
    <w:rsid w:val="00854B63"/>
    <w:rsid w:val="0085524C"/>
    <w:rsid w:val="00855FEF"/>
    <w:rsid w:val="00856796"/>
    <w:rsid w:val="00860EED"/>
    <w:rsid w:val="00862F99"/>
    <w:rsid w:val="00867CE0"/>
    <w:rsid w:val="008703E6"/>
    <w:rsid w:val="00871999"/>
    <w:rsid w:val="00872FFA"/>
    <w:rsid w:val="008732BE"/>
    <w:rsid w:val="008758E6"/>
    <w:rsid w:val="008769EC"/>
    <w:rsid w:val="00876D7F"/>
    <w:rsid w:val="00876D90"/>
    <w:rsid w:val="00877097"/>
    <w:rsid w:val="00877309"/>
    <w:rsid w:val="00877A18"/>
    <w:rsid w:val="00880409"/>
    <w:rsid w:val="00880433"/>
    <w:rsid w:val="008813DB"/>
    <w:rsid w:val="00882C45"/>
    <w:rsid w:val="008912E3"/>
    <w:rsid w:val="00893D9A"/>
    <w:rsid w:val="00896277"/>
    <w:rsid w:val="008A1F22"/>
    <w:rsid w:val="008A29FE"/>
    <w:rsid w:val="008A3768"/>
    <w:rsid w:val="008B27D3"/>
    <w:rsid w:val="008B2A6B"/>
    <w:rsid w:val="008B36C2"/>
    <w:rsid w:val="008B467B"/>
    <w:rsid w:val="008C00AA"/>
    <w:rsid w:val="008C1C81"/>
    <w:rsid w:val="008C27A1"/>
    <w:rsid w:val="008C2E35"/>
    <w:rsid w:val="008C555F"/>
    <w:rsid w:val="008C5572"/>
    <w:rsid w:val="008C6635"/>
    <w:rsid w:val="008C6807"/>
    <w:rsid w:val="008D399F"/>
    <w:rsid w:val="008D5703"/>
    <w:rsid w:val="008D7F09"/>
    <w:rsid w:val="008E17CD"/>
    <w:rsid w:val="008E1BC9"/>
    <w:rsid w:val="008E3AA8"/>
    <w:rsid w:val="008F34EF"/>
    <w:rsid w:val="008F3820"/>
    <w:rsid w:val="008F5D1A"/>
    <w:rsid w:val="008F5F25"/>
    <w:rsid w:val="008F6CF0"/>
    <w:rsid w:val="00901D09"/>
    <w:rsid w:val="009038F6"/>
    <w:rsid w:val="00904969"/>
    <w:rsid w:val="00907C00"/>
    <w:rsid w:val="00910B7E"/>
    <w:rsid w:val="009112CF"/>
    <w:rsid w:val="00911CD3"/>
    <w:rsid w:val="00911EBD"/>
    <w:rsid w:val="00915B6D"/>
    <w:rsid w:val="00917281"/>
    <w:rsid w:val="00917F14"/>
    <w:rsid w:val="00921886"/>
    <w:rsid w:val="00923580"/>
    <w:rsid w:val="009240EB"/>
    <w:rsid w:val="009256E2"/>
    <w:rsid w:val="00925F82"/>
    <w:rsid w:val="00926838"/>
    <w:rsid w:val="00926D45"/>
    <w:rsid w:val="00927260"/>
    <w:rsid w:val="00927AD7"/>
    <w:rsid w:val="0093092C"/>
    <w:rsid w:val="00934EA0"/>
    <w:rsid w:val="009401D6"/>
    <w:rsid w:val="009407CC"/>
    <w:rsid w:val="00940BB4"/>
    <w:rsid w:val="00942757"/>
    <w:rsid w:val="00943190"/>
    <w:rsid w:val="00943523"/>
    <w:rsid w:val="009449C5"/>
    <w:rsid w:val="00946588"/>
    <w:rsid w:val="00946C81"/>
    <w:rsid w:val="00951372"/>
    <w:rsid w:val="00952BEF"/>
    <w:rsid w:val="00953DC7"/>
    <w:rsid w:val="00956D9E"/>
    <w:rsid w:val="00967E98"/>
    <w:rsid w:val="00970A83"/>
    <w:rsid w:val="00972EDE"/>
    <w:rsid w:val="009747CF"/>
    <w:rsid w:val="009823AC"/>
    <w:rsid w:val="009825D4"/>
    <w:rsid w:val="00982CF2"/>
    <w:rsid w:val="00983BAF"/>
    <w:rsid w:val="00985906"/>
    <w:rsid w:val="00985A4B"/>
    <w:rsid w:val="00991280"/>
    <w:rsid w:val="00991299"/>
    <w:rsid w:val="00991634"/>
    <w:rsid w:val="00991793"/>
    <w:rsid w:val="00991D33"/>
    <w:rsid w:val="00992599"/>
    <w:rsid w:val="009A09B1"/>
    <w:rsid w:val="009A22EF"/>
    <w:rsid w:val="009A34AC"/>
    <w:rsid w:val="009A451A"/>
    <w:rsid w:val="009A5081"/>
    <w:rsid w:val="009A6333"/>
    <w:rsid w:val="009B1822"/>
    <w:rsid w:val="009B3C0B"/>
    <w:rsid w:val="009B7114"/>
    <w:rsid w:val="009B787C"/>
    <w:rsid w:val="009C0B3F"/>
    <w:rsid w:val="009C15C2"/>
    <w:rsid w:val="009C17FB"/>
    <w:rsid w:val="009C302D"/>
    <w:rsid w:val="009C364F"/>
    <w:rsid w:val="009C7337"/>
    <w:rsid w:val="009D2F7F"/>
    <w:rsid w:val="009D3092"/>
    <w:rsid w:val="009D3815"/>
    <w:rsid w:val="009D4193"/>
    <w:rsid w:val="009D4753"/>
    <w:rsid w:val="009D6E55"/>
    <w:rsid w:val="009E002B"/>
    <w:rsid w:val="009E01FB"/>
    <w:rsid w:val="009E2FE1"/>
    <w:rsid w:val="009E5273"/>
    <w:rsid w:val="009E6A7D"/>
    <w:rsid w:val="009F0CCA"/>
    <w:rsid w:val="009F1712"/>
    <w:rsid w:val="009F51D3"/>
    <w:rsid w:val="009F6352"/>
    <w:rsid w:val="009F6747"/>
    <w:rsid w:val="00A01C0E"/>
    <w:rsid w:val="00A033D1"/>
    <w:rsid w:val="00A036A0"/>
    <w:rsid w:val="00A0427F"/>
    <w:rsid w:val="00A045FB"/>
    <w:rsid w:val="00A05513"/>
    <w:rsid w:val="00A05682"/>
    <w:rsid w:val="00A0569F"/>
    <w:rsid w:val="00A064BD"/>
    <w:rsid w:val="00A07510"/>
    <w:rsid w:val="00A10308"/>
    <w:rsid w:val="00A11299"/>
    <w:rsid w:val="00A13DA4"/>
    <w:rsid w:val="00A150C6"/>
    <w:rsid w:val="00A20A5B"/>
    <w:rsid w:val="00A20B15"/>
    <w:rsid w:val="00A21723"/>
    <w:rsid w:val="00A22AA8"/>
    <w:rsid w:val="00A23B1E"/>
    <w:rsid w:val="00A246AB"/>
    <w:rsid w:val="00A25570"/>
    <w:rsid w:val="00A30888"/>
    <w:rsid w:val="00A3128D"/>
    <w:rsid w:val="00A327B1"/>
    <w:rsid w:val="00A330C0"/>
    <w:rsid w:val="00A33640"/>
    <w:rsid w:val="00A3382F"/>
    <w:rsid w:val="00A34D27"/>
    <w:rsid w:val="00A35B88"/>
    <w:rsid w:val="00A36B02"/>
    <w:rsid w:val="00A3707F"/>
    <w:rsid w:val="00A37161"/>
    <w:rsid w:val="00A41149"/>
    <w:rsid w:val="00A41E55"/>
    <w:rsid w:val="00A4209E"/>
    <w:rsid w:val="00A4364D"/>
    <w:rsid w:val="00A45120"/>
    <w:rsid w:val="00A4553E"/>
    <w:rsid w:val="00A46BC0"/>
    <w:rsid w:val="00A46FB0"/>
    <w:rsid w:val="00A47F1F"/>
    <w:rsid w:val="00A54050"/>
    <w:rsid w:val="00A54A93"/>
    <w:rsid w:val="00A54E05"/>
    <w:rsid w:val="00A57354"/>
    <w:rsid w:val="00A601C1"/>
    <w:rsid w:val="00A62026"/>
    <w:rsid w:val="00A63610"/>
    <w:rsid w:val="00A6392A"/>
    <w:rsid w:val="00A65DF0"/>
    <w:rsid w:val="00A6695C"/>
    <w:rsid w:val="00A70D30"/>
    <w:rsid w:val="00A731F4"/>
    <w:rsid w:val="00A747AF"/>
    <w:rsid w:val="00A77219"/>
    <w:rsid w:val="00A82AC3"/>
    <w:rsid w:val="00A82C63"/>
    <w:rsid w:val="00A843C2"/>
    <w:rsid w:val="00A864A5"/>
    <w:rsid w:val="00A86920"/>
    <w:rsid w:val="00A870BB"/>
    <w:rsid w:val="00A9246F"/>
    <w:rsid w:val="00A92B23"/>
    <w:rsid w:val="00A95D07"/>
    <w:rsid w:val="00A96433"/>
    <w:rsid w:val="00A96A3A"/>
    <w:rsid w:val="00A96CC2"/>
    <w:rsid w:val="00A96F6B"/>
    <w:rsid w:val="00A97567"/>
    <w:rsid w:val="00A97B7A"/>
    <w:rsid w:val="00AA1270"/>
    <w:rsid w:val="00AA2FAB"/>
    <w:rsid w:val="00AA450D"/>
    <w:rsid w:val="00AA5DD7"/>
    <w:rsid w:val="00AA62CC"/>
    <w:rsid w:val="00AA7963"/>
    <w:rsid w:val="00AB0235"/>
    <w:rsid w:val="00AB137F"/>
    <w:rsid w:val="00AB287A"/>
    <w:rsid w:val="00AB37C1"/>
    <w:rsid w:val="00AB3C49"/>
    <w:rsid w:val="00AB68FF"/>
    <w:rsid w:val="00AC11BD"/>
    <w:rsid w:val="00AC26E8"/>
    <w:rsid w:val="00AC3391"/>
    <w:rsid w:val="00AC51AF"/>
    <w:rsid w:val="00AC6CA9"/>
    <w:rsid w:val="00AC7E68"/>
    <w:rsid w:val="00AD0473"/>
    <w:rsid w:val="00AD333B"/>
    <w:rsid w:val="00AD3A56"/>
    <w:rsid w:val="00AD3BA3"/>
    <w:rsid w:val="00AD42D7"/>
    <w:rsid w:val="00AE108D"/>
    <w:rsid w:val="00AE10D6"/>
    <w:rsid w:val="00AE2C68"/>
    <w:rsid w:val="00AE3E29"/>
    <w:rsid w:val="00AE45C5"/>
    <w:rsid w:val="00AE59D2"/>
    <w:rsid w:val="00AE5F56"/>
    <w:rsid w:val="00AE675F"/>
    <w:rsid w:val="00AE7CFA"/>
    <w:rsid w:val="00AF2735"/>
    <w:rsid w:val="00AF4BF0"/>
    <w:rsid w:val="00AF539A"/>
    <w:rsid w:val="00B00557"/>
    <w:rsid w:val="00B065D6"/>
    <w:rsid w:val="00B07E56"/>
    <w:rsid w:val="00B11796"/>
    <w:rsid w:val="00B137BB"/>
    <w:rsid w:val="00B20FB3"/>
    <w:rsid w:val="00B23C19"/>
    <w:rsid w:val="00B24B51"/>
    <w:rsid w:val="00B24C9E"/>
    <w:rsid w:val="00B252B0"/>
    <w:rsid w:val="00B25410"/>
    <w:rsid w:val="00B26F3E"/>
    <w:rsid w:val="00B32141"/>
    <w:rsid w:val="00B3284E"/>
    <w:rsid w:val="00B3611C"/>
    <w:rsid w:val="00B36E9B"/>
    <w:rsid w:val="00B40240"/>
    <w:rsid w:val="00B41BBA"/>
    <w:rsid w:val="00B45FC2"/>
    <w:rsid w:val="00B51C36"/>
    <w:rsid w:val="00B51E9F"/>
    <w:rsid w:val="00B55B18"/>
    <w:rsid w:val="00B60342"/>
    <w:rsid w:val="00B62586"/>
    <w:rsid w:val="00B62D9F"/>
    <w:rsid w:val="00B62DBA"/>
    <w:rsid w:val="00B634FD"/>
    <w:rsid w:val="00B6502C"/>
    <w:rsid w:val="00B6694C"/>
    <w:rsid w:val="00B66CA2"/>
    <w:rsid w:val="00B66EBD"/>
    <w:rsid w:val="00B66F6A"/>
    <w:rsid w:val="00B67C86"/>
    <w:rsid w:val="00B703DD"/>
    <w:rsid w:val="00B727F9"/>
    <w:rsid w:val="00B72801"/>
    <w:rsid w:val="00B74E6D"/>
    <w:rsid w:val="00B75A1F"/>
    <w:rsid w:val="00B772B4"/>
    <w:rsid w:val="00B7748D"/>
    <w:rsid w:val="00B77FC5"/>
    <w:rsid w:val="00B80D1C"/>
    <w:rsid w:val="00B80E06"/>
    <w:rsid w:val="00B82B8F"/>
    <w:rsid w:val="00B84313"/>
    <w:rsid w:val="00B84D53"/>
    <w:rsid w:val="00B8503A"/>
    <w:rsid w:val="00B85AE2"/>
    <w:rsid w:val="00B866DF"/>
    <w:rsid w:val="00B86AB4"/>
    <w:rsid w:val="00B90A72"/>
    <w:rsid w:val="00B92384"/>
    <w:rsid w:val="00B958EB"/>
    <w:rsid w:val="00BA0758"/>
    <w:rsid w:val="00BA1258"/>
    <w:rsid w:val="00BA4375"/>
    <w:rsid w:val="00BA5014"/>
    <w:rsid w:val="00BA793F"/>
    <w:rsid w:val="00BB1A37"/>
    <w:rsid w:val="00BB2184"/>
    <w:rsid w:val="00BB23FA"/>
    <w:rsid w:val="00BB311B"/>
    <w:rsid w:val="00BB3CA7"/>
    <w:rsid w:val="00BB4ACE"/>
    <w:rsid w:val="00BB64FC"/>
    <w:rsid w:val="00BB6692"/>
    <w:rsid w:val="00BB6D99"/>
    <w:rsid w:val="00BB6DF9"/>
    <w:rsid w:val="00BC0772"/>
    <w:rsid w:val="00BC6581"/>
    <w:rsid w:val="00BC7E17"/>
    <w:rsid w:val="00BD095D"/>
    <w:rsid w:val="00BD1569"/>
    <w:rsid w:val="00BD7034"/>
    <w:rsid w:val="00BE27B6"/>
    <w:rsid w:val="00BE426E"/>
    <w:rsid w:val="00BE453D"/>
    <w:rsid w:val="00BF0AEC"/>
    <w:rsid w:val="00BF16E4"/>
    <w:rsid w:val="00BF3EC7"/>
    <w:rsid w:val="00BF5150"/>
    <w:rsid w:val="00BF516D"/>
    <w:rsid w:val="00BF69F5"/>
    <w:rsid w:val="00C00151"/>
    <w:rsid w:val="00C03167"/>
    <w:rsid w:val="00C049A3"/>
    <w:rsid w:val="00C05879"/>
    <w:rsid w:val="00C067F5"/>
    <w:rsid w:val="00C1093A"/>
    <w:rsid w:val="00C11420"/>
    <w:rsid w:val="00C12056"/>
    <w:rsid w:val="00C12273"/>
    <w:rsid w:val="00C12F86"/>
    <w:rsid w:val="00C13A54"/>
    <w:rsid w:val="00C14A15"/>
    <w:rsid w:val="00C16414"/>
    <w:rsid w:val="00C16B57"/>
    <w:rsid w:val="00C1714D"/>
    <w:rsid w:val="00C17C2B"/>
    <w:rsid w:val="00C20566"/>
    <w:rsid w:val="00C20C6C"/>
    <w:rsid w:val="00C217A1"/>
    <w:rsid w:val="00C2544A"/>
    <w:rsid w:val="00C318EA"/>
    <w:rsid w:val="00C31A04"/>
    <w:rsid w:val="00C32724"/>
    <w:rsid w:val="00C33C64"/>
    <w:rsid w:val="00C344B0"/>
    <w:rsid w:val="00C372DE"/>
    <w:rsid w:val="00C375AE"/>
    <w:rsid w:val="00C40514"/>
    <w:rsid w:val="00C4074F"/>
    <w:rsid w:val="00C41DF0"/>
    <w:rsid w:val="00C4328C"/>
    <w:rsid w:val="00C43508"/>
    <w:rsid w:val="00C43ACC"/>
    <w:rsid w:val="00C45AD6"/>
    <w:rsid w:val="00C45DB1"/>
    <w:rsid w:val="00C4618A"/>
    <w:rsid w:val="00C46D0F"/>
    <w:rsid w:val="00C50228"/>
    <w:rsid w:val="00C502DC"/>
    <w:rsid w:val="00C51326"/>
    <w:rsid w:val="00C544D3"/>
    <w:rsid w:val="00C55FD7"/>
    <w:rsid w:val="00C61D6A"/>
    <w:rsid w:val="00C61EE1"/>
    <w:rsid w:val="00C66A6A"/>
    <w:rsid w:val="00C70455"/>
    <w:rsid w:val="00C70C67"/>
    <w:rsid w:val="00C71679"/>
    <w:rsid w:val="00C752C9"/>
    <w:rsid w:val="00C80FA6"/>
    <w:rsid w:val="00C8371F"/>
    <w:rsid w:val="00C83D84"/>
    <w:rsid w:val="00C84708"/>
    <w:rsid w:val="00C8609A"/>
    <w:rsid w:val="00C860B9"/>
    <w:rsid w:val="00C86E11"/>
    <w:rsid w:val="00C90147"/>
    <w:rsid w:val="00C90C8F"/>
    <w:rsid w:val="00C90FD1"/>
    <w:rsid w:val="00C918FA"/>
    <w:rsid w:val="00C93927"/>
    <w:rsid w:val="00C94F5C"/>
    <w:rsid w:val="00C95606"/>
    <w:rsid w:val="00C97F1A"/>
    <w:rsid w:val="00C97F9F"/>
    <w:rsid w:val="00CA0049"/>
    <w:rsid w:val="00CA4308"/>
    <w:rsid w:val="00CA6251"/>
    <w:rsid w:val="00CA63A4"/>
    <w:rsid w:val="00CA722F"/>
    <w:rsid w:val="00CB0BE7"/>
    <w:rsid w:val="00CB1232"/>
    <w:rsid w:val="00CB2F80"/>
    <w:rsid w:val="00CB3E43"/>
    <w:rsid w:val="00CB52E5"/>
    <w:rsid w:val="00CB5C9B"/>
    <w:rsid w:val="00CD00FB"/>
    <w:rsid w:val="00CD1085"/>
    <w:rsid w:val="00CD2470"/>
    <w:rsid w:val="00CD42C2"/>
    <w:rsid w:val="00CD5B13"/>
    <w:rsid w:val="00CD6464"/>
    <w:rsid w:val="00CD7128"/>
    <w:rsid w:val="00CD7B49"/>
    <w:rsid w:val="00CE08CF"/>
    <w:rsid w:val="00CE0A65"/>
    <w:rsid w:val="00CE32DE"/>
    <w:rsid w:val="00CE382F"/>
    <w:rsid w:val="00CE4CB3"/>
    <w:rsid w:val="00CE5186"/>
    <w:rsid w:val="00CE59D4"/>
    <w:rsid w:val="00CE6AFE"/>
    <w:rsid w:val="00CE6EF3"/>
    <w:rsid w:val="00CE7487"/>
    <w:rsid w:val="00CE7746"/>
    <w:rsid w:val="00CF0C29"/>
    <w:rsid w:val="00CF2317"/>
    <w:rsid w:val="00CF2FD9"/>
    <w:rsid w:val="00CF3B2C"/>
    <w:rsid w:val="00CF510A"/>
    <w:rsid w:val="00CF751B"/>
    <w:rsid w:val="00D03BE3"/>
    <w:rsid w:val="00D04B2C"/>
    <w:rsid w:val="00D06BFF"/>
    <w:rsid w:val="00D11606"/>
    <w:rsid w:val="00D1244D"/>
    <w:rsid w:val="00D1251F"/>
    <w:rsid w:val="00D1438A"/>
    <w:rsid w:val="00D14C45"/>
    <w:rsid w:val="00D1549A"/>
    <w:rsid w:val="00D15F3B"/>
    <w:rsid w:val="00D21D3A"/>
    <w:rsid w:val="00D228A7"/>
    <w:rsid w:val="00D26696"/>
    <w:rsid w:val="00D26B7A"/>
    <w:rsid w:val="00D27B3A"/>
    <w:rsid w:val="00D32940"/>
    <w:rsid w:val="00D3365E"/>
    <w:rsid w:val="00D3376C"/>
    <w:rsid w:val="00D33C8B"/>
    <w:rsid w:val="00D44E3B"/>
    <w:rsid w:val="00D46748"/>
    <w:rsid w:val="00D522B2"/>
    <w:rsid w:val="00D53297"/>
    <w:rsid w:val="00D550FD"/>
    <w:rsid w:val="00D603EC"/>
    <w:rsid w:val="00D626CA"/>
    <w:rsid w:val="00D67F5E"/>
    <w:rsid w:val="00D71757"/>
    <w:rsid w:val="00D72C63"/>
    <w:rsid w:val="00D72CC8"/>
    <w:rsid w:val="00D72E90"/>
    <w:rsid w:val="00D75A8D"/>
    <w:rsid w:val="00D75B66"/>
    <w:rsid w:val="00D75B94"/>
    <w:rsid w:val="00D7603A"/>
    <w:rsid w:val="00D7603B"/>
    <w:rsid w:val="00D76ECB"/>
    <w:rsid w:val="00D8046A"/>
    <w:rsid w:val="00D81333"/>
    <w:rsid w:val="00D83BCA"/>
    <w:rsid w:val="00D844C7"/>
    <w:rsid w:val="00D8755D"/>
    <w:rsid w:val="00D913ED"/>
    <w:rsid w:val="00D936AF"/>
    <w:rsid w:val="00D94B8B"/>
    <w:rsid w:val="00D96F1B"/>
    <w:rsid w:val="00DA37B6"/>
    <w:rsid w:val="00DA433F"/>
    <w:rsid w:val="00DA4374"/>
    <w:rsid w:val="00DA5644"/>
    <w:rsid w:val="00DA7191"/>
    <w:rsid w:val="00DB585F"/>
    <w:rsid w:val="00DB5ABF"/>
    <w:rsid w:val="00DB702F"/>
    <w:rsid w:val="00DC079A"/>
    <w:rsid w:val="00DC169F"/>
    <w:rsid w:val="00DC27C6"/>
    <w:rsid w:val="00DC2F18"/>
    <w:rsid w:val="00DC37B8"/>
    <w:rsid w:val="00DC6136"/>
    <w:rsid w:val="00DC633B"/>
    <w:rsid w:val="00DC7EFA"/>
    <w:rsid w:val="00DD4786"/>
    <w:rsid w:val="00DD566F"/>
    <w:rsid w:val="00DE0453"/>
    <w:rsid w:val="00DE165B"/>
    <w:rsid w:val="00DE17A0"/>
    <w:rsid w:val="00DE1A20"/>
    <w:rsid w:val="00DE27E9"/>
    <w:rsid w:val="00DE344D"/>
    <w:rsid w:val="00DE4103"/>
    <w:rsid w:val="00DE63B6"/>
    <w:rsid w:val="00DE6B4B"/>
    <w:rsid w:val="00DF3744"/>
    <w:rsid w:val="00DF5123"/>
    <w:rsid w:val="00DF58B7"/>
    <w:rsid w:val="00DF6D22"/>
    <w:rsid w:val="00DF6FED"/>
    <w:rsid w:val="00DF768D"/>
    <w:rsid w:val="00E00446"/>
    <w:rsid w:val="00E01712"/>
    <w:rsid w:val="00E01A5D"/>
    <w:rsid w:val="00E02619"/>
    <w:rsid w:val="00E0318E"/>
    <w:rsid w:val="00E04DAC"/>
    <w:rsid w:val="00E122EA"/>
    <w:rsid w:val="00E14631"/>
    <w:rsid w:val="00E17120"/>
    <w:rsid w:val="00E208DC"/>
    <w:rsid w:val="00E239CD"/>
    <w:rsid w:val="00E241D7"/>
    <w:rsid w:val="00E249FA"/>
    <w:rsid w:val="00E25D1B"/>
    <w:rsid w:val="00E2673C"/>
    <w:rsid w:val="00E303FB"/>
    <w:rsid w:val="00E31CFC"/>
    <w:rsid w:val="00E32156"/>
    <w:rsid w:val="00E32D0C"/>
    <w:rsid w:val="00E34DF9"/>
    <w:rsid w:val="00E372FF"/>
    <w:rsid w:val="00E40247"/>
    <w:rsid w:val="00E41337"/>
    <w:rsid w:val="00E41A9B"/>
    <w:rsid w:val="00E452A2"/>
    <w:rsid w:val="00E453E5"/>
    <w:rsid w:val="00E46FEA"/>
    <w:rsid w:val="00E470AE"/>
    <w:rsid w:val="00E51412"/>
    <w:rsid w:val="00E53239"/>
    <w:rsid w:val="00E61084"/>
    <w:rsid w:val="00E6269F"/>
    <w:rsid w:val="00E6794B"/>
    <w:rsid w:val="00E71A72"/>
    <w:rsid w:val="00E731A4"/>
    <w:rsid w:val="00E74E79"/>
    <w:rsid w:val="00E75EE5"/>
    <w:rsid w:val="00E8139C"/>
    <w:rsid w:val="00E8140E"/>
    <w:rsid w:val="00E838D7"/>
    <w:rsid w:val="00E83A9E"/>
    <w:rsid w:val="00E8464B"/>
    <w:rsid w:val="00E84804"/>
    <w:rsid w:val="00E84AAC"/>
    <w:rsid w:val="00E8627D"/>
    <w:rsid w:val="00E86AF6"/>
    <w:rsid w:val="00E875EB"/>
    <w:rsid w:val="00E907D5"/>
    <w:rsid w:val="00E92F8E"/>
    <w:rsid w:val="00E93B11"/>
    <w:rsid w:val="00E942C3"/>
    <w:rsid w:val="00EA3292"/>
    <w:rsid w:val="00EA33FB"/>
    <w:rsid w:val="00EA5967"/>
    <w:rsid w:val="00EA61DD"/>
    <w:rsid w:val="00EA722F"/>
    <w:rsid w:val="00EB1416"/>
    <w:rsid w:val="00EB1451"/>
    <w:rsid w:val="00EB18C7"/>
    <w:rsid w:val="00EB19DC"/>
    <w:rsid w:val="00EB5F96"/>
    <w:rsid w:val="00EB7B09"/>
    <w:rsid w:val="00EC2CC7"/>
    <w:rsid w:val="00EC3651"/>
    <w:rsid w:val="00EC4BC0"/>
    <w:rsid w:val="00EC55E3"/>
    <w:rsid w:val="00EC63FC"/>
    <w:rsid w:val="00EC785B"/>
    <w:rsid w:val="00EC7B6E"/>
    <w:rsid w:val="00EC7E68"/>
    <w:rsid w:val="00ED2436"/>
    <w:rsid w:val="00ED272D"/>
    <w:rsid w:val="00ED2F8B"/>
    <w:rsid w:val="00ED354E"/>
    <w:rsid w:val="00ED36AD"/>
    <w:rsid w:val="00ED47B2"/>
    <w:rsid w:val="00ED542C"/>
    <w:rsid w:val="00ED6DB5"/>
    <w:rsid w:val="00EE125F"/>
    <w:rsid w:val="00EE27A1"/>
    <w:rsid w:val="00EE27AB"/>
    <w:rsid w:val="00EE47CB"/>
    <w:rsid w:val="00EE69EE"/>
    <w:rsid w:val="00EE7F0C"/>
    <w:rsid w:val="00EF37B9"/>
    <w:rsid w:val="00EF4734"/>
    <w:rsid w:val="00EF7616"/>
    <w:rsid w:val="00EF7F85"/>
    <w:rsid w:val="00F0097D"/>
    <w:rsid w:val="00F0365A"/>
    <w:rsid w:val="00F04E99"/>
    <w:rsid w:val="00F07131"/>
    <w:rsid w:val="00F07FB8"/>
    <w:rsid w:val="00F1033D"/>
    <w:rsid w:val="00F11A6E"/>
    <w:rsid w:val="00F11C54"/>
    <w:rsid w:val="00F11FCE"/>
    <w:rsid w:val="00F14205"/>
    <w:rsid w:val="00F14A39"/>
    <w:rsid w:val="00F14F91"/>
    <w:rsid w:val="00F15236"/>
    <w:rsid w:val="00F152A0"/>
    <w:rsid w:val="00F1797C"/>
    <w:rsid w:val="00F21188"/>
    <w:rsid w:val="00F21565"/>
    <w:rsid w:val="00F2198D"/>
    <w:rsid w:val="00F21F04"/>
    <w:rsid w:val="00F22024"/>
    <w:rsid w:val="00F224F3"/>
    <w:rsid w:val="00F241D6"/>
    <w:rsid w:val="00F25769"/>
    <w:rsid w:val="00F2576C"/>
    <w:rsid w:val="00F265FC"/>
    <w:rsid w:val="00F26D97"/>
    <w:rsid w:val="00F30F54"/>
    <w:rsid w:val="00F31F2E"/>
    <w:rsid w:val="00F325B8"/>
    <w:rsid w:val="00F326F2"/>
    <w:rsid w:val="00F3658C"/>
    <w:rsid w:val="00F36989"/>
    <w:rsid w:val="00F36999"/>
    <w:rsid w:val="00F415B6"/>
    <w:rsid w:val="00F41C95"/>
    <w:rsid w:val="00F41E9B"/>
    <w:rsid w:val="00F4506B"/>
    <w:rsid w:val="00F456B4"/>
    <w:rsid w:val="00F457F1"/>
    <w:rsid w:val="00F45C53"/>
    <w:rsid w:val="00F45E97"/>
    <w:rsid w:val="00F46F9D"/>
    <w:rsid w:val="00F47A83"/>
    <w:rsid w:val="00F50045"/>
    <w:rsid w:val="00F517BF"/>
    <w:rsid w:val="00F52396"/>
    <w:rsid w:val="00F52ADE"/>
    <w:rsid w:val="00F531BB"/>
    <w:rsid w:val="00F55353"/>
    <w:rsid w:val="00F55959"/>
    <w:rsid w:val="00F55A62"/>
    <w:rsid w:val="00F60D7C"/>
    <w:rsid w:val="00F61737"/>
    <w:rsid w:val="00F66887"/>
    <w:rsid w:val="00F6741D"/>
    <w:rsid w:val="00F70A33"/>
    <w:rsid w:val="00F756BA"/>
    <w:rsid w:val="00F77471"/>
    <w:rsid w:val="00F81C96"/>
    <w:rsid w:val="00F8433A"/>
    <w:rsid w:val="00F90D85"/>
    <w:rsid w:val="00F9181E"/>
    <w:rsid w:val="00F9193D"/>
    <w:rsid w:val="00F91B56"/>
    <w:rsid w:val="00FA11F4"/>
    <w:rsid w:val="00FA18C2"/>
    <w:rsid w:val="00FA1D72"/>
    <w:rsid w:val="00FA20C1"/>
    <w:rsid w:val="00FA242E"/>
    <w:rsid w:val="00FA4ED0"/>
    <w:rsid w:val="00FA54A4"/>
    <w:rsid w:val="00FA58CD"/>
    <w:rsid w:val="00FA668A"/>
    <w:rsid w:val="00FA6962"/>
    <w:rsid w:val="00FB0BD7"/>
    <w:rsid w:val="00FB0C08"/>
    <w:rsid w:val="00FB4F76"/>
    <w:rsid w:val="00FB50AD"/>
    <w:rsid w:val="00FB555D"/>
    <w:rsid w:val="00FB5DC7"/>
    <w:rsid w:val="00FB6C4F"/>
    <w:rsid w:val="00FC27B5"/>
    <w:rsid w:val="00FC30A7"/>
    <w:rsid w:val="00FC34BC"/>
    <w:rsid w:val="00FC5F82"/>
    <w:rsid w:val="00FC7CF2"/>
    <w:rsid w:val="00FD2B67"/>
    <w:rsid w:val="00FD336F"/>
    <w:rsid w:val="00FD74EE"/>
    <w:rsid w:val="00FE3DB6"/>
    <w:rsid w:val="00FE6BB2"/>
    <w:rsid w:val="00FF06C0"/>
    <w:rsid w:val="00FF4E63"/>
    <w:rsid w:val="00FF7BF1"/>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ate"/>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625"/>
    <w:pPr>
      <w:jc w:val="both"/>
    </w:pPr>
    <w:rPr>
      <w:rFonts w:ascii="Arial" w:eastAsia="Arial Unicode MS" w:hAnsi="Arial"/>
      <w:snapToGrid w:val="0"/>
      <w:sz w:val="24"/>
      <w:szCs w:val="24"/>
    </w:rPr>
  </w:style>
  <w:style w:type="paragraph" w:styleId="Heading1">
    <w:name w:val="heading 1"/>
    <w:basedOn w:val="Normal"/>
    <w:next w:val="Normal"/>
    <w:qFormat/>
    <w:rsid w:val="00C41DF0"/>
    <w:pPr>
      <w:keepNext/>
      <w:spacing w:before="240" w:after="60"/>
      <w:outlineLvl w:val="0"/>
    </w:pPr>
    <w:rPr>
      <w:rFonts w:cs="Arial"/>
      <w:b/>
      <w:bCs/>
      <w:kern w:val="32"/>
      <w:sz w:val="32"/>
      <w:szCs w:val="32"/>
    </w:rPr>
  </w:style>
  <w:style w:type="paragraph" w:styleId="Heading2">
    <w:name w:val="heading 2"/>
    <w:basedOn w:val="Normal"/>
    <w:next w:val="Normal"/>
    <w:qFormat/>
    <w:rsid w:val="001D185D"/>
    <w:pPr>
      <w:keepNext/>
      <w:spacing w:before="240" w:after="60"/>
      <w:outlineLvl w:val="1"/>
    </w:pPr>
    <w:rPr>
      <w:rFonts w:cs="Arial"/>
      <w:b/>
      <w:bCs/>
      <w:i/>
      <w:iCs/>
      <w:sz w:val="28"/>
      <w:szCs w:val="28"/>
    </w:rPr>
  </w:style>
  <w:style w:type="paragraph" w:styleId="Heading3">
    <w:name w:val="heading 3"/>
    <w:basedOn w:val="Normal"/>
    <w:next w:val="Normal"/>
    <w:qFormat/>
    <w:rsid w:val="00022625"/>
    <w:pPr>
      <w:keepNext/>
      <w:spacing w:before="240" w:after="60"/>
      <w:outlineLvl w:val="2"/>
    </w:pPr>
    <w:rPr>
      <w:rFonts w:cs="Arial"/>
      <w:b/>
      <w:bCs/>
      <w:sz w:val="26"/>
      <w:szCs w:val="26"/>
    </w:rPr>
  </w:style>
  <w:style w:type="paragraph" w:styleId="Heading4">
    <w:name w:val="heading 4"/>
    <w:basedOn w:val="Normal"/>
    <w:next w:val="Normal"/>
    <w:qFormat/>
    <w:rsid w:val="001D185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FD2B67"/>
    <w:pPr>
      <w:spacing w:before="240" w:after="60"/>
      <w:outlineLvl w:val="4"/>
    </w:pPr>
    <w:rPr>
      <w:b/>
      <w:bCs/>
      <w:i/>
      <w:iCs/>
      <w:sz w:val="26"/>
      <w:szCs w:val="26"/>
    </w:rPr>
  </w:style>
  <w:style w:type="paragraph" w:styleId="Heading6">
    <w:name w:val="heading 6"/>
    <w:basedOn w:val="Normal"/>
    <w:next w:val="Normal"/>
    <w:qFormat/>
    <w:rsid w:val="00FD2B67"/>
    <w:pPr>
      <w:spacing w:before="240" w:after="60"/>
      <w:outlineLvl w:val="5"/>
    </w:pPr>
    <w:rPr>
      <w:rFonts w:ascii="Times New Roman" w:hAnsi="Times New Roman"/>
      <w:b/>
      <w:bCs/>
      <w:sz w:val="22"/>
      <w:szCs w:val="22"/>
    </w:rPr>
  </w:style>
  <w:style w:type="paragraph" w:styleId="Heading8">
    <w:name w:val="heading 8"/>
    <w:basedOn w:val="Normal"/>
    <w:next w:val="Normal"/>
    <w:qFormat/>
    <w:rsid w:val="001D185D"/>
    <w:pPr>
      <w:spacing w:before="240" w:after="60"/>
      <w:outlineLvl w:val="7"/>
    </w:pPr>
    <w:rPr>
      <w:rFonts w:ascii="Times New Roman" w:hAnsi="Times New Roman"/>
      <w:i/>
      <w:iCs/>
    </w:rPr>
  </w:style>
  <w:style w:type="paragraph" w:styleId="Heading9">
    <w:name w:val="heading 9"/>
    <w:basedOn w:val="Normal"/>
    <w:next w:val="Normal"/>
    <w:qFormat/>
    <w:rsid w:val="001D185D"/>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DC079A"/>
    <w:pPr>
      <w:tabs>
        <w:tab w:val="center" w:pos="4320"/>
        <w:tab w:val="right" w:pos="8640"/>
      </w:tabs>
    </w:pPr>
    <w:rPr>
      <w:sz w:val="20"/>
    </w:rPr>
  </w:style>
  <w:style w:type="paragraph" w:styleId="Footer">
    <w:name w:val="footer"/>
    <w:basedOn w:val="Normal"/>
    <w:link w:val="FooterChar"/>
    <w:uiPriority w:val="99"/>
    <w:rsid w:val="00DC079A"/>
    <w:pPr>
      <w:tabs>
        <w:tab w:val="center" w:pos="4320"/>
        <w:tab w:val="right" w:pos="8640"/>
      </w:tabs>
    </w:pPr>
    <w:rPr>
      <w:sz w:val="20"/>
    </w:rPr>
  </w:style>
  <w:style w:type="paragraph" w:customStyle="1" w:styleId="TempLetterbody">
    <w:name w:val="Temp_Letter body"/>
    <w:basedOn w:val="Normal"/>
    <w:rsid w:val="001A7F78"/>
    <w:pPr>
      <w:spacing w:before="100" w:beforeAutospacing="1" w:after="100" w:afterAutospacing="1"/>
    </w:pPr>
    <w:rPr>
      <w:rFonts w:eastAsia="Times New Roman"/>
      <w:lang w:bidi="he-IL"/>
    </w:rPr>
  </w:style>
  <w:style w:type="character" w:styleId="PageNumber">
    <w:name w:val="page number"/>
    <w:basedOn w:val="DefaultParagraphFont"/>
  </w:style>
  <w:style w:type="paragraph" w:customStyle="1" w:styleId="Style0">
    <w:name w:val="Style0"/>
    <w:rsid w:val="001E5F62"/>
    <w:pPr>
      <w:autoSpaceDE w:val="0"/>
      <w:autoSpaceDN w:val="0"/>
      <w:adjustRightInd w:val="0"/>
    </w:pPr>
    <w:rPr>
      <w:rFonts w:ascii="Arial" w:eastAsia="Times New Roman" w:hAnsi="Arial"/>
      <w:sz w:val="24"/>
      <w:szCs w:val="24"/>
    </w:rPr>
  </w:style>
  <w:style w:type="character" w:styleId="Hyperlink">
    <w:name w:val="Hyperlink"/>
    <w:rsid w:val="00C1714D"/>
    <w:rPr>
      <w:color w:val="0000FF"/>
      <w:u w:val="single"/>
    </w:rPr>
  </w:style>
  <w:style w:type="paragraph" w:customStyle="1" w:styleId="Level1">
    <w:name w:val="Level 1"/>
    <w:basedOn w:val="Normal"/>
    <w:rsid w:val="00C97F1A"/>
    <w:pPr>
      <w:widowControl w:val="0"/>
      <w:tabs>
        <w:tab w:val="num" w:pos="720"/>
      </w:tabs>
      <w:autoSpaceDE w:val="0"/>
      <w:autoSpaceDN w:val="0"/>
      <w:adjustRightInd w:val="0"/>
      <w:ind w:left="720" w:hanging="720"/>
      <w:jc w:val="left"/>
      <w:outlineLvl w:val="0"/>
    </w:pPr>
    <w:rPr>
      <w:rFonts w:ascii="Times New Roman" w:eastAsia="Times New Roman" w:hAnsi="Times New Roman"/>
      <w:snapToGrid/>
    </w:rPr>
  </w:style>
  <w:style w:type="paragraph" w:customStyle="1" w:styleId="Quick1">
    <w:name w:val="Quick 1."/>
    <w:basedOn w:val="Normal"/>
    <w:rsid w:val="001D185D"/>
    <w:pPr>
      <w:ind w:left="720" w:hanging="720"/>
      <w:jc w:val="left"/>
    </w:pPr>
    <w:rPr>
      <w:rFonts w:eastAsia="Times New Roman" w:cs="Arial"/>
      <w:snapToGrid/>
      <w:szCs w:val="20"/>
    </w:rPr>
  </w:style>
  <w:style w:type="paragraph" w:styleId="BodyText2">
    <w:name w:val="Body Text 2"/>
    <w:basedOn w:val="Normal"/>
    <w:rsid w:val="001D18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Pr>
      <w:rFonts w:eastAsia="Times New Roman" w:cs="Arial"/>
      <w:snapToGrid/>
      <w:szCs w:val="20"/>
    </w:rPr>
  </w:style>
  <w:style w:type="paragraph" w:customStyle="1" w:styleId="xl24">
    <w:name w:val="xl24"/>
    <w:basedOn w:val="Normal"/>
    <w:rsid w:val="001D185D"/>
    <w:pPr>
      <w:spacing w:before="100" w:beforeAutospacing="1" w:after="100" w:afterAutospacing="1"/>
      <w:jc w:val="left"/>
    </w:pPr>
    <w:rPr>
      <w:rFonts w:eastAsia="Times New Roman" w:cs="Arial"/>
      <w:b/>
      <w:bCs/>
      <w:snapToGrid/>
    </w:rPr>
  </w:style>
  <w:style w:type="paragraph" w:styleId="BodyTextIndent2">
    <w:name w:val="Body Text Indent 2"/>
    <w:basedOn w:val="Normal"/>
    <w:rsid w:val="001D185D"/>
    <w:pPr>
      <w:spacing w:after="120" w:line="480" w:lineRule="auto"/>
      <w:ind w:left="360"/>
    </w:pPr>
  </w:style>
  <w:style w:type="paragraph" w:styleId="BodyText">
    <w:name w:val="Body Text"/>
    <w:basedOn w:val="Normal"/>
    <w:rsid w:val="00FD2B67"/>
    <w:pPr>
      <w:spacing w:after="120"/>
    </w:pPr>
  </w:style>
  <w:style w:type="paragraph" w:styleId="BodyText3">
    <w:name w:val="Body Text 3"/>
    <w:basedOn w:val="Normal"/>
    <w:rsid w:val="00FD2B67"/>
    <w:pPr>
      <w:spacing w:after="120"/>
    </w:pPr>
    <w:rPr>
      <w:sz w:val="16"/>
      <w:szCs w:val="16"/>
    </w:rPr>
  </w:style>
  <w:style w:type="paragraph" w:styleId="BodyTextIndent3">
    <w:name w:val="Body Text Indent 3"/>
    <w:basedOn w:val="Normal"/>
    <w:rsid w:val="00FD2B67"/>
    <w:pPr>
      <w:spacing w:after="120"/>
      <w:ind w:left="360"/>
    </w:pPr>
    <w:rPr>
      <w:sz w:val="16"/>
      <w:szCs w:val="16"/>
    </w:rPr>
  </w:style>
  <w:style w:type="paragraph" w:customStyle="1" w:styleId="a">
    <w:name w:val="_"/>
    <w:basedOn w:val="Normal"/>
    <w:rsid w:val="00FD2B67"/>
    <w:pPr>
      <w:widowControl w:val="0"/>
      <w:autoSpaceDE w:val="0"/>
      <w:autoSpaceDN w:val="0"/>
      <w:adjustRightInd w:val="0"/>
      <w:ind w:left="216" w:hanging="216"/>
      <w:jc w:val="left"/>
    </w:pPr>
    <w:rPr>
      <w:rFonts w:ascii="Times New Roman" w:eastAsia="Times New Roman" w:hAnsi="Times New Roman"/>
      <w:snapToGrid/>
    </w:rPr>
  </w:style>
  <w:style w:type="paragraph" w:styleId="BodyTextIndent">
    <w:name w:val="Body Text Indent"/>
    <w:basedOn w:val="Normal"/>
    <w:rsid w:val="00FD2B67"/>
    <w:pPr>
      <w:spacing w:after="120"/>
      <w:ind w:left="360"/>
    </w:pPr>
  </w:style>
  <w:style w:type="paragraph" w:customStyle="1" w:styleId="GroupWiseView">
    <w:name w:val="GroupWiseView"/>
    <w:rsid w:val="00FD2B67"/>
    <w:pPr>
      <w:widowControl w:val="0"/>
      <w:autoSpaceDE w:val="0"/>
      <w:autoSpaceDN w:val="0"/>
      <w:adjustRightInd w:val="0"/>
    </w:pPr>
    <w:rPr>
      <w:rFonts w:ascii="Tahoma" w:eastAsia="Times New Roman" w:hAnsi="Tahoma" w:cs="Tahoma"/>
      <w:sz w:val="16"/>
      <w:szCs w:val="16"/>
      <w:lang w:bidi="he-IL"/>
    </w:rPr>
  </w:style>
  <w:style w:type="character" w:styleId="Strong">
    <w:name w:val="Strong"/>
    <w:qFormat/>
    <w:rsid w:val="00FD2B67"/>
    <w:rPr>
      <w:b/>
      <w:bCs/>
    </w:rPr>
  </w:style>
  <w:style w:type="paragraph" w:styleId="NormalWeb">
    <w:name w:val="Normal (Web)"/>
    <w:basedOn w:val="Normal"/>
    <w:rsid w:val="00FD2B67"/>
    <w:pPr>
      <w:spacing w:before="100" w:beforeAutospacing="1" w:after="100" w:afterAutospacing="1"/>
      <w:jc w:val="left"/>
    </w:pPr>
    <w:rPr>
      <w:rFonts w:ascii="Times New Roman" w:eastAsia="Times New Roman" w:hAnsi="Times New Roman"/>
      <w:snapToGrid/>
      <w:color w:val="000000"/>
      <w:lang w:bidi="he-IL"/>
    </w:rPr>
  </w:style>
  <w:style w:type="paragraph" w:customStyle="1" w:styleId="StyleTOC1">
    <w:name w:val="Style TOC 1"/>
    <w:basedOn w:val="TOC1"/>
    <w:autoRedefine/>
    <w:rsid w:val="00FD2B67"/>
    <w:pPr>
      <w:keepNext/>
      <w:spacing w:before="120"/>
      <w:jc w:val="center"/>
    </w:pPr>
    <w:rPr>
      <w:rFonts w:eastAsia="Times New Roman" w:cs="Arial"/>
      <w:b/>
      <w:sz w:val="22"/>
      <w:szCs w:val="22"/>
    </w:rPr>
  </w:style>
  <w:style w:type="paragraph" w:styleId="TOC1">
    <w:name w:val="toc 1"/>
    <w:basedOn w:val="Normal"/>
    <w:next w:val="Normal"/>
    <w:autoRedefine/>
    <w:semiHidden/>
    <w:rsid w:val="00FD2B67"/>
  </w:style>
  <w:style w:type="paragraph" w:customStyle="1" w:styleId="StyleHeading2Before0ptAfter6pt">
    <w:name w:val="Style Heading 2 + Before:  0 pt After:  6 pt"/>
    <w:basedOn w:val="Heading2"/>
    <w:rsid w:val="00FD2B67"/>
    <w:pPr>
      <w:tabs>
        <w:tab w:val="left" w:pos="-2340"/>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before="0" w:after="120"/>
    </w:pPr>
    <w:rPr>
      <w:rFonts w:eastAsia="Times New Roman" w:cs="Times New Roman"/>
      <w:i w:val="0"/>
      <w:iCs w:val="0"/>
      <w:snapToGrid/>
      <w:color w:val="000000"/>
      <w:szCs w:val="20"/>
    </w:rPr>
  </w:style>
  <w:style w:type="paragraph" w:customStyle="1" w:styleId="StyleHeading116ptAfter0ptLinespacingsingle">
    <w:name w:val="Style Heading 1 + 16 pt After:  0 pt Line spacing:  single"/>
    <w:basedOn w:val="Heading1"/>
    <w:rsid w:val="00FD2B67"/>
    <w:pPr>
      <w:keepLines/>
      <w:spacing w:before="0" w:after="120"/>
      <w:jc w:val="center"/>
    </w:pPr>
    <w:rPr>
      <w:rFonts w:eastAsia="Times New Roman" w:cs="Times New Roman"/>
      <w:snapToGrid/>
      <w:kern w:val="0"/>
      <w:szCs w:val="20"/>
      <w:u w:val="single"/>
    </w:rPr>
  </w:style>
  <w:style w:type="paragraph" w:customStyle="1" w:styleId="StyleStyleArialJustifiedFirstline05After6ptFirst">
    <w:name w:val="Style Style Arial Justified First line:  0.5&quot; After:  6 pt + First ..."/>
    <w:basedOn w:val="Normal"/>
    <w:rsid w:val="00FD2B67"/>
    <w:pPr>
      <w:spacing w:after="120"/>
      <w:ind w:firstLine="720"/>
    </w:pPr>
    <w:rPr>
      <w:rFonts w:eastAsia="Times New Roman"/>
      <w:sz w:val="22"/>
      <w:szCs w:val="20"/>
    </w:rPr>
  </w:style>
  <w:style w:type="table" w:styleId="TableGrid">
    <w:name w:val="Table Grid"/>
    <w:basedOn w:val="TableNormal"/>
    <w:rsid w:val="00FD2B67"/>
    <w:pPr>
      <w:spacing w:after="120"/>
      <w:ind w:firstLine="7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rsid w:val="00FD2B67"/>
    <w:pPr>
      <w:ind w:left="720" w:hanging="360"/>
    </w:pPr>
  </w:style>
  <w:style w:type="paragraph" w:styleId="Date">
    <w:name w:val="Date"/>
    <w:basedOn w:val="Normal"/>
    <w:next w:val="Normal"/>
    <w:rsid w:val="00FD2B67"/>
  </w:style>
  <w:style w:type="paragraph" w:styleId="ListBullet2">
    <w:name w:val="List Bullet 2"/>
    <w:basedOn w:val="Normal"/>
    <w:autoRedefine/>
    <w:rsid w:val="00FD2B67"/>
    <w:pPr>
      <w:numPr>
        <w:numId w:val="5"/>
      </w:numPr>
      <w:jc w:val="left"/>
    </w:pPr>
  </w:style>
  <w:style w:type="paragraph" w:styleId="ListBullet3">
    <w:name w:val="List Bullet 3"/>
    <w:basedOn w:val="Normal"/>
    <w:autoRedefine/>
    <w:rsid w:val="00FD2B67"/>
    <w:pPr>
      <w:numPr>
        <w:numId w:val="4"/>
      </w:numPr>
    </w:pPr>
  </w:style>
  <w:style w:type="paragraph" w:styleId="ListContinue2">
    <w:name w:val="List Continue 2"/>
    <w:basedOn w:val="Normal"/>
    <w:rsid w:val="00FD2B67"/>
    <w:pPr>
      <w:spacing w:after="120"/>
      <w:ind w:left="720"/>
    </w:pPr>
  </w:style>
  <w:style w:type="paragraph" w:styleId="ListContinue3">
    <w:name w:val="List Continue 3"/>
    <w:basedOn w:val="Normal"/>
    <w:rsid w:val="00FD2B67"/>
    <w:pPr>
      <w:spacing w:after="120"/>
      <w:ind w:left="1080"/>
    </w:pPr>
  </w:style>
  <w:style w:type="paragraph" w:styleId="Title">
    <w:name w:val="Title"/>
    <w:basedOn w:val="Normal"/>
    <w:qFormat/>
    <w:rsid w:val="00FD2B67"/>
    <w:pPr>
      <w:spacing w:before="240" w:after="60"/>
      <w:jc w:val="center"/>
      <w:outlineLvl w:val="0"/>
    </w:pPr>
    <w:rPr>
      <w:rFonts w:cs="Arial"/>
      <w:b/>
      <w:bCs/>
      <w:kern w:val="28"/>
      <w:sz w:val="32"/>
      <w:szCs w:val="32"/>
    </w:rPr>
  </w:style>
  <w:style w:type="paragraph" w:styleId="Subtitle">
    <w:name w:val="Subtitle"/>
    <w:basedOn w:val="Normal"/>
    <w:qFormat/>
    <w:rsid w:val="00FD2B67"/>
    <w:pPr>
      <w:spacing w:after="60"/>
      <w:jc w:val="center"/>
      <w:outlineLvl w:val="1"/>
    </w:pPr>
    <w:rPr>
      <w:rFonts w:cs="Arial"/>
    </w:rPr>
  </w:style>
  <w:style w:type="paragraph" w:styleId="BlockText">
    <w:name w:val="Block Text"/>
    <w:basedOn w:val="Normal"/>
    <w:rsid w:val="00FD2B67"/>
    <w:pPr>
      <w:widowControl w:val="0"/>
      <w:ind w:left="2160" w:right="144"/>
    </w:pPr>
    <w:rPr>
      <w:rFonts w:ascii="Times New Roman" w:eastAsia="Times New Roman" w:hAnsi="Times New Roman"/>
      <w:sz w:val="20"/>
      <w:szCs w:val="20"/>
    </w:rPr>
  </w:style>
  <w:style w:type="paragraph" w:customStyle="1" w:styleId="StyleStyleTimesNewRomanLeft0Hanging05Left0H">
    <w:name w:val="Style Style Times New Roman Left:  0&quot; Hanging:  0.5&quot; + Left:  0&quot; H..."/>
    <w:basedOn w:val="Normal"/>
    <w:rsid w:val="00FD2B67"/>
    <w:pPr>
      <w:widowControl w:val="0"/>
      <w:autoSpaceDE w:val="0"/>
      <w:autoSpaceDN w:val="0"/>
      <w:adjustRightInd w:val="0"/>
      <w:spacing w:after="240"/>
      <w:ind w:left="720" w:hanging="720"/>
      <w:jc w:val="left"/>
    </w:pPr>
    <w:rPr>
      <w:rFonts w:ascii="Times New Roman" w:eastAsia="Times New Roman" w:hAnsi="Times New Roman"/>
      <w:snapToGrid/>
      <w:szCs w:val="20"/>
      <w:lang w:bidi="he-IL"/>
    </w:rPr>
  </w:style>
  <w:style w:type="paragraph" w:styleId="PlainText">
    <w:name w:val="Plain Text"/>
    <w:basedOn w:val="Normal"/>
    <w:rsid w:val="00FD2B67"/>
    <w:pPr>
      <w:jc w:val="left"/>
    </w:pPr>
    <w:rPr>
      <w:rFonts w:ascii="Courier New" w:eastAsia="Times New Roman" w:hAnsi="Courier New" w:cs="Courier New"/>
      <w:snapToGrid/>
      <w:sz w:val="20"/>
      <w:szCs w:val="20"/>
    </w:rPr>
  </w:style>
  <w:style w:type="character" w:customStyle="1" w:styleId="contentbld">
    <w:name w:val="contentbld"/>
    <w:basedOn w:val="DefaultParagraphFont"/>
    <w:rsid w:val="00FD2B67"/>
  </w:style>
  <w:style w:type="character" w:customStyle="1" w:styleId="content">
    <w:name w:val="content"/>
    <w:basedOn w:val="DefaultParagraphFont"/>
    <w:rsid w:val="00FD2B67"/>
  </w:style>
  <w:style w:type="paragraph" w:styleId="FootnoteText">
    <w:name w:val="footnote text"/>
    <w:basedOn w:val="Normal"/>
    <w:link w:val="FootnoteTextChar"/>
    <w:semiHidden/>
    <w:rsid w:val="00280D52"/>
    <w:rPr>
      <w:sz w:val="20"/>
      <w:szCs w:val="20"/>
    </w:rPr>
  </w:style>
  <w:style w:type="character" w:styleId="FootnoteReference">
    <w:name w:val="footnote reference"/>
    <w:semiHidden/>
    <w:rsid w:val="00280D52"/>
    <w:rPr>
      <w:vertAlign w:val="superscript"/>
    </w:rPr>
  </w:style>
  <w:style w:type="paragraph" w:styleId="BalloonText">
    <w:name w:val="Balloon Text"/>
    <w:basedOn w:val="Normal"/>
    <w:semiHidden/>
    <w:rsid w:val="00280D52"/>
    <w:rPr>
      <w:rFonts w:ascii="Tahoma" w:hAnsi="Tahoma" w:cs="Tahoma"/>
      <w:sz w:val="16"/>
      <w:szCs w:val="16"/>
    </w:rPr>
  </w:style>
  <w:style w:type="character" w:styleId="CommentReference">
    <w:name w:val="annotation reference"/>
    <w:semiHidden/>
    <w:rsid w:val="00C43508"/>
    <w:rPr>
      <w:sz w:val="16"/>
      <w:szCs w:val="16"/>
    </w:rPr>
  </w:style>
  <w:style w:type="paragraph" w:styleId="CommentText">
    <w:name w:val="annotation text"/>
    <w:basedOn w:val="Normal"/>
    <w:semiHidden/>
    <w:rsid w:val="00C43508"/>
    <w:rPr>
      <w:sz w:val="20"/>
      <w:szCs w:val="20"/>
    </w:rPr>
  </w:style>
  <w:style w:type="paragraph" w:styleId="CommentSubject">
    <w:name w:val="annotation subject"/>
    <w:basedOn w:val="CommentText"/>
    <w:next w:val="CommentText"/>
    <w:semiHidden/>
    <w:rsid w:val="00C43508"/>
    <w:rPr>
      <w:b/>
      <w:bCs/>
    </w:rPr>
  </w:style>
  <w:style w:type="paragraph" w:customStyle="1" w:styleId="Default">
    <w:name w:val="Default"/>
    <w:rsid w:val="00BF5150"/>
    <w:pPr>
      <w:autoSpaceDE w:val="0"/>
      <w:autoSpaceDN w:val="0"/>
      <w:adjustRightInd w:val="0"/>
    </w:pPr>
    <w:rPr>
      <w:rFonts w:ascii="Arial" w:eastAsia="Times New Roman" w:hAnsi="Arial" w:cs="Arial"/>
      <w:color w:val="000000"/>
      <w:sz w:val="24"/>
      <w:szCs w:val="24"/>
    </w:rPr>
  </w:style>
  <w:style w:type="paragraph" w:customStyle="1" w:styleId="msolistparagraph0">
    <w:name w:val="msolistparagraph"/>
    <w:basedOn w:val="Normal"/>
    <w:rsid w:val="006641B8"/>
    <w:pPr>
      <w:spacing w:after="200" w:line="276" w:lineRule="auto"/>
      <w:ind w:left="720"/>
      <w:jc w:val="left"/>
    </w:pPr>
    <w:rPr>
      <w:rFonts w:ascii="Calibri" w:eastAsia="Times New Roman" w:hAnsi="Calibri"/>
      <w:snapToGrid/>
      <w:sz w:val="22"/>
      <w:szCs w:val="22"/>
    </w:rPr>
  </w:style>
  <w:style w:type="paragraph" w:styleId="TOC3">
    <w:name w:val="toc 3"/>
    <w:basedOn w:val="Normal"/>
    <w:next w:val="Normal"/>
    <w:autoRedefine/>
    <w:semiHidden/>
    <w:rsid w:val="006120BC"/>
    <w:pPr>
      <w:ind w:left="480"/>
    </w:pPr>
  </w:style>
  <w:style w:type="paragraph" w:styleId="ListParagraph">
    <w:name w:val="List Paragraph"/>
    <w:basedOn w:val="Normal"/>
    <w:qFormat/>
    <w:rsid w:val="00A21723"/>
    <w:pPr>
      <w:spacing w:after="200" w:line="276" w:lineRule="auto"/>
      <w:ind w:left="720"/>
      <w:contextualSpacing/>
      <w:jc w:val="left"/>
    </w:pPr>
    <w:rPr>
      <w:rFonts w:ascii="Calibri" w:eastAsia="Times New Roman" w:hAnsi="Calibri"/>
      <w:snapToGrid/>
      <w:sz w:val="22"/>
      <w:szCs w:val="22"/>
    </w:rPr>
  </w:style>
  <w:style w:type="paragraph" w:customStyle="1" w:styleId="BodyofReport">
    <w:name w:val="Body of Report"/>
    <w:basedOn w:val="Normal"/>
    <w:rsid w:val="00DD4786"/>
    <w:pPr>
      <w:spacing w:line="312" w:lineRule="auto"/>
      <w:ind w:firstLine="720"/>
      <w:jc w:val="left"/>
    </w:pPr>
    <w:rPr>
      <w:rFonts w:ascii="Times New Roman" w:eastAsia="Times New Roman" w:hAnsi="Times New Roman"/>
      <w:snapToGrid/>
      <w:szCs w:val="20"/>
    </w:rPr>
  </w:style>
  <w:style w:type="paragraph" w:customStyle="1" w:styleId="DocumentClient">
    <w:name w:val="Document Client"/>
    <w:basedOn w:val="Normal"/>
    <w:rsid w:val="00DD4786"/>
    <w:pPr>
      <w:framePr w:hSpace="180" w:wrap="around" w:vAnchor="page" w:hAnchor="text" w:y="1081"/>
      <w:spacing w:after="240"/>
      <w:ind w:left="720" w:right="2880"/>
      <w:jc w:val="left"/>
    </w:pPr>
    <w:rPr>
      <w:rFonts w:ascii="Tahoma" w:eastAsia="Times New Roman" w:hAnsi="Tahoma"/>
      <w:snapToGrid/>
      <w:sz w:val="18"/>
    </w:rPr>
  </w:style>
  <w:style w:type="paragraph" w:customStyle="1" w:styleId="DocumentProject">
    <w:name w:val="Document Project"/>
    <w:basedOn w:val="DocumentClient"/>
    <w:rsid w:val="00DD4786"/>
    <w:pPr>
      <w:framePr w:wrap="around"/>
    </w:pPr>
    <w:rPr>
      <w:b/>
      <w:w w:val="98"/>
      <w:sz w:val="28"/>
    </w:rPr>
  </w:style>
  <w:style w:type="character" w:customStyle="1" w:styleId="FootnoteTextChar">
    <w:name w:val="Footnote Text Char"/>
    <w:link w:val="FootnoteText"/>
    <w:semiHidden/>
    <w:rsid w:val="005A3E3C"/>
    <w:rPr>
      <w:rFonts w:ascii="Arial" w:eastAsia="Arial Unicode MS" w:hAnsi="Arial"/>
      <w:snapToGrid w:val="0"/>
    </w:rPr>
  </w:style>
  <w:style w:type="character" w:customStyle="1" w:styleId="HeaderChar">
    <w:name w:val="Header Char"/>
    <w:link w:val="Header"/>
    <w:uiPriority w:val="99"/>
    <w:rsid w:val="00C13A54"/>
    <w:rPr>
      <w:rFonts w:ascii="Arial" w:eastAsia="Arial Unicode MS" w:hAnsi="Arial"/>
      <w:snapToGrid w:val="0"/>
      <w:szCs w:val="24"/>
    </w:rPr>
  </w:style>
  <w:style w:type="character" w:customStyle="1" w:styleId="FooterChar">
    <w:name w:val="Footer Char"/>
    <w:link w:val="Footer"/>
    <w:uiPriority w:val="99"/>
    <w:rsid w:val="00061367"/>
    <w:rPr>
      <w:rFonts w:ascii="Arial" w:eastAsia="Arial Unicode MS" w:hAnsi="Arial"/>
      <w:snapToGrid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47">
      <w:bodyDiv w:val="1"/>
      <w:marLeft w:val="0"/>
      <w:marRight w:val="0"/>
      <w:marTop w:val="0"/>
      <w:marBottom w:val="0"/>
      <w:divBdr>
        <w:top w:val="none" w:sz="0" w:space="0" w:color="auto"/>
        <w:left w:val="none" w:sz="0" w:space="0" w:color="auto"/>
        <w:bottom w:val="none" w:sz="0" w:space="0" w:color="auto"/>
        <w:right w:val="none" w:sz="0" w:space="0" w:color="auto"/>
      </w:divBdr>
    </w:div>
    <w:div w:id="14888365">
      <w:bodyDiv w:val="1"/>
      <w:marLeft w:val="0"/>
      <w:marRight w:val="0"/>
      <w:marTop w:val="0"/>
      <w:marBottom w:val="0"/>
      <w:divBdr>
        <w:top w:val="none" w:sz="0" w:space="0" w:color="auto"/>
        <w:left w:val="none" w:sz="0" w:space="0" w:color="auto"/>
        <w:bottom w:val="none" w:sz="0" w:space="0" w:color="auto"/>
        <w:right w:val="none" w:sz="0" w:space="0" w:color="auto"/>
      </w:divBdr>
    </w:div>
    <w:div w:id="46032509">
      <w:bodyDiv w:val="1"/>
      <w:marLeft w:val="0"/>
      <w:marRight w:val="0"/>
      <w:marTop w:val="0"/>
      <w:marBottom w:val="0"/>
      <w:divBdr>
        <w:top w:val="none" w:sz="0" w:space="0" w:color="auto"/>
        <w:left w:val="none" w:sz="0" w:space="0" w:color="auto"/>
        <w:bottom w:val="none" w:sz="0" w:space="0" w:color="auto"/>
        <w:right w:val="none" w:sz="0" w:space="0" w:color="auto"/>
      </w:divBdr>
    </w:div>
    <w:div w:id="75060319">
      <w:bodyDiv w:val="1"/>
      <w:marLeft w:val="0"/>
      <w:marRight w:val="0"/>
      <w:marTop w:val="0"/>
      <w:marBottom w:val="0"/>
      <w:divBdr>
        <w:top w:val="none" w:sz="0" w:space="0" w:color="auto"/>
        <w:left w:val="none" w:sz="0" w:space="0" w:color="auto"/>
        <w:bottom w:val="none" w:sz="0" w:space="0" w:color="auto"/>
        <w:right w:val="none" w:sz="0" w:space="0" w:color="auto"/>
      </w:divBdr>
    </w:div>
    <w:div w:id="158548671">
      <w:bodyDiv w:val="1"/>
      <w:marLeft w:val="0"/>
      <w:marRight w:val="0"/>
      <w:marTop w:val="0"/>
      <w:marBottom w:val="0"/>
      <w:divBdr>
        <w:top w:val="none" w:sz="0" w:space="0" w:color="auto"/>
        <w:left w:val="none" w:sz="0" w:space="0" w:color="auto"/>
        <w:bottom w:val="none" w:sz="0" w:space="0" w:color="auto"/>
        <w:right w:val="none" w:sz="0" w:space="0" w:color="auto"/>
      </w:divBdr>
    </w:div>
    <w:div w:id="158812307">
      <w:bodyDiv w:val="1"/>
      <w:marLeft w:val="0"/>
      <w:marRight w:val="0"/>
      <w:marTop w:val="0"/>
      <w:marBottom w:val="0"/>
      <w:divBdr>
        <w:top w:val="none" w:sz="0" w:space="0" w:color="auto"/>
        <w:left w:val="none" w:sz="0" w:space="0" w:color="auto"/>
        <w:bottom w:val="none" w:sz="0" w:space="0" w:color="auto"/>
        <w:right w:val="none" w:sz="0" w:space="0" w:color="auto"/>
      </w:divBdr>
    </w:div>
    <w:div w:id="179196938">
      <w:bodyDiv w:val="1"/>
      <w:marLeft w:val="0"/>
      <w:marRight w:val="0"/>
      <w:marTop w:val="0"/>
      <w:marBottom w:val="0"/>
      <w:divBdr>
        <w:top w:val="none" w:sz="0" w:space="0" w:color="auto"/>
        <w:left w:val="none" w:sz="0" w:space="0" w:color="auto"/>
        <w:bottom w:val="none" w:sz="0" w:space="0" w:color="auto"/>
        <w:right w:val="none" w:sz="0" w:space="0" w:color="auto"/>
      </w:divBdr>
    </w:div>
    <w:div w:id="179780153">
      <w:bodyDiv w:val="1"/>
      <w:marLeft w:val="60"/>
      <w:marRight w:val="60"/>
      <w:marTop w:val="60"/>
      <w:marBottom w:val="15"/>
      <w:divBdr>
        <w:top w:val="none" w:sz="0" w:space="0" w:color="auto"/>
        <w:left w:val="none" w:sz="0" w:space="0" w:color="auto"/>
        <w:bottom w:val="none" w:sz="0" w:space="0" w:color="auto"/>
        <w:right w:val="none" w:sz="0" w:space="0" w:color="auto"/>
      </w:divBdr>
    </w:div>
    <w:div w:id="232128903">
      <w:bodyDiv w:val="1"/>
      <w:marLeft w:val="0"/>
      <w:marRight w:val="0"/>
      <w:marTop w:val="0"/>
      <w:marBottom w:val="0"/>
      <w:divBdr>
        <w:top w:val="none" w:sz="0" w:space="0" w:color="auto"/>
        <w:left w:val="none" w:sz="0" w:space="0" w:color="auto"/>
        <w:bottom w:val="none" w:sz="0" w:space="0" w:color="auto"/>
        <w:right w:val="none" w:sz="0" w:space="0" w:color="auto"/>
      </w:divBdr>
    </w:div>
    <w:div w:id="234710359">
      <w:bodyDiv w:val="1"/>
      <w:marLeft w:val="0"/>
      <w:marRight w:val="0"/>
      <w:marTop w:val="0"/>
      <w:marBottom w:val="0"/>
      <w:divBdr>
        <w:top w:val="none" w:sz="0" w:space="0" w:color="auto"/>
        <w:left w:val="none" w:sz="0" w:space="0" w:color="auto"/>
        <w:bottom w:val="none" w:sz="0" w:space="0" w:color="auto"/>
        <w:right w:val="none" w:sz="0" w:space="0" w:color="auto"/>
      </w:divBdr>
    </w:div>
    <w:div w:id="268397011">
      <w:bodyDiv w:val="1"/>
      <w:marLeft w:val="0"/>
      <w:marRight w:val="0"/>
      <w:marTop w:val="0"/>
      <w:marBottom w:val="0"/>
      <w:divBdr>
        <w:top w:val="none" w:sz="0" w:space="0" w:color="auto"/>
        <w:left w:val="none" w:sz="0" w:space="0" w:color="auto"/>
        <w:bottom w:val="none" w:sz="0" w:space="0" w:color="auto"/>
        <w:right w:val="none" w:sz="0" w:space="0" w:color="auto"/>
      </w:divBdr>
    </w:div>
    <w:div w:id="279841451">
      <w:bodyDiv w:val="1"/>
      <w:marLeft w:val="0"/>
      <w:marRight w:val="0"/>
      <w:marTop w:val="0"/>
      <w:marBottom w:val="0"/>
      <w:divBdr>
        <w:top w:val="none" w:sz="0" w:space="0" w:color="auto"/>
        <w:left w:val="none" w:sz="0" w:space="0" w:color="auto"/>
        <w:bottom w:val="none" w:sz="0" w:space="0" w:color="auto"/>
        <w:right w:val="none" w:sz="0" w:space="0" w:color="auto"/>
      </w:divBdr>
    </w:div>
    <w:div w:id="282733432">
      <w:bodyDiv w:val="1"/>
      <w:marLeft w:val="0"/>
      <w:marRight w:val="0"/>
      <w:marTop w:val="0"/>
      <w:marBottom w:val="0"/>
      <w:divBdr>
        <w:top w:val="none" w:sz="0" w:space="0" w:color="auto"/>
        <w:left w:val="none" w:sz="0" w:space="0" w:color="auto"/>
        <w:bottom w:val="none" w:sz="0" w:space="0" w:color="auto"/>
        <w:right w:val="none" w:sz="0" w:space="0" w:color="auto"/>
      </w:divBdr>
    </w:div>
    <w:div w:id="304700982">
      <w:bodyDiv w:val="1"/>
      <w:marLeft w:val="0"/>
      <w:marRight w:val="0"/>
      <w:marTop w:val="0"/>
      <w:marBottom w:val="0"/>
      <w:divBdr>
        <w:top w:val="none" w:sz="0" w:space="0" w:color="auto"/>
        <w:left w:val="none" w:sz="0" w:space="0" w:color="auto"/>
        <w:bottom w:val="none" w:sz="0" w:space="0" w:color="auto"/>
        <w:right w:val="none" w:sz="0" w:space="0" w:color="auto"/>
      </w:divBdr>
    </w:div>
    <w:div w:id="401878395">
      <w:bodyDiv w:val="1"/>
      <w:marLeft w:val="0"/>
      <w:marRight w:val="0"/>
      <w:marTop w:val="0"/>
      <w:marBottom w:val="0"/>
      <w:divBdr>
        <w:top w:val="none" w:sz="0" w:space="0" w:color="auto"/>
        <w:left w:val="none" w:sz="0" w:space="0" w:color="auto"/>
        <w:bottom w:val="none" w:sz="0" w:space="0" w:color="auto"/>
        <w:right w:val="none" w:sz="0" w:space="0" w:color="auto"/>
      </w:divBdr>
    </w:div>
    <w:div w:id="460534331">
      <w:bodyDiv w:val="1"/>
      <w:marLeft w:val="0"/>
      <w:marRight w:val="0"/>
      <w:marTop w:val="0"/>
      <w:marBottom w:val="0"/>
      <w:divBdr>
        <w:top w:val="none" w:sz="0" w:space="0" w:color="auto"/>
        <w:left w:val="none" w:sz="0" w:space="0" w:color="auto"/>
        <w:bottom w:val="none" w:sz="0" w:space="0" w:color="auto"/>
        <w:right w:val="none" w:sz="0" w:space="0" w:color="auto"/>
      </w:divBdr>
    </w:div>
    <w:div w:id="529610524">
      <w:bodyDiv w:val="1"/>
      <w:marLeft w:val="0"/>
      <w:marRight w:val="0"/>
      <w:marTop w:val="0"/>
      <w:marBottom w:val="0"/>
      <w:divBdr>
        <w:top w:val="none" w:sz="0" w:space="0" w:color="auto"/>
        <w:left w:val="none" w:sz="0" w:space="0" w:color="auto"/>
        <w:bottom w:val="none" w:sz="0" w:space="0" w:color="auto"/>
        <w:right w:val="none" w:sz="0" w:space="0" w:color="auto"/>
      </w:divBdr>
    </w:div>
    <w:div w:id="561982054">
      <w:bodyDiv w:val="1"/>
      <w:marLeft w:val="0"/>
      <w:marRight w:val="0"/>
      <w:marTop w:val="0"/>
      <w:marBottom w:val="0"/>
      <w:divBdr>
        <w:top w:val="none" w:sz="0" w:space="0" w:color="auto"/>
        <w:left w:val="none" w:sz="0" w:space="0" w:color="auto"/>
        <w:bottom w:val="none" w:sz="0" w:space="0" w:color="auto"/>
        <w:right w:val="none" w:sz="0" w:space="0" w:color="auto"/>
      </w:divBdr>
    </w:div>
    <w:div w:id="602612272">
      <w:bodyDiv w:val="1"/>
      <w:marLeft w:val="0"/>
      <w:marRight w:val="0"/>
      <w:marTop w:val="0"/>
      <w:marBottom w:val="0"/>
      <w:divBdr>
        <w:top w:val="none" w:sz="0" w:space="0" w:color="auto"/>
        <w:left w:val="none" w:sz="0" w:space="0" w:color="auto"/>
        <w:bottom w:val="none" w:sz="0" w:space="0" w:color="auto"/>
        <w:right w:val="none" w:sz="0" w:space="0" w:color="auto"/>
      </w:divBdr>
    </w:div>
    <w:div w:id="628247310">
      <w:bodyDiv w:val="1"/>
      <w:marLeft w:val="0"/>
      <w:marRight w:val="0"/>
      <w:marTop w:val="0"/>
      <w:marBottom w:val="0"/>
      <w:divBdr>
        <w:top w:val="none" w:sz="0" w:space="0" w:color="auto"/>
        <w:left w:val="none" w:sz="0" w:space="0" w:color="auto"/>
        <w:bottom w:val="none" w:sz="0" w:space="0" w:color="auto"/>
        <w:right w:val="none" w:sz="0" w:space="0" w:color="auto"/>
      </w:divBdr>
    </w:div>
    <w:div w:id="694498532">
      <w:bodyDiv w:val="1"/>
      <w:marLeft w:val="0"/>
      <w:marRight w:val="0"/>
      <w:marTop w:val="0"/>
      <w:marBottom w:val="0"/>
      <w:divBdr>
        <w:top w:val="none" w:sz="0" w:space="0" w:color="auto"/>
        <w:left w:val="none" w:sz="0" w:space="0" w:color="auto"/>
        <w:bottom w:val="none" w:sz="0" w:space="0" w:color="auto"/>
        <w:right w:val="none" w:sz="0" w:space="0" w:color="auto"/>
      </w:divBdr>
    </w:div>
    <w:div w:id="724916216">
      <w:bodyDiv w:val="1"/>
      <w:marLeft w:val="0"/>
      <w:marRight w:val="0"/>
      <w:marTop w:val="0"/>
      <w:marBottom w:val="0"/>
      <w:divBdr>
        <w:top w:val="none" w:sz="0" w:space="0" w:color="auto"/>
        <w:left w:val="none" w:sz="0" w:space="0" w:color="auto"/>
        <w:bottom w:val="none" w:sz="0" w:space="0" w:color="auto"/>
        <w:right w:val="none" w:sz="0" w:space="0" w:color="auto"/>
      </w:divBdr>
    </w:div>
    <w:div w:id="754670049">
      <w:bodyDiv w:val="1"/>
      <w:marLeft w:val="0"/>
      <w:marRight w:val="0"/>
      <w:marTop w:val="0"/>
      <w:marBottom w:val="0"/>
      <w:divBdr>
        <w:top w:val="none" w:sz="0" w:space="0" w:color="auto"/>
        <w:left w:val="none" w:sz="0" w:space="0" w:color="auto"/>
        <w:bottom w:val="none" w:sz="0" w:space="0" w:color="auto"/>
        <w:right w:val="none" w:sz="0" w:space="0" w:color="auto"/>
      </w:divBdr>
    </w:div>
    <w:div w:id="777988497">
      <w:bodyDiv w:val="1"/>
      <w:marLeft w:val="0"/>
      <w:marRight w:val="0"/>
      <w:marTop w:val="0"/>
      <w:marBottom w:val="0"/>
      <w:divBdr>
        <w:top w:val="none" w:sz="0" w:space="0" w:color="auto"/>
        <w:left w:val="none" w:sz="0" w:space="0" w:color="auto"/>
        <w:bottom w:val="none" w:sz="0" w:space="0" w:color="auto"/>
        <w:right w:val="none" w:sz="0" w:space="0" w:color="auto"/>
      </w:divBdr>
    </w:div>
    <w:div w:id="788282215">
      <w:bodyDiv w:val="1"/>
      <w:marLeft w:val="0"/>
      <w:marRight w:val="0"/>
      <w:marTop w:val="0"/>
      <w:marBottom w:val="0"/>
      <w:divBdr>
        <w:top w:val="none" w:sz="0" w:space="0" w:color="auto"/>
        <w:left w:val="none" w:sz="0" w:space="0" w:color="auto"/>
        <w:bottom w:val="none" w:sz="0" w:space="0" w:color="auto"/>
        <w:right w:val="none" w:sz="0" w:space="0" w:color="auto"/>
      </w:divBdr>
    </w:div>
    <w:div w:id="886724433">
      <w:bodyDiv w:val="1"/>
      <w:marLeft w:val="0"/>
      <w:marRight w:val="0"/>
      <w:marTop w:val="0"/>
      <w:marBottom w:val="0"/>
      <w:divBdr>
        <w:top w:val="none" w:sz="0" w:space="0" w:color="auto"/>
        <w:left w:val="none" w:sz="0" w:space="0" w:color="auto"/>
        <w:bottom w:val="none" w:sz="0" w:space="0" w:color="auto"/>
        <w:right w:val="none" w:sz="0" w:space="0" w:color="auto"/>
      </w:divBdr>
    </w:div>
    <w:div w:id="923806214">
      <w:bodyDiv w:val="1"/>
      <w:marLeft w:val="0"/>
      <w:marRight w:val="0"/>
      <w:marTop w:val="0"/>
      <w:marBottom w:val="0"/>
      <w:divBdr>
        <w:top w:val="none" w:sz="0" w:space="0" w:color="auto"/>
        <w:left w:val="none" w:sz="0" w:space="0" w:color="auto"/>
        <w:bottom w:val="none" w:sz="0" w:space="0" w:color="auto"/>
        <w:right w:val="none" w:sz="0" w:space="0" w:color="auto"/>
      </w:divBdr>
    </w:div>
    <w:div w:id="932788618">
      <w:bodyDiv w:val="1"/>
      <w:marLeft w:val="0"/>
      <w:marRight w:val="0"/>
      <w:marTop w:val="0"/>
      <w:marBottom w:val="0"/>
      <w:divBdr>
        <w:top w:val="none" w:sz="0" w:space="0" w:color="auto"/>
        <w:left w:val="none" w:sz="0" w:space="0" w:color="auto"/>
        <w:bottom w:val="none" w:sz="0" w:space="0" w:color="auto"/>
        <w:right w:val="none" w:sz="0" w:space="0" w:color="auto"/>
      </w:divBdr>
    </w:div>
    <w:div w:id="1025787184">
      <w:bodyDiv w:val="1"/>
      <w:marLeft w:val="0"/>
      <w:marRight w:val="0"/>
      <w:marTop w:val="0"/>
      <w:marBottom w:val="0"/>
      <w:divBdr>
        <w:top w:val="none" w:sz="0" w:space="0" w:color="auto"/>
        <w:left w:val="none" w:sz="0" w:space="0" w:color="auto"/>
        <w:bottom w:val="none" w:sz="0" w:space="0" w:color="auto"/>
        <w:right w:val="none" w:sz="0" w:space="0" w:color="auto"/>
      </w:divBdr>
    </w:div>
    <w:div w:id="1068267796">
      <w:bodyDiv w:val="1"/>
      <w:marLeft w:val="0"/>
      <w:marRight w:val="0"/>
      <w:marTop w:val="0"/>
      <w:marBottom w:val="0"/>
      <w:divBdr>
        <w:top w:val="none" w:sz="0" w:space="0" w:color="auto"/>
        <w:left w:val="none" w:sz="0" w:space="0" w:color="auto"/>
        <w:bottom w:val="none" w:sz="0" w:space="0" w:color="auto"/>
        <w:right w:val="none" w:sz="0" w:space="0" w:color="auto"/>
      </w:divBdr>
    </w:div>
    <w:div w:id="1071201368">
      <w:bodyDiv w:val="1"/>
      <w:marLeft w:val="60"/>
      <w:marRight w:val="60"/>
      <w:marTop w:val="60"/>
      <w:marBottom w:val="15"/>
      <w:divBdr>
        <w:top w:val="none" w:sz="0" w:space="0" w:color="auto"/>
        <w:left w:val="none" w:sz="0" w:space="0" w:color="auto"/>
        <w:bottom w:val="none" w:sz="0" w:space="0" w:color="auto"/>
        <w:right w:val="none" w:sz="0" w:space="0" w:color="auto"/>
      </w:divBdr>
    </w:div>
    <w:div w:id="1074820866">
      <w:bodyDiv w:val="1"/>
      <w:marLeft w:val="0"/>
      <w:marRight w:val="0"/>
      <w:marTop w:val="0"/>
      <w:marBottom w:val="0"/>
      <w:divBdr>
        <w:top w:val="none" w:sz="0" w:space="0" w:color="auto"/>
        <w:left w:val="none" w:sz="0" w:space="0" w:color="auto"/>
        <w:bottom w:val="none" w:sz="0" w:space="0" w:color="auto"/>
        <w:right w:val="none" w:sz="0" w:space="0" w:color="auto"/>
      </w:divBdr>
    </w:div>
    <w:div w:id="1102990016">
      <w:bodyDiv w:val="1"/>
      <w:marLeft w:val="0"/>
      <w:marRight w:val="0"/>
      <w:marTop w:val="0"/>
      <w:marBottom w:val="0"/>
      <w:divBdr>
        <w:top w:val="none" w:sz="0" w:space="0" w:color="auto"/>
        <w:left w:val="none" w:sz="0" w:space="0" w:color="auto"/>
        <w:bottom w:val="none" w:sz="0" w:space="0" w:color="auto"/>
        <w:right w:val="none" w:sz="0" w:space="0" w:color="auto"/>
      </w:divBdr>
    </w:div>
    <w:div w:id="1187328954">
      <w:bodyDiv w:val="1"/>
      <w:marLeft w:val="0"/>
      <w:marRight w:val="0"/>
      <w:marTop w:val="0"/>
      <w:marBottom w:val="0"/>
      <w:divBdr>
        <w:top w:val="none" w:sz="0" w:space="0" w:color="auto"/>
        <w:left w:val="none" w:sz="0" w:space="0" w:color="auto"/>
        <w:bottom w:val="none" w:sz="0" w:space="0" w:color="auto"/>
        <w:right w:val="none" w:sz="0" w:space="0" w:color="auto"/>
      </w:divBdr>
    </w:div>
    <w:div w:id="1199120615">
      <w:bodyDiv w:val="1"/>
      <w:marLeft w:val="0"/>
      <w:marRight w:val="0"/>
      <w:marTop w:val="0"/>
      <w:marBottom w:val="0"/>
      <w:divBdr>
        <w:top w:val="none" w:sz="0" w:space="0" w:color="auto"/>
        <w:left w:val="none" w:sz="0" w:space="0" w:color="auto"/>
        <w:bottom w:val="none" w:sz="0" w:space="0" w:color="auto"/>
        <w:right w:val="none" w:sz="0" w:space="0" w:color="auto"/>
      </w:divBdr>
    </w:div>
    <w:div w:id="1200095535">
      <w:bodyDiv w:val="1"/>
      <w:marLeft w:val="0"/>
      <w:marRight w:val="0"/>
      <w:marTop w:val="0"/>
      <w:marBottom w:val="0"/>
      <w:divBdr>
        <w:top w:val="none" w:sz="0" w:space="0" w:color="auto"/>
        <w:left w:val="none" w:sz="0" w:space="0" w:color="auto"/>
        <w:bottom w:val="none" w:sz="0" w:space="0" w:color="auto"/>
        <w:right w:val="none" w:sz="0" w:space="0" w:color="auto"/>
      </w:divBdr>
    </w:div>
    <w:div w:id="1213806274">
      <w:bodyDiv w:val="1"/>
      <w:marLeft w:val="0"/>
      <w:marRight w:val="0"/>
      <w:marTop w:val="0"/>
      <w:marBottom w:val="0"/>
      <w:divBdr>
        <w:top w:val="none" w:sz="0" w:space="0" w:color="auto"/>
        <w:left w:val="none" w:sz="0" w:space="0" w:color="auto"/>
        <w:bottom w:val="none" w:sz="0" w:space="0" w:color="auto"/>
        <w:right w:val="none" w:sz="0" w:space="0" w:color="auto"/>
      </w:divBdr>
    </w:div>
    <w:div w:id="1217156802">
      <w:bodyDiv w:val="1"/>
      <w:marLeft w:val="60"/>
      <w:marRight w:val="60"/>
      <w:marTop w:val="60"/>
      <w:marBottom w:val="15"/>
      <w:divBdr>
        <w:top w:val="none" w:sz="0" w:space="0" w:color="auto"/>
        <w:left w:val="none" w:sz="0" w:space="0" w:color="auto"/>
        <w:bottom w:val="none" w:sz="0" w:space="0" w:color="auto"/>
        <w:right w:val="none" w:sz="0" w:space="0" w:color="auto"/>
      </w:divBdr>
    </w:div>
    <w:div w:id="1221328978">
      <w:bodyDiv w:val="1"/>
      <w:marLeft w:val="0"/>
      <w:marRight w:val="0"/>
      <w:marTop w:val="0"/>
      <w:marBottom w:val="0"/>
      <w:divBdr>
        <w:top w:val="none" w:sz="0" w:space="0" w:color="auto"/>
        <w:left w:val="none" w:sz="0" w:space="0" w:color="auto"/>
        <w:bottom w:val="none" w:sz="0" w:space="0" w:color="auto"/>
        <w:right w:val="none" w:sz="0" w:space="0" w:color="auto"/>
      </w:divBdr>
    </w:div>
    <w:div w:id="1231501198">
      <w:bodyDiv w:val="1"/>
      <w:marLeft w:val="0"/>
      <w:marRight w:val="0"/>
      <w:marTop w:val="0"/>
      <w:marBottom w:val="0"/>
      <w:divBdr>
        <w:top w:val="none" w:sz="0" w:space="0" w:color="auto"/>
        <w:left w:val="none" w:sz="0" w:space="0" w:color="auto"/>
        <w:bottom w:val="none" w:sz="0" w:space="0" w:color="auto"/>
        <w:right w:val="none" w:sz="0" w:space="0" w:color="auto"/>
      </w:divBdr>
    </w:div>
    <w:div w:id="1266379971">
      <w:bodyDiv w:val="1"/>
      <w:marLeft w:val="0"/>
      <w:marRight w:val="0"/>
      <w:marTop w:val="0"/>
      <w:marBottom w:val="0"/>
      <w:divBdr>
        <w:top w:val="none" w:sz="0" w:space="0" w:color="auto"/>
        <w:left w:val="none" w:sz="0" w:space="0" w:color="auto"/>
        <w:bottom w:val="none" w:sz="0" w:space="0" w:color="auto"/>
        <w:right w:val="none" w:sz="0" w:space="0" w:color="auto"/>
      </w:divBdr>
    </w:div>
    <w:div w:id="1294099374">
      <w:bodyDiv w:val="1"/>
      <w:marLeft w:val="0"/>
      <w:marRight w:val="0"/>
      <w:marTop w:val="0"/>
      <w:marBottom w:val="0"/>
      <w:divBdr>
        <w:top w:val="none" w:sz="0" w:space="0" w:color="auto"/>
        <w:left w:val="none" w:sz="0" w:space="0" w:color="auto"/>
        <w:bottom w:val="none" w:sz="0" w:space="0" w:color="auto"/>
        <w:right w:val="none" w:sz="0" w:space="0" w:color="auto"/>
      </w:divBdr>
    </w:div>
    <w:div w:id="1330595807">
      <w:bodyDiv w:val="1"/>
      <w:marLeft w:val="60"/>
      <w:marRight w:val="60"/>
      <w:marTop w:val="60"/>
      <w:marBottom w:val="15"/>
      <w:divBdr>
        <w:top w:val="none" w:sz="0" w:space="0" w:color="auto"/>
        <w:left w:val="none" w:sz="0" w:space="0" w:color="auto"/>
        <w:bottom w:val="none" w:sz="0" w:space="0" w:color="auto"/>
        <w:right w:val="none" w:sz="0" w:space="0" w:color="auto"/>
      </w:divBdr>
      <w:divsChild>
        <w:div w:id="938876315">
          <w:marLeft w:val="0"/>
          <w:marRight w:val="0"/>
          <w:marTop w:val="0"/>
          <w:marBottom w:val="0"/>
          <w:divBdr>
            <w:top w:val="none" w:sz="0" w:space="0" w:color="auto"/>
            <w:left w:val="none" w:sz="0" w:space="0" w:color="auto"/>
            <w:bottom w:val="none" w:sz="0" w:space="0" w:color="auto"/>
            <w:right w:val="none" w:sz="0" w:space="0" w:color="auto"/>
          </w:divBdr>
        </w:div>
      </w:divsChild>
    </w:div>
    <w:div w:id="1345134658">
      <w:bodyDiv w:val="1"/>
      <w:marLeft w:val="0"/>
      <w:marRight w:val="0"/>
      <w:marTop w:val="0"/>
      <w:marBottom w:val="0"/>
      <w:divBdr>
        <w:top w:val="none" w:sz="0" w:space="0" w:color="auto"/>
        <w:left w:val="none" w:sz="0" w:space="0" w:color="auto"/>
        <w:bottom w:val="none" w:sz="0" w:space="0" w:color="auto"/>
        <w:right w:val="none" w:sz="0" w:space="0" w:color="auto"/>
      </w:divBdr>
    </w:div>
    <w:div w:id="1392312641">
      <w:bodyDiv w:val="1"/>
      <w:marLeft w:val="0"/>
      <w:marRight w:val="0"/>
      <w:marTop w:val="0"/>
      <w:marBottom w:val="0"/>
      <w:divBdr>
        <w:top w:val="none" w:sz="0" w:space="0" w:color="auto"/>
        <w:left w:val="none" w:sz="0" w:space="0" w:color="auto"/>
        <w:bottom w:val="none" w:sz="0" w:space="0" w:color="auto"/>
        <w:right w:val="none" w:sz="0" w:space="0" w:color="auto"/>
      </w:divBdr>
    </w:div>
    <w:div w:id="1413237634">
      <w:bodyDiv w:val="1"/>
      <w:marLeft w:val="0"/>
      <w:marRight w:val="0"/>
      <w:marTop w:val="0"/>
      <w:marBottom w:val="0"/>
      <w:divBdr>
        <w:top w:val="none" w:sz="0" w:space="0" w:color="auto"/>
        <w:left w:val="none" w:sz="0" w:space="0" w:color="auto"/>
        <w:bottom w:val="none" w:sz="0" w:space="0" w:color="auto"/>
        <w:right w:val="none" w:sz="0" w:space="0" w:color="auto"/>
      </w:divBdr>
    </w:div>
    <w:div w:id="1477647593">
      <w:bodyDiv w:val="1"/>
      <w:marLeft w:val="0"/>
      <w:marRight w:val="0"/>
      <w:marTop w:val="0"/>
      <w:marBottom w:val="0"/>
      <w:divBdr>
        <w:top w:val="none" w:sz="0" w:space="0" w:color="auto"/>
        <w:left w:val="none" w:sz="0" w:space="0" w:color="auto"/>
        <w:bottom w:val="none" w:sz="0" w:space="0" w:color="auto"/>
        <w:right w:val="none" w:sz="0" w:space="0" w:color="auto"/>
      </w:divBdr>
    </w:div>
    <w:div w:id="1514681018">
      <w:bodyDiv w:val="1"/>
      <w:marLeft w:val="0"/>
      <w:marRight w:val="0"/>
      <w:marTop w:val="0"/>
      <w:marBottom w:val="0"/>
      <w:divBdr>
        <w:top w:val="none" w:sz="0" w:space="0" w:color="auto"/>
        <w:left w:val="none" w:sz="0" w:space="0" w:color="auto"/>
        <w:bottom w:val="none" w:sz="0" w:space="0" w:color="auto"/>
        <w:right w:val="none" w:sz="0" w:space="0" w:color="auto"/>
      </w:divBdr>
    </w:div>
    <w:div w:id="1556501292">
      <w:bodyDiv w:val="1"/>
      <w:marLeft w:val="0"/>
      <w:marRight w:val="0"/>
      <w:marTop w:val="0"/>
      <w:marBottom w:val="0"/>
      <w:divBdr>
        <w:top w:val="none" w:sz="0" w:space="0" w:color="auto"/>
        <w:left w:val="none" w:sz="0" w:space="0" w:color="auto"/>
        <w:bottom w:val="none" w:sz="0" w:space="0" w:color="auto"/>
        <w:right w:val="none" w:sz="0" w:space="0" w:color="auto"/>
      </w:divBdr>
    </w:div>
    <w:div w:id="1608346041">
      <w:bodyDiv w:val="1"/>
      <w:marLeft w:val="0"/>
      <w:marRight w:val="0"/>
      <w:marTop w:val="0"/>
      <w:marBottom w:val="0"/>
      <w:divBdr>
        <w:top w:val="none" w:sz="0" w:space="0" w:color="auto"/>
        <w:left w:val="none" w:sz="0" w:space="0" w:color="auto"/>
        <w:bottom w:val="none" w:sz="0" w:space="0" w:color="auto"/>
        <w:right w:val="none" w:sz="0" w:space="0" w:color="auto"/>
      </w:divBdr>
    </w:div>
    <w:div w:id="1608733607">
      <w:bodyDiv w:val="1"/>
      <w:marLeft w:val="0"/>
      <w:marRight w:val="0"/>
      <w:marTop w:val="0"/>
      <w:marBottom w:val="0"/>
      <w:divBdr>
        <w:top w:val="none" w:sz="0" w:space="0" w:color="auto"/>
        <w:left w:val="none" w:sz="0" w:space="0" w:color="auto"/>
        <w:bottom w:val="none" w:sz="0" w:space="0" w:color="auto"/>
        <w:right w:val="none" w:sz="0" w:space="0" w:color="auto"/>
      </w:divBdr>
    </w:div>
    <w:div w:id="1616212954">
      <w:bodyDiv w:val="1"/>
      <w:marLeft w:val="0"/>
      <w:marRight w:val="0"/>
      <w:marTop w:val="0"/>
      <w:marBottom w:val="0"/>
      <w:divBdr>
        <w:top w:val="none" w:sz="0" w:space="0" w:color="auto"/>
        <w:left w:val="none" w:sz="0" w:space="0" w:color="auto"/>
        <w:bottom w:val="none" w:sz="0" w:space="0" w:color="auto"/>
        <w:right w:val="none" w:sz="0" w:space="0" w:color="auto"/>
      </w:divBdr>
    </w:div>
    <w:div w:id="1679115258">
      <w:bodyDiv w:val="1"/>
      <w:marLeft w:val="0"/>
      <w:marRight w:val="0"/>
      <w:marTop w:val="0"/>
      <w:marBottom w:val="0"/>
      <w:divBdr>
        <w:top w:val="none" w:sz="0" w:space="0" w:color="auto"/>
        <w:left w:val="none" w:sz="0" w:space="0" w:color="auto"/>
        <w:bottom w:val="none" w:sz="0" w:space="0" w:color="auto"/>
        <w:right w:val="none" w:sz="0" w:space="0" w:color="auto"/>
      </w:divBdr>
    </w:div>
    <w:div w:id="1694456857">
      <w:bodyDiv w:val="1"/>
      <w:marLeft w:val="0"/>
      <w:marRight w:val="0"/>
      <w:marTop w:val="0"/>
      <w:marBottom w:val="0"/>
      <w:divBdr>
        <w:top w:val="none" w:sz="0" w:space="0" w:color="auto"/>
        <w:left w:val="none" w:sz="0" w:space="0" w:color="auto"/>
        <w:bottom w:val="none" w:sz="0" w:space="0" w:color="auto"/>
        <w:right w:val="none" w:sz="0" w:space="0" w:color="auto"/>
      </w:divBdr>
    </w:div>
    <w:div w:id="1732270514">
      <w:bodyDiv w:val="1"/>
      <w:marLeft w:val="0"/>
      <w:marRight w:val="0"/>
      <w:marTop w:val="0"/>
      <w:marBottom w:val="0"/>
      <w:divBdr>
        <w:top w:val="none" w:sz="0" w:space="0" w:color="auto"/>
        <w:left w:val="none" w:sz="0" w:space="0" w:color="auto"/>
        <w:bottom w:val="none" w:sz="0" w:space="0" w:color="auto"/>
        <w:right w:val="none" w:sz="0" w:space="0" w:color="auto"/>
      </w:divBdr>
    </w:div>
    <w:div w:id="1732925622">
      <w:bodyDiv w:val="1"/>
      <w:marLeft w:val="0"/>
      <w:marRight w:val="0"/>
      <w:marTop w:val="0"/>
      <w:marBottom w:val="0"/>
      <w:divBdr>
        <w:top w:val="none" w:sz="0" w:space="0" w:color="auto"/>
        <w:left w:val="none" w:sz="0" w:space="0" w:color="auto"/>
        <w:bottom w:val="none" w:sz="0" w:space="0" w:color="auto"/>
        <w:right w:val="none" w:sz="0" w:space="0" w:color="auto"/>
      </w:divBdr>
    </w:div>
    <w:div w:id="1751809260">
      <w:bodyDiv w:val="1"/>
      <w:marLeft w:val="0"/>
      <w:marRight w:val="0"/>
      <w:marTop w:val="0"/>
      <w:marBottom w:val="0"/>
      <w:divBdr>
        <w:top w:val="none" w:sz="0" w:space="0" w:color="auto"/>
        <w:left w:val="none" w:sz="0" w:space="0" w:color="auto"/>
        <w:bottom w:val="none" w:sz="0" w:space="0" w:color="auto"/>
        <w:right w:val="none" w:sz="0" w:space="0" w:color="auto"/>
      </w:divBdr>
    </w:div>
    <w:div w:id="1783917891">
      <w:bodyDiv w:val="1"/>
      <w:marLeft w:val="0"/>
      <w:marRight w:val="0"/>
      <w:marTop w:val="0"/>
      <w:marBottom w:val="0"/>
      <w:divBdr>
        <w:top w:val="none" w:sz="0" w:space="0" w:color="auto"/>
        <w:left w:val="none" w:sz="0" w:space="0" w:color="auto"/>
        <w:bottom w:val="none" w:sz="0" w:space="0" w:color="auto"/>
        <w:right w:val="none" w:sz="0" w:space="0" w:color="auto"/>
      </w:divBdr>
    </w:div>
    <w:div w:id="1818187748">
      <w:bodyDiv w:val="1"/>
      <w:marLeft w:val="0"/>
      <w:marRight w:val="0"/>
      <w:marTop w:val="0"/>
      <w:marBottom w:val="0"/>
      <w:divBdr>
        <w:top w:val="none" w:sz="0" w:space="0" w:color="auto"/>
        <w:left w:val="none" w:sz="0" w:space="0" w:color="auto"/>
        <w:bottom w:val="none" w:sz="0" w:space="0" w:color="auto"/>
        <w:right w:val="none" w:sz="0" w:space="0" w:color="auto"/>
      </w:divBdr>
    </w:div>
    <w:div w:id="1824151851">
      <w:bodyDiv w:val="1"/>
      <w:marLeft w:val="0"/>
      <w:marRight w:val="0"/>
      <w:marTop w:val="0"/>
      <w:marBottom w:val="0"/>
      <w:divBdr>
        <w:top w:val="none" w:sz="0" w:space="0" w:color="auto"/>
        <w:left w:val="none" w:sz="0" w:space="0" w:color="auto"/>
        <w:bottom w:val="none" w:sz="0" w:space="0" w:color="auto"/>
        <w:right w:val="none" w:sz="0" w:space="0" w:color="auto"/>
      </w:divBdr>
    </w:div>
    <w:div w:id="1827239257">
      <w:bodyDiv w:val="1"/>
      <w:marLeft w:val="0"/>
      <w:marRight w:val="0"/>
      <w:marTop w:val="0"/>
      <w:marBottom w:val="0"/>
      <w:divBdr>
        <w:top w:val="none" w:sz="0" w:space="0" w:color="auto"/>
        <w:left w:val="none" w:sz="0" w:space="0" w:color="auto"/>
        <w:bottom w:val="none" w:sz="0" w:space="0" w:color="auto"/>
        <w:right w:val="none" w:sz="0" w:space="0" w:color="auto"/>
      </w:divBdr>
    </w:div>
    <w:div w:id="1935937246">
      <w:bodyDiv w:val="1"/>
      <w:marLeft w:val="60"/>
      <w:marRight w:val="60"/>
      <w:marTop w:val="60"/>
      <w:marBottom w:val="15"/>
      <w:divBdr>
        <w:top w:val="none" w:sz="0" w:space="0" w:color="auto"/>
        <w:left w:val="none" w:sz="0" w:space="0" w:color="auto"/>
        <w:bottom w:val="none" w:sz="0" w:space="0" w:color="auto"/>
        <w:right w:val="none" w:sz="0" w:space="0" w:color="auto"/>
      </w:divBdr>
    </w:div>
    <w:div w:id="1992712685">
      <w:bodyDiv w:val="1"/>
      <w:marLeft w:val="0"/>
      <w:marRight w:val="0"/>
      <w:marTop w:val="0"/>
      <w:marBottom w:val="0"/>
      <w:divBdr>
        <w:top w:val="none" w:sz="0" w:space="0" w:color="auto"/>
        <w:left w:val="none" w:sz="0" w:space="0" w:color="auto"/>
        <w:bottom w:val="none" w:sz="0" w:space="0" w:color="auto"/>
        <w:right w:val="none" w:sz="0" w:space="0" w:color="auto"/>
      </w:divBdr>
    </w:div>
    <w:div w:id="1997411551">
      <w:bodyDiv w:val="1"/>
      <w:marLeft w:val="0"/>
      <w:marRight w:val="0"/>
      <w:marTop w:val="0"/>
      <w:marBottom w:val="0"/>
      <w:divBdr>
        <w:top w:val="none" w:sz="0" w:space="0" w:color="auto"/>
        <w:left w:val="none" w:sz="0" w:space="0" w:color="auto"/>
        <w:bottom w:val="none" w:sz="0" w:space="0" w:color="auto"/>
        <w:right w:val="none" w:sz="0" w:space="0" w:color="auto"/>
      </w:divBdr>
    </w:div>
    <w:div w:id="2056198790">
      <w:bodyDiv w:val="1"/>
      <w:marLeft w:val="0"/>
      <w:marRight w:val="0"/>
      <w:marTop w:val="0"/>
      <w:marBottom w:val="0"/>
      <w:divBdr>
        <w:top w:val="none" w:sz="0" w:space="0" w:color="auto"/>
        <w:left w:val="none" w:sz="0" w:space="0" w:color="auto"/>
        <w:bottom w:val="none" w:sz="0" w:space="0" w:color="auto"/>
        <w:right w:val="none" w:sz="0" w:space="0" w:color="auto"/>
      </w:divBdr>
    </w:div>
    <w:div w:id="2076586305">
      <w:bodyDiv w:val="1"/>
      <w:marLeft w:val="0"/>
      <w:marRight w:val="0"/>
      <w:marTop w:val="0"/>
      <w:marBottom w:val="0"/>
      <w:divBdr>
        <w:top w:val="none" w:sz="0" w:space="0" w:color="auto"/>
        <w:left w:val="none" w:sz="0" w:space="0" w:color="auto"/>
        <w:bottom w:val="none" w:sz="0" w:space="0" w:color="auto"/>
        <w:right w:val="none" w:sz="0" w:space="0" w:color="auto"/>
      </w:divBdr>
    </w:div>
    <w:div w:id="213248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rbi.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C4297-9CAD-4805-8A1D-0968A752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138C7194.dotm</Template>
  <TotalTime>10</TotalTime>
  <Pages>9</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SRBI Letter Template</vt:lpstr>
    </vt:vector>
  </TitlesOfParts>
  <Company>Schulman, Ronca &amp; Bucuvalas, Inc.</Company>
  <LinksUpToDate>false</LinksUpToDate>
  <CharactersWithSpaces>15187</CharactersWithSpaces>
  <SharedDoc>false</SharedDoc>
  <HLinks>
    <vt:vector size="6" baseType="variant">
      <vt:variant>
        <vt:i4>5505093</vt:i4>
      </vt:variant>
      <vt:variant>
        <vt:i4>0</vt:i4>
      </vt:variant>
      <vt:variant>
        <vt:i4>0</vt:i4>
      </vt:variant>
      <vt:variant>
        <vt:i4>5</vt:i4>
      </vt:variant>
      <vt:variant>
        <vt:lpwstr>http://www.srbi.com/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SRBI Letter Template</dc:title>
  <dc:creator>hutz</dc:creator>
  <cp:lastModifiedBy>Jocelyn Kiley</cp:lastModifiedBy>
  <cp:revision>3</cp:revision>
  <cp:lastPrinted>2014-04-14T20:25:00Z</cp:lastPrinted>
  <dcterms:created xsi:type="dcterms:W3CDTF">2015-01-07T21:40:00Z</dcterms:created>
  <dcterms:modified xsi:type="dcterms:W3CDTF">2015-01-07T21:55:00Z</dcterms:modified>
</cp:coreProperties>
</file>