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9EED" w14:textId="04BD262E" w:rsidR="00780346" w:rsidRPr="0076299E" w:rsidRDefault="00061D92" w:rsidP="0076299E">
      <w:r>
        <w:rPr>
          <w:rFonts w:ascii="Times New Roman" w:hAnsi="Times New Roman" w:cs="Times New Roman"/>
          <w:kern w:val="0"/>
        </w:rPr>
        <w:t>STATA assignment</w:t>
      </w:r>
      <w:r w:rsidR="00564CB6">
        <w:rPr>
          <w:rFonts w:ascii="Times New Roman" w:hAnsi="Times New Roman" w:cs="Times New Roman"/>
          <w:i/>
          <w:iCs/>
          <w:kern w:val="0"/>
        </w:rPr>
        <w:br/>
      </w:r>
      <w:r w:rsidR="005152C1">
        <w:rPr>
          <w:rFonts w:ascii="Times New Roman" w:hAnsi="Times New Roman" w:cs="Times New Roman"/>
        </w:rPr>
        <w:t>2</w:t>
      </w:r>
      <w:r w:rsidR="00CC596D" w:rsidRPr="00CC596D">
        <w:rPr>
          <w:rFonts w:ascii="Times New Roman" w:hAnsi="Times New Roman" w:cs="Times New Roman"/>
        </w:rPr>
        <w:t>.</w:t>
      </w:r>
      <w:r w:rsidR="00780346">
        <w:rPr>
          <w:rFonts w:ascii="Times New Roman" w:hAnsi="Times New Roman" w:cs="Times New Roman"/>
        </w:rPr>
        <w:br/>
      </w:r>
      <w:r w:rsidR="00780346" w:rsidRPr="00780346">
        <w:rPr>
          <w:rFonts w:ascii="Times New Roman" w:hAnsi="Times New Roman" w:cs="Times New Roman"/>
          <w:kern w:val="0"/>
        </w:rPr>
        <w:t xml:space="preserve">Jackson, </w:t>
      </w:r>
      <w:proofErr w:type="spellStart"/>
      <w:r w:rsidR="00780346" w:rsidRPr="00780346">
        <w:rPr>
          <w:rFonts w:ascii="Times New Roman" w:hAnsi="Times New Roman" w:cs="Times New Roman"/>
          <w:kern w:val="0"/>
        </w:rPr>
        <w:t>Gangnon</w:t>
      </w:r>
      <w:proofErr w:type="spellEnd"/>
      <w:r w:rsidR="00780346" w:rsidRPr="00780346">
        <w:rPr>
          <w:rFonts w:ascii="Times New Roman" w:hAnsi="Times New Roman" w:cs="Times New Roman"/>
          <w:kern w:val="0"/>
        </w:rPr>
        <w:t>, Evans, et al (American Journal of Respiratory and Critical Care</w:t>
      </w:r>
    </w:p>
    <w:p w14:paraId="2B46D53F" w14:textId="77777777" w:rsidR="00780346" w:rsidRPr="00780346" w:rsidRDefault="00780346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</w:rPr>
      </w:pPr>
      <w:r w:rsidRPr="00780346">
        <w:rPr>
          <w:rFonts w:ascii="Times New Roman" w:hAnsi="Times New Roman" w:cs="Times New Roman"/>
          <w:kern w:val="0"/>
        </w:rPr>
        <w:t>Medicine 2008, 178: 667 - 672) provided the proportion of children experiencing asthma</w:t>
      </w:r>
    </w:p>
    <w:p w14:paraId="576FA1FC" w14:textId="32D9A6A1" w:rsidR="00780346" w:rsidRPr="00780346" w:rsidRDefault="00780346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</w:rPr>
      </w:pPr>
      <w:r w:rsidRPr="00780346">
        <w:rPr>
          <w:rFonts w:ascii="Times New Roman" w:hAnsi="Times New Roman" w:cs="Times New Roman"/>
          <w:kern w:val="0"/>
        </w:rPr>
        <w:t xml:space="preserve">by six years of age with respect to </w:t>
      </w:r>
      <w:r w:rsidRPr="00780346">
        <w:rPr>
          <w:rFonts w:ascii="Times New Roman" w:hAnsi="Times New Roman" w:cs="Times New Roman"/>
          <w:kern w:val="0"/>
        </w:rPr>
        <w:t>whether</w:t>
      </w:r>
      <w:r w:rsidRPr="00780346">
        <w:rPr>
          <w:rFonts w:ascii="Times New Roman" w:hAnsi="Times New Roman" w:cs="Times New Roman"/>
          <w:kern w:val="0"/>
        </w:rPr>
        <w:t xml:space="preserve"> they had been previously exposed to</w:t>
      </w:r>
    </w:p>
    <w:p w14:paraId="70A6210D" w14:textId="77777777" w:rsidR="00780346" w:rsidRPr="00780346" w:rsidRDefault="00780346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</w:rPr>
      </w:pPr>
      <w:r w:rsidRPr="00780346">
        <w:rPr>
          <w:rFonts w:ascii="Times New Roman" w:hAnsi="Times New Roman" w:cs="Times New Roman"/>
          <w:kern w:val="0"/>
        </w:rPr>
        <w:t>the human rhinovirus (HRV) in the first year of their life. The results of this study are</w:t>
      </w:r>
    </w:p>
    <w:p w14:paraId="45BA4519" w14:textId="200305F0" w:rsidR="00780346" w:rsidRPr="00780346" w:rsidRDefault="00780346" w:rsidP="00105493">
      <w:pPr>
        <w:autoSpaceDE w:val="0"/>
        <w:autoSpaceDN w:val="0"/>
        <w:adjustRightInd w:val="0"/>
        <w:spacing w:after="0" w:line="360" w:lineRule="auto"/>
      </w:pPr>
      <w:r w:rsidRPr="00780346">
        <w:rPr>
          <w:rFonts w:ascii="Times New Roman" w:hAnsi="Times New Roman" w:cs="Times New Roman"/>
          <w:kern w:val="0"/>
        </w:rPr>
        <w:t xml:space="preserve">described in a 2 </w:t>
      </w:r>
      <w:r>
        <w:rPr>
          <w:rFonts w:ascii="Times New Roman" w:hAnsi="Times New Roman" w:cs="Times New Roman"/>
          <w:kern w:val="0"/>
        </w:rPr>
        <w:t xml:space="preserve">x </w:t>
      </w:r>
      <w:r w:rsidRPr="00780346">
        <w:rPr>
          <w:rFonts w:ascii="Times New Roman" w:hAnsi="Times New Roman" w:cs="Times New Roman"/>
          <w:kern w:val="0"/>
        </w:rPr>
        <w:t>2 contingency table as shown below:</w:t>
      </w:r>
    </w:p>
    <w:p w14:paraId="14197DDC" w14:textId="1324ABF4" w:rsidR="00CC596D" w:rsidRPr="00CC596D" w:rsidRDefault="00CC596D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780346">
        <w:br/>
      </w:r>
      <w:r>
        <w:rPr>
          <w:noProof/>
        </w:rPr>
        <w:drawing>
          <wp:inline distT="0" distB="0" distL="0" distR="0" wp14:anchorId="241B81D7" wp14:editId="04456F56">
            <wp:extent cx="3732028" cy="2064577"/>
            <wp:effectExtent l="0" t="0" r="1905" b="5715"/>
            <wp:docPr id="173154406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44067" name="Picture 1" descr="A screenshot of a tabl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028" cy="206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kern w:val="0"/>
          <w:sz w:val="23"/>
          <w:szCs w:val="23"/>
        </w:rPr>
        <w:br/>
        <w:t xml:space="preserve">Interpretation: 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The OR estimate for the association between </w:t>
      </w:r>
      <w:r>
        <w:rPr>
          <w:rFonts w:ascii="Times New Roman" w:hAnsi="Times New Roman" w:cs="Times New Roman"/>
          <w:kern w:val="0"/>
          <w:sz w:val="23"/>
          <w:szCs w:val="23"/>
        </w:rPr>
        <w:t xml:space="preserve">asthma 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and </w:t>
      </w:r>
      <w:r>
        <w:rPr>
          <w:rFonts w:ascii="Times New Roman" w:hAnsi="Times New Roman" w:cs="Times New Roman"/>
          <w:kern w:val="0"/>
          <w:sz w:val="23"/>
          <w:szCs w:val="23"/>
        </w:rPr>
        <w:t>HRV</w:t>
      </w:r>
    </w:p>
    <w:p w14:paraId="30D3E2F1" w14:textId="77777777" w:rsidR="00A379F7" w:rsidRDefault="00CC596D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is </w:t>
      </w:r>
      <w:r>
        <w:rPr>
          <w:rFonts w:ascii="Times New Roman" w:hAnsi="Times New Roman" w:cs="Times New Roman"/>
          <w:kern w:val="0"/>
          <w:sz w:val="23"/>
          <w:szCs w:val="23"/>
        </w:rPr>
        <w:t xml:space="preserve">2.8 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(95% CI </w:t>
      </w:r>
      <w:r>
        <w:rPr>
          <w:rFonts w:ascii="Times New Roman" w:hAnsi="Times New Roman" w:cs="Times New Roman"/>
          <w:kern w:val="0"/>
          <w:sz w:val="23"/>
          <w:szCs w:val="23"/>
        </w:rPr>
        <w:t>1.43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 – </w:t>
      </w:r>
      <w:r>
        <w:rPr>
          <w:rFonts w:ascii="Times New Roman" w:hAnsi="Times New Roman" w:cs="Times New Roman"/>
          <w:kern w:val="0"/>
          <w:sz w:val="23"/>
          <w:szCs w:val="23"/>
        </w:rPr>
        <w:t>5.45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 xml:space="preserve">, p = </w:t>
      </w:r>
      <w:r w:rsidR="00B03705">
        <w:rPr>
          <w:rFonts w:ascii="Times New Roman" w:hAnsi="Times New Roman" w:cs="Times New Roman"/>
          <w:kern w:val="0"/>
          <w:sz w:val="23"/>
          <w:szCs w:val="23"/>
        </w:rPr>
        <w:t>0.0019</w:t>
      </w:r>
      <w:r w:rsidRPr="00CC596D">
        <w:rPr>
          <w:rFonts w:ascii="Times New Roman" w:hAnsi="Times New Roman" w:cs="Times New Roman"/>
          <w:kern w:val="0"/>
          <w:sz w:val="23"/>
          <w:szCs w:val="23"/>
        </w:rPr>
        <w:t>).</w:t>
      </w:r>
    </w:p>
    <w:p w14:paraId="20DA711E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5FC41FE1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035BAD75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55115BF5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5AC7CBD3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52BD5876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647F0388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4F034ABF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511C71AB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2DE30605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0FB6D280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30711418" w14:textId="77777777" w:rsidR="00A379F7" w:rsidRDefault="00A379F7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3BD0D332" w14:textId="73B63736" w:rsidR="00780346" w:rsidRPr="00A379F7" w:rsidRDefault="00CC596D" w:rsidP="00A379F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  <w:r>
        <w:rPr>
          <w:rFonts w:ascii="Times New Roman" w:hAnsi="Times New Roman" w:cs="Times New Roman"/>
          <w:kern w:val="0"/>
          <w:sz w:val="23"/>
          <w:szCs w:val="23"/>
        </w:rPr>
        <w:lastRenderedPageBreak/>
        <w:t xml:space="preserve">3. </w:t>
      </w:r>
      <w:r w:rsidR="00780346">
        <w:rPr>
          <w:rFonts w:ascii="Times New Roman" w:hAnsi="Times New Roman" w:cs="Times New Roman"/>
          <w:kern w:val="0"/>
          <w:sz w:val="23"/>
          <w:szCs w:val="23"/>
        </w:rPr>
        <w:br/>
      </w:r>
      <w:r w:rsidR="00780346" w:rsidRPr="00780346">
        <w:rPr>
          <w:rFonts w:ascii="Times New Roman" w:hAnsi="Times New Roman" w:cs="Times New Roman"/>
          <w:kern w:val="0"/>
        </w:rPr>
        <w:t xml:space="preserve">In the study by Jackson, </w:t>
      </w:r>
      <w:proofErr w:type="spellStart"/>
      <w:r w:rsidR="00780346" w:rsidRPr="00780346">
        <w:rPr>
          <w:rFonts w:ascii="Times New Roman" w:hAnsi="Times New Roman" w:cs="Times New Roman"/>
          <w:kern w:val="0"/>
        </w:rPr>
        <w:t>Gangnon</w:t>
      </w:r>
      <w:proofErr w:type="spellEnd"/>
      <w:r w:rsidR="00780346" w:rsidRPr="00780346">
        <w:rPr>
          <w:rFonts w:ascii="Times New Roman" w:hAnsi="Times New Roman" w:cs="Times New Roman"/>
          <w:kern w:val="0"/>
        </w:rPr>
        <w:t>, Evans, et al (2008), to define the relationship between</w:t>
      </w:r>
    </w:p>
    <w:p w14:paraId="5542E66D" w14:textId="3784022E" w:rsidR="00780346" w:rsidRPr="00780346" w:rsidRDefault="00780346" w:rsidP="00780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780346">
        <w:rPr>
          <w:rFonts w:ascii="Times New Roman" w:hAnsi="Times New Roman" w:cs="Times New Roman"/>
          <w:kern w:val="0"/>
        </w:rPr>
        <w:t xml:space="preserve">exposure to HRV in early life and the development </w:t>
      </w:r>
      <w:r>
        <w:rPr>
          <w:rFonts w:ascii="Times New Roman" w:hAnsi="Times New Roman" w:cs="Times New Roman"/>
          <w:kern w:val="0"/>
        </w:rPr>
        <w:t xml:space="preserve">of </w:t>
      </w:r>
      <w:r w:rsidRPr="00780346">
        <w:rPr>
          <w:rFonts w:ascii="Times New Roman" w:hAnsi="Times New Roman" w:cs="Times New Roman"/>
          <w:kern w:val="0"/>
        </w:rPr>
        <w:t>childhood asthma, the 259 children</w:t>
      </w:r>
    </w:p>
    <w:p w14:paraId="4FE27F61" w14:textId="4A5503A4" w:rsidR="00E77BCD" w:rsidRDefault="00780346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780346">
        <w:rPr>
          <w:rFonts w:ascii="Times New Roman" w:hAnsi="Times New Roman" w:cs="Times New Roman"/>
          <w:kern w:val="0"/>
        </w:rPr>
        <w:t>were followed prospectively from birth to six years of age</w:t>
      </w:r>
      <w:r>
        <w:rPr>
          <w:rFonts w:ascii="Times New Roman" w:hAnsi="Times New Roman" w:cs="Times New Roman"/>
          <w:i/>
          <w:iCs/>
          <w:kern w:val="0"/>
        </w:rPr>
        <w:t>.</w:t>
      </w:r>
      <w:r w:rsidR="00B03705">
        <w:rPr>
          <w:rFonts w:ascii="Times New Roman" w:hAnsi="Times New Roman" w:cs="Times New Roman"/>
          <w:kern w:val="0"/>
          <w:sz w:val="23"/>
          <w:szCs w:val="23"/>
        </w:rPr>
        <w:br/>
      </w:r>
      <w:r w:rsidR="00B03705">
        <w:rPr>
          <w:rFonts w:hint="eastAsia"/>
          <w:noProof/>
        </w:rPr>
        <w:drawing>
          <wp:inline distT="0" distB="0" distL="0" distR="0" wp14:anchorId="47FB1B74" wp14:editId="5A16A2A3">
            <wp:extent cx="3731895" cy="2406195"/>
            <wp:effectExtent l="0" t="0" r="1905" b="0"/>
            <wp:docPr id="108084514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5141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766" cy="241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705">
        <w:rPr>
          <w:rFonts w:ascii="Times New Roman" w:hAnsi="Times New Roman" w:cs="Times New Roman"/>
          <w:kern w:val="0"/>
          <w:sz w:val="23"/>
          <w:szCs w:val="23"/>
        </w:rPr>
        <w:br/>
      </w:r>
      <w:r>
        <w:rPr>
          <w:rFonts w:ascii="Times New Roman" w:hAnsi="Times New Roman" w:cs="Times New Roman"/>
          <w:kern w:val="0"/>
          <w:sz w:val="23"/>
          <w:szCs w:val="23"/>
        </w:rPr>
        <w:t xml:space="preserve">(a) 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t>The risk of developing asthma in children who have HRV is 0.4667.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br/>
        <w:t xml:space="preserve">       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t xml:space="preserve">The risk of developing asthma in children who 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t xml:space="preserve">don’t 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t>have HRV is</w:t>
      </w:r>
      <w:r w:rsidR="00E77BCD">
        <w:rPr>
          <w:rFonts w:ascii="Times New Roman" w:hAnsi="Times New Roman" w:cs="Times New Roman"/>
          <w:kern w:val="0"/>
          <w:sz w:val="23"/>
          <w:szCs w:val="23"/>
        </w:rPr>
        <w:t xml:space="preserve"> 0.238</w:t>
      </w:r>
    </w:p>
    <w:p w14:paraId="27F83F9B" w14:textId="7B36E6E9" w:rsidR="00E77BCD" w:rsidRPr="00B03705" w:rsidRDefault="00780346" w:rsidP="0010549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kern w:val="0"/>
          <w:sz w:val="23"/>
          <w:szCs w:val="23"/>
        </w:rPr>
      </w:pPr>
      <w:r>
        <w:rPr>
          <w:rFonts w:ascii="Times New Roman" w:hAnsi="Times New Roman" w:cs="Times New Roman"/>
          <w:kern w:val="0"/>
          <w:sz w:val="23"/>
          <w:szCs w:val="23"/>
        </w:rPr>
        <w:t>(b)</w:t>
      </w:r>
      <w:r w:rsidR="00E77BCD" w:rsidRPr="00E77BCD">
        <w:rPr>
          <w:rFonts w:ascii="Times New Roman" w:hAnsi="Times New Roman" w:cs="Times New Roman"/>
          <w:kern w:val="0"/>
          <w:sz w:val="23"/>
          <w:szCs w:val="23"/>
        </w:rPr>
        <w:t xml:space="preserve"> </w:t>
      </w:r>
      <w:r w:rsidR="00A6178A">
        <w:rPr>
          <w:rFonts w:ascii="Times New Roman" w:hAnsi="Times New Roman" w:cs="Times New Roman"/>
          <w:kern w:val="0"/>
          <w:sz w:val="23"/>
          <w:szCs w:val="23"/>
        </w:rPr>
        <w:t>The risk of asthma, among children with HRV, is 1.96 times that of those without HRV</w:t>
      </w:r>
    </w:p>
    <w:p w14:paraId="380BDAC3" w14:textId="437052FC" w:rsidR="004265AB" w:rsidRDefault="00E77BCD" w:rsidP="00105493">
      <w:pPr>
        <w:spacing w:line="360" w:lineRule="auto"/>
        <w:rPr>
          <w:rFonts w:ascii="Times New Roman" w:hAnsi="Times New Roman" w:cs="Times New Roman"/>
        </w:rPr>
      </w:pPr>
      <w:r w:rsidRPr="00B03705">
        <w:rPr>
          <w:rFonts w:ascii="Times New Roman" w:hAnsi="Times New Roman" w:cs="Times New Roman"/>
          <w:kern w:val="0"/>
          <w:sz w:val="23"/>
          <w:szCs w:val="23"/>
        </w:rPr>
        <w:t xml:space="preserve">(95% CI 1.32– </w:t>
      </w:r>
      <w:r>
        <w:rPr>
          <w:rFonts w:ascii="Times New Roman" w:hAnsi="Times New Roman" w:cs="Times New Roman"/>
          <w:kern w:val="0"/>
          <w:sz w:val="23"/>
          <w:szCs w:val="23"/>
        </w:rPr>
        <w:t>2.90</w:t>
      </w:r>
      <w:r w:rsidRPr="00B03705">
        <w:rPr>
          <w:rFonts w:ascii="Times New Roman" w:hAnsi="Times New Roman" w:cs="Times New Roman"/>
          <w:kern w:val="0"/>
          <w:sz w:val="23"/>
          <w:szCs w:val="23"/>
        </w:rPr>
        <w:t>, p = 0.</w:t>
      </w:r>
      <w:r>
        <w:rPr>
          <w:rFonts w:ascii="Times New Roman" w:hAnsi="Times New Roman" w:cs="Times New Roman"/>
          <w:kern w:val="0"/>
          <w:sz w:val="23"/>
          <w:szCs w:val="23"/>
        </w:rPr>
        <w:t>0019</w:t>
      </w:r>
      <w:r w:rsidRPr="00B03705">
        <w:rPr>
          <w:rFonts w:ascii="Times New Roman" w:hAnsi="Times New Roman" w:cs="Times New Roman"/>
          <w:kern w:val="0"/>
          <w:sz w:val="23"/>
          <w:szCs w:val="23"/>
        </w:rPr>
        <w:t>).</w:t>
      </w:r>
      <w:r w:rsidR="00780346">
        <w:rPr>
          <w:rFonts w:ascii="Times New Roman" w:hAnsi="Times New Roman" w:cs="Times New Roman"/>
          <w:kern w:val="0"/>
          <w:sz w:val="23"/>
          <w:szCs w:val="23"/>
        </w:rPr>
        <w:br/>
        <w:t>(c)</w:t>
      </w:r>
      <w:r w:rsidRPr="00E77BCD">
        <w:t xml:space="preserve"> </w:t>
      </w:r>
      <w:r w:rsidRPr="00E77BCD">
        <w:rPr>
          <w:rFonts w:ascii="Times New Roman" w:hAnsi="Times New Roman" w:cs="Times New Roman"/>
        </w:rPr>
        <w:t xml:space="preserve">Because this is a </w:t>
      </w:r>
      <w:r w:rsidRPr="00E77BCD">
        <w:rPr>
          <w:rStyle w:val="Strong"/>
          <w:rFonts w:ascii="Times New Roman" w:hAnsi="Times New Roman" w:cs="Times New Roman"/>
          <w:b w:val="0"/>
          <w:bCs w:val="0"/>
        </w:rPr>
        <w:t>prospective cohort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study</w:t>
      </w:r>
      <w:r w:rsidRPr="00E77BCD">
        <w:rPr>
          <w:rFonts w:ascii="Times New Roman" w:hAnsi="Times New Roman" w:cs="Times New Roman"/>
        </w:rPr>
        <w:t xml:space="preserve">, the </w:t>
      </w:r>
      <w:r w:rsidRPr="00E77BCD">
        <w:rPr>
          <w:rStyle w:val="Strong"/>
          <w:rFonts w:ascii="Times New Roman" w:hAnsi="Times New Roman" w:cs="Times New Roman"/>
          <w:b w:val="0"/>
          <w:bCs w:val="0"/>
        </w:rPr>
        <w:t>risk ratio</w:t>
      </w:r>
      <w:r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E77BCD">
        <w:rPr>
          <w:rFonts w:ascii="Times New Roman" w:hAnsi="Times New Roman" w:cs="Times New Roman"/>
        </w:rPr>
        <w:t>is the more appropriate effect measure. RR is directly interpretable as a ratio of risks and is the natural measure for cohort studies.</w:t>
      </w:r>
      <w:r>
        <w:rPr>
          <w:rFonts w:ascii="Times New Roman" w:hAnsi="Times New Roman" w:cs="Times New Roman"/>
          <w:kern w:val="0"/>
          <w:sz w:val="23"/>
          <w:szCs w:val="23"/>
        </w:rPr>
        <w:br/>
        <w:t>(d) OR=2.8, RR=1.96</w:t>
      </w:r>
      <w:r>
        <w:t xml:space="preserve">. </w:t>
      </w:r>
      <w:r>
        <w:br/>
      </w:r>
      <w:r w:rsidR="00AF17FE" w:rsidRPr="00AF17FE">
        <w:rPr>
          <w:rStyle w:val="Strong"/>
          <w:rFonts w:ascii="Times New Roman" w:hAnsi="Times New Roman" w:cs="Times New Roman"/>
          <w:b w:val="0"/>
          <w:bCs w:val="0"/>
        </w:rPr>
        <w:t xml:space="preserve">(2.80 − 1.96)/1.96 </w:t>
      </w:r>
      <w:r w:rsidR="00AF17FE" w:rsidRPr="00AF17FE">
        <w:rPr>
          <w:rStyle w:val="Strong"/>
          <w:rFonts w:ascii="Times New Roman" w:hAnsi="Times New Roman" w:cs="Times New Roman"/>
          <w:b w:val="0"/>
          <w:bCs w:val="0"/>
        </w:rPr>
        <w:t xml:space="preserve">= about </w:t>
      </w:r>
      <w:r w:rsidR="00AF17FE" w:rsidRPr="00AF17FE">
        <w:rPr>
          <w:rStyle w:val="Strong"/>
          <w:rFonts w:ascii="Times New Roman" w:hAnsi="Times New Roman" w:cs="Times New Roman"/>
          <w:b w:val="0"/>
          <w:bCs w:val="0"/>
        </w:rPr>
        <w:t>43%</w:t>
      </w:r>
      <w:r w:rsidR="00AF17FE" w:rsidRPr="00AF17FE">
        <w:rPr>
          <w:rFonts w:ascii="Times New Roman" w:hAnsi="Times New Roman" w:cs="Times New Roman"/>
        </w:rPr>
        <w:t xml:space="preserve"> relative. </w:t>
      </w:r>
      <w:r w:rsidR="00AF17FE">
        <w:rPr>
          <w:rFonts w:ascii="Times New Roman" w:hAnsi="Times New Roman" w:cs="Times New Roman"/>
        </w:rPr>
        <w:t xml:space="preserve">However, </w:t>
      </w:r>
      <w:r w:rsidR="00AF17FE" w:rsidRPr="00AF17FE">
        <w:rPr>
          <w:rFonts w:ascii="Times New Roman" w:hAnsi="Times New Roman" w:cs="Times New Roman"/>
        </w:rPr>
        <w:t>the outcome is not rare (here 47% in exposed, 24% in unexposed). For common outcomes</w:t>
      </w:r>
      <w:r w:rsidR="00AF17FE" w:rsidRPr="00AF17FE">
        <w:rPr>
          <w:rFonts w:ascii="Times New Roman" w:hAnsi="Times New Roman" w:cs="Times New Roman"/>
        </w:rPr>
        <w:t>,</w:t>
      </w:r>
      <w:r w:rsidR="00AF17FE" w:rsidRPr="00AF17FE">
        <w:rPr>
          <w:rFonts w:ascii="Times New Roman" w:hAnsi="Times New Roman" w:cs="Times New Roman"/>
        </w:rPr>
        <w:t xml:space="preserve"> the OR departs from and is larger than the RR; for rare outcomes O</w:t>
      </w:r>
      <w:r w:rsidR="00AF17FE">
        <w:rPr>
          <w:rFonts w:ascii="Times New Roman" w:hAnsi="Times New Roman" w:cs="Times New Roman"/>
        </w:rPr>
        <w:t xml:space="preserve">R </w:t>
      </w:r>
      <w:r w:rsidR="005152C1">
        <w:rPr>
          <w:rFonts w:ascii="Times New Roman" w:hAnsi="Times New Roman" w:cs="Times New Roman"/>
        </w:rPr>
        <w:t xml:space="preserve">is </w:t>
      </w:r>
      <w:proofErr w:type="gramStart"/>
      <w:r w:rsidR="005152C1">
        <w:rPr>
          <w:rFonts w:ascii="Times New Roman" w:hAnsi="Times New Roman" w:cs="Times New Roman"/>
        </w:rPr>
        <w:t>similar to</w:t>
      </w:r>
      <w:proofErr w:type="gramEnd"/>
      <w:r w:rsidR="005152C1">
        <w:rPr>
          <w:rFonts w:ascii="Times New Roman" w:hAnsi="Times New Roman" w:cs="Times New Roman"/>
        </w:rPr>
        <w:t xml:space="preserve"> the</w:t>
      </w:r>
      <w:r w:rsidR="00AF17FE">
        <w:rPr>
          <w:rFonts w:ascii="Times New Roman" w:hAnsi="Times New Roman" w:cs="Times New Roman"/>
        </w:rPr>
        <w:t xml:space="preserve"> </w:t>
      </w:r>
      <w:r w:rsidR="00AF17FE" w:rsidRPr="00AF17FE">
        <w:rPr>
          <w:rFonts w:ascii="Times New Roman" w:hAnsi="Times New Roman" w:cs="Times New Roman"/>
        </w:rPr>
        <w:t>RR.</w:t>
      </w:r>
      <w:r w:rsidR="00A6178A">
        <w:rPr>
          <w:rFonts w:ascii="Times New Roman" w:hAnsi="Times New Roman" w:cs="Times New Roman"/>
        </w:rPr>
        <w:br/>
      </w:r>
    </w:p>
    <w:p w14:paraId="46CBA920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7E046D6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DE86B2C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507E064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566D0A0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5EE384E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137A70F3" w14:textId="77777777" w:rsidR="004265AB" w:rsidRDefault="004265AB" w:rsidP="004265A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sectPr w:rsidR="00426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B6"/>
    <w:rsid w:val="0001527F"/>
    <w:rsid w:val="00030520"/>
    <w:rsid w:val="00036C13"/>
    <w:rsid w:val="0006034F"/>
    <w:rsid w:val="00061D92"/>
    <w:rsid w:val="00062C67"/>
    <w:rsid w:val="000B15AF"/>
    <w:rsid w:val="000D0073"/>
    <w:rsid w:val="000E6197"/>
    <w:rsid w:val="000F3CDC"/>
    <w:rsid w:val="00105493"/>
    <w:rsid w:val="00110D0A"/>
    <w:rsid w:val="00115628"/>
    <w:rsid w:val="00122620"/>
    <w:rsid w:val="00124664"/>
    <w:rsid w:val="00156AC1"/>
    <w:rsid w:val="00162C5C"/>
    <w:rsid w:val="0017292D"/>
    <w:rsid w:val="00183991"/>
    <w:rsid w:val="001C0921"/>
    <w:rsid w:val="001E002F"/>
    <w:rsid w:val="001E01CF"/>
    <w:rsid w:val="001E3F82"/>
    <w:rsid w:val="00244B84"/>
    <w:rsid w:val="002805BB"/>
    <w:rsid w:val="00294A8D"/>
    <w:rsid w:val="002B1836"/>
    <w:rsid w:val="003553B4"/>
    <w:rsid w:val="003E6846"/>
    <w:rsid w:val="003F74A3"/>
    <w:rsid w:val="00416166"/>
    <w:rsid w:val="00423A15"/>
    <w:rsid w:val="004265AB"/>
    <w:rsid w:val="004B088A"/>
    <w:rsid w:val="004B67FF"/>
    <w:rsid w:val="004B720B"/>
    <w:rsid w:val="004C292F"/>
    <w:rsid w:val="004F0344"/>
    <w:rsid w:val="004F21BE"/>
    <w:rsid w:val="005152C1"/>
    <w:rsid w:val="00537969"/>
    <w:rsid w:val="00541FAF"/>
    <w:rsid w:val="0055531B"/>
    <w:rsid w:val="00563B1B"/>
    <w:rsid w:val="00564CB6"/>
    <w:rsid w:val="00565F27"/>
    <w:rsid w:val="005948C4"/>
    <w:rsid w:val="005E5F2F"/>
    <w:rsid w:val="00683D14"/>
    <w:rsid w:val="006B3B89"/>
    <w:rsid w:val="006F0334"/>
    <w:rsid w:val="006F1328"/>
    <w:rsid w:val="006F7C71"/>
    <w:rsid w:val="00716A75"/>
    <w:rsid w:val="00717119"/>
    <w:rsid w:val="007428CA"/>
    <w:rsid w:val="00750C48"/>
    <w:rsid w:val="0076299E"/>
    <w:rsid w:val="00767EBA"/>
    <w:rsid w:val="00780346"/>
    <w:rsid w:val="00786AEC"/>
    <w:rsid w:val="007A1415"/>
    <w:rsid w:val="007C3BCE"/>
    <w:rsid w:val="00816C24"/>
    <w:rsid w:val="00903D05"/>
    <w:rsid w:val="00911C74"/>
    <w:rsid w:val="00914B23"/>
    <w:rsid w:val="00915E79"/>
    <w:rsid w:val="0094404A"/>
    <w:rsid w:val="00953F6C"/>
    <w:rsid w:val="009A4838"/>
    <w:rsid w:val="009B0030"/>
    <w:rsid w:val="00A379F7"/>
    <w:rsid w:val="00A426F9"/>
    <w:rsid w:val="00A6178A"/>
    <w:rsid w:val="00A71299"/>
    <w:rsid w:val="00A7410D"/>
    <w:rsid w:val="00AC14E2"/>
    <w:rsid w:val="00AF17FE"/>
    <w:rsid w:val="00B02BD9"/>
    <w:rsid w:val="00B03705"/>
    <w:rsid w:val="00B306A7"/>
    <w:rsid w:val="00B80E10"/>
    <w:rsid w:val="00C026F2"/>
    <w:rsid w:val="00C0796E"/>
    <w:rsid w:val="00CC596D"/>
    <w:rsid w:val="00CE5F3E"/>
    <w:rsid w:val="00D21C3D"/>
    <w:rsid w:val="00D31B55"/>
    <w:rsid w:val="00D3340A"/>
    <w:rsid w:val="00D424AE"/>
    <w:rsid w:val="00D5514B"/>
    <w:rsid w:val="00D732AB"/>
    <w:rsid w:val="00DA6BFC"/>
    <w:rsid w:val="00E22250"/>
    <w:rsid w:val="00E46DA2"/>
    <w:rsid w:val="00E77BCD"/>
    <w:rsid w:val="00E86832"/>
    <w:rsid w:val="00E90FFE"/>
    <w:rsid w:val="00EA124E"/>
    <w:rsid w:val="00EC215D"/>
    <w:rsid w:val="00F13101"/>
    <w:rsid w:val="00F3501E"/>
    <w:rsid w:val="00F642D9"/>
    <w:rsid w:val="00F81CED"/>
    <w:rsid w:val="00FD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5665E"/>
  <w15:chartTrackingRefBased/>
  <w15:docId w15:val="{AAA0EE79-3E16-A443-8A7A-5E65DE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4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7B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DB25D3-C4BD-B441-AA6E-469A3DEB9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212</Words>
  <Characters>1302</Characters>
  <Application>Microsoft Office Word</Application>
  <DocSecurity>0</DocSecurity>
  <Lines>22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Fang-Yu</dc:creator>
  <cp:keywords/>
  <dc:description/>
  <cp:lastModifiedBy>Lin Fang-Yu</cp:lastModifiedBy>
  <cp:revision>13</cp:revision>
  <dcterms:created xsi:type="dcterms:W3CDTF">2025-10-25T02:12:00Z</dcterms:created>
  <dcterms:modified xsi:type="dcterms:W3CDTF">2025-10-25T06:52:00Z</dcterms:modified>
</cp:coreProperties>
</file>