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ED19" w14:textId="713E5AE2" w:rsidR="00C01A90" w:rsidRPr="00C01A90" w:rsidRDefault="00C01A90" w:rsidP="00D503BD">
      <w:pPr>
        <w:pStyle w:val="Default"/>
        <w:spacing w:line="360" w:lineRule="auto"/>
      </w:pPr>
      <w:r>
        <w:rPr>
          <w:sz w:val="23"/>
          <w:szCs w:val="23"/>
        </w:rPr>
        <w:t xml:space="preserve">A </w:t>
      </w:r>
      <w:proofErr w:type="spellStart"/>
      <w:r>
        <w:rPr>
          <w:sz w:val="23"/>
          <w:szCs w:val="23"/>
        </w:rPr>
        <w:t>randomised</w:t>
      </w:r>
      <w:proofErr w:type="spellEnd"/>
      <w:r>
        <w:rPr>
          <w:sz w:val="23"/>
          <w:szCs w:val="23"/>
        </w:rPr>
        <w:t xml:space="preserve"> </w:t>
      </w:r>
      <w:r w:rsidR="00C32C8D">
        <w:rPr>
          <w:sz w:val="23"/>
          <w:szCs w:val="23"/>
        </w:rPr>
        <w:t>double-blind</w:t>
      </w:r>
      <w:r>
        <w:rPr>
          <w:sz w:val="23"/>
          <w:szCs w:val="23"/>
        </w:rPr>
        <w:t xml:space="preserve"> cross-over trial was carried out to evaluate a new steroid inhaler for the treatment of asthma in adults. The trial plan was to assign patients randomly either to </w:t>
      </w:r>
      <w:r w:rsidR="00D503BD">
        <w:rPr>
          <w:sz w:val="23"/>
          <w:szCs w:val="23"/>
        </w:rPr>
        <w:t xml:space="preserve">the </w:t>
      </w:r>
      <w:r>
        <w:rPr>
          <w:sz w:val="23"/>
          <w:szCs w:val="23"/>
        </w:rPr>
        <w:t xml:space="preserve">Standard Inhaler followed by </w:t>
      </w:r>
      <w:r w:rsidR="00D503BD">
        <w:rPr>
          <w:sz w:val="23"/>
          <w:szCs w:val="23"/>
        </w:rPr>
        <w:t xml:space="preserve">the </w:t>
      </w:r>
      <w:r>
        <w:rPr>
          <w:sz w:val="23"/>
          <w:szCs w:val="23"/>
        </w:rPr>
        <w:t xml:space="preserve">New Inhaler or vice versa. Each patient measured his peak expiratory flow rate (PEFR in l/min) every evening at 7 pm. The mean PEFR for 14 days was recorded for each inhaler. Using the data </w:t>
      </w:r>
      <w:proofErr w:type="spellStart"/>
      <w:r>
        <w:rPr>
          <w:b/>
          <w:bCs/>
          <w:i/>
          <w:iCs/>
          <w:sz w:val="23"/>
          <w:szCs w:val="23"/>
        </w:rPr>
        <w:t>pefr.dta</w:t>
      </w:r>
      <w:proofErr w:type="spellEnd"/>
      <w:r>
        <w:rPr>
          <w:sz w:val="23"/>
          <w:szCs w:val="23"/>
        </w:rPr>
        <w:t xml:space="preserve">, </w:t>
      </w:r>
    </w:p>
    <w:p w14:paraId="35F48AF6" w14:textId="77777777" w:rsidR="00C01A90" w:rsidRDefault="00C01A90" w:rsidP="00C01A90">
      <w:pPr>
        <w:pStyle w:val="Default"/>
        <w:rPr>
          <w:sz w:val="23"/>
          <w:szCs w:val="23"/>
        </w:rPr>
      </w:pPr>
    </w:p>
    <w:p w14:paraId="0183BFA9" w14:textId="5A015228" w:rsidR="00C01A90" w:rsidRDefault="00C01A90" w:rsidP="00C01A9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a. Is there any difference in mean PEFR between the New and Standard inhalers? </w:t>
      </w:r>
      <w:r>
        <w:rPr>
          <w:sz w:val="23"/>
          <w:szCs w:val="23"/>
        </w:rPr>
        <w:br/>
      </w:r>
      <w:r>
        <w:rPr>
          <w:noProof/>
          <w:sz w:val="23"/>
          <w:szCs w:val="23"/>
        </w:rPr>
        <w:drawing>
          <wp:inline distT="0" distB="0" distL="0" distR="0" wp14:anchorId="7FB9B386" wp14:editId="0B2D9AEF">
            <wp:extent cx="6462395" cy="2818130"/>
            <wp:effectExtent l="0" t="0" r="1905" b="1270"/>
            <wp:docPr id="129063815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38157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239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6407" w14:textId="77777777" w:rsidR="00C01A90" w:rsidRDefault="00C01A90" w:rsidP="00C01A90">
      <w:pPr>
        <w:pStyle w:val="Default"/>
        <w:rPr>
          <w:sz w:val="23"/>
          <w:szCs w:val="23"/>
        </w:rPr>
      </w:pPr>
    </w:p>
    <w:p w14:paraId="11762BC6" w14:textId="77777777" w:rsidR="00C01A90" w:rsidRDefault="00C01A90" w:rsidP="00C01A9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b. Is it possible that any treatment difference in PEFR may depend on which inhaler is given first? </w:t>
      </w:r>
    </w:p>
    <w:p w14:paraId="006F0E24" w14:textId="35C78937" w:rsidR="00C01A90" w:rsidRDefault="00C01A90" w:rsidP="00C01A90">
      <w:pPr>
        <w:pStyle w:val="Default"/>
      </w:pPr>
      <w:r>
        <w:br/>
      </w:r>
      <w:r w:rsidR="004D5240">
        <w:rPr>
          <w:noProof/>
        </w:rPr>
        <w:drawing>
          <wp:inline distT="0" distB="0" distL="0" distR="0" wp14:anchorId="15ABDB6F" wp14:editId="593F290C">
            <wp:extent cx="4528969" cy="2078689"/>
            <wp:effectExtent l="0" t="0" r="5080" b="4445"/>
            <wp:docPr id="13704682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6825" name="Picture 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964" cy="20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240">
        <w:br/>
      </w:r>
      <w:r w:rsidR="004D5240">
        <w:rPr>
          <w:noProof/>
        </w:rPr>
        <w:lastRenderedPageBreak/>
        <w:drawing>
          <wp:inline distT="0" distB="0" distL="0" distR="0" wp14:anchorId="2AC6E91E" wp14:editId="65C532EA">
            <wp:extent cx="4378362" cy="2152396"/>
            <wp:effectExtent l="0" t="0" r="3175" b="0"/>
            <wp:docPr id="82379537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95372" name="Picture 5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046" cy="216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F7E2706" w14:textId="1DA55C40" w:rsidR="00C01A90" w:rsidRDefault="00C01A90" w:rsidP="00C01A9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2. The data </w:t>
      </w:r>
      <w:proofErr w:type="spellStart"/>
      <w:r>
        <w:rPr>
          <w:b/>
          <w:bCs/>
          <w:i/>
          <w:iCs/>
          <w:sz w:val="23"/>
          <w:szCs w:val="23"/>
        </w:rPr>
        <w:t>AF.dta</w:t>
      </w:r>
      <w:proofErr w:type="spellEnd"/>
      <w:r>
        <w:rPr>
          <w:b/>
          <w:bCs/>
          <w:i/>
          <w:iCs/>
          <w:sz w:val="23"/>
          <w:szCs w:val="23"/>
        </w:rPr>
        <w:t xml:space="preserve"> </w:t>
      </w:r>
      <w:r>
        <w:rPr>
          <w:sz w:val="23"/>
          <w:szCs w:val="23"/>
        </w:rPr>
        <w:t xml:space="preserve">contains information on ventricular rate of 152 cases with lone atrial fibrillation (LAF). LAF is known to be familial in at least 15% of cases, and hence the information on family history (1=Yes, 0=No) was also recorded. </w:t>
      </w:r>
    </w:p>
    <w:p w14:paraId="40F06FE4" w14:textId="77777777" w:rsidR="00C01A90" w:rsidRDefault="00C01A90" w:rsidP="00C01A90">
      <w:pPr>
        <w:pStyle w:val="Default"/>
        <w:rPr>
          <w:sz w:val="23"/>
          <w:szCs w:val="23"/>
        </w:rPr>
      </w:pPr>
    </w:p>
    <w:p w14:paraId="65ABEC41" w14:textId="1BC7C40B" w:rsidR="00C01A90" w:rsidRDefault="00C01A90" w:rsidP="00C01A9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a. </w:t>
      </w:r>
      <w:r w:rsidR="006A150E">
        <w:rPr>
          <w:sz w:val="23"/>
          <w:szCs w:val="23"/>
        </w:rPr>
        <w:t>Summarize</w:t>
      </w:r>
      <w:r>
        <w:rPr>
          <w:sz w:val="23"/>
          <w:szCs w:val="23"/>
        </w:rPr>
        <w:t xml:space="preserve"> </w:t>
      </w:r>
      <w:r w:rsidR="006A150E">
        <w:rPr>
          <w:sz w:val="23"/>
          <w:szCs w:val="23"/>
        </w:rPr>
        <w:t xml:space="preserve">the </w:t>
      </w:r>
      <w:r>
        <w:rPr>
          <w:sz w:val="23"/>
          <w:szCs w:val="23"/>
        </w:rPr>
        <w:t xml:space="preserve">ventricular rate of cases by family history. </w:t>
      </w:r>
    </w:p>
    <w:p w14:paraId="0F9369DC" w14:textId="0E116777" w:rsidR="00C01A90" w:rsidRDefault="00540FC3" w:rsidP="00C01A90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753E90CF" wp14:editId="09BAFE94">
            <wp:extent cx="4356847" cy="1822452"/>
            <wp:effectExtent l="0" t="0" r="0" b="0"/>
            <wp:docPr id="46384511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45119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360" cy="18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</w:rPr>
        <w:br/>
      </w:r>
      <w:r>
        <w:rPr>
          <w:sz w:val="23"/>
          <w:szCs w:val="23"/>
        </w:rPr>
        <w:br/>
      </w:r>
    </w:p>
    <w:p w14:paraId="2550D425" w14:textId="4E6EAEF9" w:rsidR="00C01A90" w:rsidRDefault="00C01A90" w:rsidP="00C01A9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b. Obtain a histogram of ventricular rate by family history. Is it reasonable to assume that the underlying populations are normally distributed? </w:t>
      </w:r>
    </w:p>
    <w:p w14:paraId="28E76443" w14:textId="57E477AA" w:rsidR="00C01A90" w:rsidRDefault="00540FC3" w:rsidP="00C01A90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678DF7BB" wp14:editId="06912812">
            <wp:extent cx="4902536" cy="2065164"/>
            <wp:effectExtent l="0" t="0" r="0" b="5080"/>
            <wp:docPr id="167829013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90134" name="Picture 8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776" cy="207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</w:rPr>
        <w:br/>
      </w:r>
    </w:p>
    <w:p w14:paraId="152E6EFD" w14:textId="75FBD0F9" w:rsidR="00922541" w:rsidRDefault="00611103" w:rsidP="00C01A90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 wp14:anchorId="588CD8E7" wp14:editId="2E6A027E">
            <wp:extent cx="4343400" cy="3162300"/>
            <wp:effectExtent l="0" t="0" r="5080" b="2540"/>
            <wp:docPr id="191075918" name="Picture 7" descr="A graph of a normal venti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5918" name="Picture 7" descr="A graph of a normal ventilato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297E" w14:textId="59A5084D" w:rsidR="00C01A90" w:rsidRDefault="00C01A90" w:rsidP="00C01A9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c. Are the assumptions of the </w:t>
      </w:r>
      <w:r>
        <w:rPr>
          <w:i/>
          <w:iCs/>
          <w:sz w:val="23"/>
          <w:szCs w:val="23"/>
        </w:rPr>
        <w:t>t</w:t>
      </w:r>
      <w:r>
        <w:rPr>
          <w:sz w:val="23"/>
          <w:szCs w:val="23"/>
        </w:rPr>
        <w:t xml:space="preserve">-test valid? </w:t>
      </w:r>
      <w:r w:rsidR="00922541">
        <w:rPr>
          <w:sz w:val="23"/>
          <w:szCs w:val="23"/>
        </w:rPr>
        <w:br/>
      </w:r>
      <w:r w:rsidR="00922541">
        <w:rPr>
          <w:sz w:val="23"/>
          <w:szCs w:val="23"/>
        </w:rPr>
        <w:br/>
      </w:r>
    </w:p>
    <w:p w14:paraId="648AA7BB" w14:textId="0FBF79A3" w:rsidR="00C01A90" w:rsidRDefault="00922541" w:rsidP="00C01A90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3FAA1025" wp14:editId="7A3A428A">
            <wp:extent cx="4343400" cy="3162300"/>
            <wp:effectExtent l="0" t="0" r="0" b="0"/>
            <wp:docPr id="964359733" name="Picture 9" descr="A graph of normal and norm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59733" name="Picture 9" descr="A graph of normal and norma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8C6C" w14:textId="77777777" w:rsidR="00C01A90" w:rsidRDefault="00C01A90" w:rsidP="00C01A9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d. By applying log transformation to the data, are the assumptions of the </w:t>
      </w:r>
      <w:r>
        <w:rPr>
          <w:i/>
          <w:iCs/>
          <w:sz w:val="23"/>
          <w:szCs w:val="23"/>
        </w:rPr>
        <w:t>t</w:t>
      </w:r>
      <w:r>
        <w:rPr>
          <w:sz w:val="23"/>
          <w:szCs w:val="23"/>
        </w:rPr>
        <w:t xml:space="preserve">-test now valid? Calculate the geometric mean for each group and interpret the results of your analysis </w:t>
      </w:r>
    </w:p>
    <w:p w14:paraId="1A79A3FB" w14:textId="289E29AC" w:rsidR="00B02BD9" w:rsidRDefault="00922541">
      <w:r>
        <w:lastRenderedPageBreak/>
        <w:br/>
      </w:r>
      <w:r w:rsidR="004F0E66">
        <w:rPr>
          <w:noProof/>
          <w:sz w:val="23"/>
          <w:szCs w:val="23"/>
        </w:rPr>
        <w:drawing>
          <wp:inline distT="0" distB="0" distL="0" distR="0" wp14:anchorId="469F14EB" wp14:editId="00318392">
            <wp:extent cx="6462395" cy="2816860"/>
            <wp:effectExtent l="0" t="0" r="1905" b="2540"/>
            <wp:docPr id="107305926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59260" name="Picture 10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239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0E66">
        <w:br/>
      </w:r>
      <w:r w:rsidR="004F0E66">
        <w:br/>
      </w:r>
      <w:r w:rsidR="004F0E66" w:rsidRPr="00C078B9">
        <w:rPr>
          <w:rFonts w:ascii="Times New Roman" w:hAnsi="Times New Roman" w:cs="Times New Roman"/>
          <w:highlight w:val="yellow"/>
        </w:rPr>
        <w:t>geometric:</w:t>
      </w:r>
      <w:r w:rsidR="004F0E66">
        <w:t xml:space="preserve"> </w:t>
      </w:r>
      <w:r w:rsidR="004F0E66">
        <w:br/>
      </w:r>
      <w:r w:rsidR="00C078B9">
        <w:rPr>
          <w:noProof/>
        </w:rPr>
        <w:drawing>
          <wp:inline distT="0" distB="0" distL="0" distR="0" wp14:anchorId="56B174EA" wp14:editId="7DAF7524">
            <wp:extent cx="3244626" cy="1630851"/>
            <wp:effectExtent l="0" t="0" r="0" b="0"/>
            <wp:docPr id="372140801" name="Picture 11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40801" name="Picture 11" descr="A number and numbers on a white backgroun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18" cy="164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BD9" w:rsidSect="00C01A90">
      <w:pgSz w:w="12240" w:h="16340"/>
      <w:pgMar w:top="1859" w:right="854" w:bottom="649" w:left="120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BD"/>
    <w:rsid w:val="0001527F"/>
    <w:rsid w:val="00030520"/>
    <w:rsid w:val="00036C13"/>
    <w:rsid w:val="0006034F"/>
    <w:rsid w:val="00062C67"/>
    <w:rsid w:val="000B15AF"/>
    <w:rsid w:val="000D0073"/>
    <w:rsid w:val="000E6197"/>
    <w:rsid w:val="000F3CDC"/>
    <w:rsid w:val="00110D0A"/>
    <w:rsid w:val="00115628"/>
    <w:rsid w:val="00122620"/>
    <w:rsid w:val="00124664"/>
    <w:rsid w:val="00156AC1"/>
    <w:rsid w:val="00162C5C"/>
    <w:rsid w:val="0017292D"/>
    <w:rsid w:val="00183991"/>
    <w:rsid w:val="001C0921"/>
    <w:rsid w:val="001E002F"/>
    <w:rsid w:val="001E01CF"/>
    <w:rsid w:val="001E3F82"/>
    <w:rsid w:val="002805BB"/>
    <w:rsid w:val="00294A8D"/>
    <w:rsid w:val="002B1836"/>
    <w:rsid w:val="00316C78"/>
    <w:rsid w:val="003553B4"/>
    <w:rsid w:val="003E6846"/>
    <w:rsid w:val="003F74A3"/>
    <w:rsid w:val="00416166"/>
    <w:rsid w:val="00423A15"/>
    <w:rsid w:val="004B088A"/>
    <w:rsid w:val="004B67FF"/>
    <w:rsid w:val="004B720B"/>
    <w:rsid w:val="004D5240"/>
    <w:rsid w:val="004F0344"/>
    <w:rsid w:val="004F0E66"/>
    <w:rsid w:val="004F21BE"/>
    <w:rsid w:val="00537969"/>
    <w:rsid w:val="00540FC3"/>
    <w:rsid w:val="00541FAF"/>
    <w:rsid w:val="0055531B"/>
    <w:rsid w:val="00563B1B"/>
    <w:rsid w:val="00565F27"/>
    <w:rsid w:val="005948C4"/>
    <w:rsid w:val="005E5F2F"/>
    <w:rsid w:val="00611103"/>
    <w:rsid w:val="00683D14"/>
    <w:rsid w:val="006A150E"/>
    <w:rsid w:val="006B3B89"/>
    <w:rsid w:val="006F0334"/>
    <w:rsid w:val="006F1328"/>
    <w:rsid w:val="006F7C71"/>
    <w:rsid w:val="00717119"/>
    <w:rsid w:val="00750C48"/>
    <w:rsid w:val="00767EBA"/>
    <w:rsid w:val="00786AEC"/>
    <w:rsid w:val="007A1415"/>
    <w:rsid w:val="007C3BCE"/>
    <w:rsid w:val="00816C24"/>
    <w:rsid w:val="00903D05"/>
    <w:rsid w:val="00910237"/>
    <w:rsid w:val="00914B23"/>
    <w:rsid w:val="00915E79"/>
    <w:rsid w:val="00922541"/>
    <w:rsid w:val="0094404A"/>
    <w:rsid w:val="00953F6C"/>
    <w:rsid w:val="009A4838"/>
    <w:rsid w:val="009B0030"/>
    <w:rsid w:val="00A426F9"/>
    <w:rsid w:val="00A71299"/>
    <w:rsid w:val="00A7410D"/>
    <w:rsid w:val="00AA2976"/>
    <w:rsid w:val="00AC14E2"/>
    <w:rsid w:val="00AF2ABD"/>
    <w:rsid w:val="00B02BD9"/>
    <w:rsid w:val="00B306A7"/>
    <w:rsid w:val="00B80E10"/>
    <w:rsid w:val="00C01A90"/>
    <w:rsid w:val="00C026F2"/>
    <w:rsid w:val="00C078B9"/>
    <w:rsid w:val="00C0796E"/>
    <w:rsid w:val="00C32C8D"/>
    <w:rsid w:val="00CE5F3E"/>
    <w:rsid w:val="00D21C3D"/>
    <w:rsid w:val="00D3340A"/>
    <w:rsid w:val="00D424AE"/>
    <w:rsid w:val="00D503BD"/>
    <w:rsid w:val="00D5514B"/>
    <w:rsid w:val="00D732AB"/>
    <w:rsid w:val="00DA6BFC"/>
    <w:rsid w:val="00E22250"/>
    <w:rsid w:val="00E46DA2"/>
    <w:rsid w:val="00E86832"/>
    <w:rsid w:val="00E90FFE"/>
    <w:rsid w:val="00EA124E"/>
    <w:rsid w:val="00EC215D"/>
    <w:rsid w:val="00F13101"/>
    <w:rsid w:val="00F3501E"/>
    <w:rsid w:val="00F642D9"/>
    <w:rsid w:val="00F81CED"/>
    <w:rsid w:val="00FD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0DB6A"/>
  <w15:chartTrackingRefBased/>
  <w15:docId w15:val="{2C660658-B332-4B41-943A-B6F85ECF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AB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01A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Fang-Yu</dc:creator>
  <cp:keywords/>
  <dc:description/>
  <cp:lastModifiedBy>Lin Fang-Yu</cp:lastModifiedBy>
  <cp:revision>19</cp:revision>
  <dcterms:created xsi:type="dcterms:W3CDTF">2025-10-11T02:45:00Z</dcterms:created>
  <dcterms:modified xsi:type="dcterms:W3CDTF">2025-10-11T07:49:00Z</dcterms:modified>
</cp:coreProperties>
</file>