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color w:val="1F3864"/>
          <w:sz w:val="60"/>
        </w:rPr>
        <w:t>Mobility Global Inc.</w:t>
      </w:r>
    </w:p>
    <w:p>
      <w:r>
        <w:rPr>
          <w:color w:val="595959"/>
          <w:sz w:val="26"/>
        </w:rPr>
        <w:t>NYSE: MBGL  ·  Automotive data &amp; analytics</w:t>
      </w:r>
    </w:p>
    <w:p>
      <w:pPr>
        <w:spacing w:before="360"/>
      </w:pPr>
      <w:r>
        <w:rPr>
          <w:b/>
          <w:color w:val="1F3864"/>
          <w:sz w:val="36"/>
        </w:rPr>
        <w:t>Initiation research document (Part E)</w:t>
      </w:r>
    </w:p>
    <w:p>
      <w:r>
        <w:rPr>
          <w:color w:val="595959"/>
          <w:sz w:val="22"/>
        </w:rPr>
        <w:t>Business, moat, unit economics, financial history, guidance credibility, incentives and risks</w:t>
      </w:r>
    </w:p>
    <w:p>
      <w:pPr>
        <w:spacing w:before="480"/>
      </w:pPr>
      <w:r>
        <w:rPr>
          <w:b/>
          <w:sz w:val="22"/>
        </w:rPr>
        <w:t>Date: 2026-10-06</w:t>
      </w:r>
    </w:p>
    <w:p>
      <w:r>
        <w:rPr>
          <w:i/>
          <w:sz w:val="20"/>
        </w:rPr>
        <w:t>Prepared from primary filings via Quartr; see source limitations (Appendix A).</w:t>
      </w:r>
    </w:p>
    <w:p/>
    <w:tbl>
      <w:tblPr>
        <w:tblW w:type="auto" w:w="0"/>
        <w:jc w:val="center"/>
        <w:tblLook w:firstColumn="1" w:firstRow="1" w:lastColumn="0" w:lastRow="0" w:noHBand="0" w:noVBand="1" w:val="04A0"/>
        <w:tblBorders>
          <w:top w:val="nil" w:sz="0" w:space="0" w:color="auto"/>
          <w:left w:val="single" w:sz="24" w:space="0" w:color="1F3864"/>
          <w:bottom w:val="nil" w:sz="0" w:space="0" w:color="auto"/>
          <w:right w:val="nil" w:sz="0" w:space="0" w:color="auto"/>
          <w:insideH w:val="nil" w:sz="0" w:space="0" w:color="auto"/>
          <w:insideV w:val="nil" w:sz="0" w:space="0" w:color="auto"/>
        </w:tblBorders>
        <w:tblCellMar>
          <w:top w:w="90" w:type="dxa"/>
          <w:left w:w="160" w:type="dxa"/>
          <w:bottom w:w="90" w:type="dxa"/>
          <w:right w:w="120" w:type="dxa"/>
        </w:tblCellMar>
      </w:tblPr>
      <w:tblGrid>
        <w:gridCol w:w="8928"/>
      </w:tblGrid>
      <w:tr>
        <w:trPr>
          <w:cantSplit/>
        </w:trPr>
        <w:tc>
          <w:tcPr>
            <w:tcW w:type="dxa" w:w="8928"/>
            <w:shd w:val="clear" w:color="auto" w:fill="F7F9FC"/>
          </w:tcPr>
          <w:p>
            <w:pPr>
              <w:spacing w:after="0"/>
            </w:pPr>
            <w:r>
              <w:rPr>
                <w:b/>
                <w:color w:val="1F3864"/>
                <w:sz w:val="19"/>
              </w:rPr>
              <w:t>How to read this document</w:t>
            </w:r>
            <w:r>
              <w:br/>
            </w:r>
            <w:r>
              <w:rPr>
                <w:b w:val="0"/>
                <w:i w:val="0"/>
                <w:sz w:val="17"/>
              </w:rPr>
              <w:t xml:space="preserve">Every figure carries a tier tag: </w:t>
            </w:r>
            <w:r>
              <w:rPr>
                <w:b/>
                <w:color w:val="2E548C"/>
                <w:sz w:val="14"/>
              </w:rPr>
              <w:t>[D]</w:t>
            </w:r>
            <w:r>
              <w:rPr>
                <w:b w:val="0"/>
                <w:i w:val="0"/>
                <w:sz w:val="17"/>
              </w:rPr>
              <w:t xml:space="preserve"> disclosed in a filing or company deck · </w:t>
            </w:r>
            <w:r>
              <w:rPr>
                <w:b/>
                <w:color w:val="2E548C"/>
                <w:sz w:val="14"/>
              </w:rPr>
              <w:t>[C]</w:t>
            </w:r>
            <w:r>
              <w:rPr>
                <w:b w:val="0"/>
                <w:i w:val="0"/>
                <w:sz w:val="17"/>
              </w:rPr>
              <w:t xml:space="preserve"> computed by us from disclosed inputs (method stated) · </w:t>
            </w:r>
            <w:r>
              <w:rPr>
                <w:b/>
                <w:color w:val="2E548C"/>
                <w:sz w:val="14"/>
              </w:rPr>
              <w:t>[E]</w:t>
            </w:r>
            <w:r>
              <w:rPr>
                <w:b w:val="0"/>
                <w:i w:val="0"/>
                <w:sz w:val="17"/>
              </w:rPr>
              <w:t xml:space="preserve"> our estimate (assumption stated) · </w:t>
            </w:r>
            <w:r>
              <w:rPr>
                <w:b/>
                <w:color w:val="2E548C"/>
                <w:sz w:val="14"/>
              </w:rPr>
              <w:t>[IR]</w:t>
            </w:r>
            <w:r>
              <w:rPr>
                <w:b w:val="0"/>
                <w:i w:val="0"/>
                <w:sz w:val="17"/>
              </w:rPr>
              <w:t xml:space="preserve"> management verbal statement · </w:t>
            </w:r>
            <w:r>
              <w:rPr>
                <w:b/>
                <w:color w:val="2E548C"/>
                <w:sz w:val="14"/>
              </w:rPr>
              <w:t>[X]</w:t>
            </w:r>
            <w:r>
              <w:rPr>
                <w:b w:val="0"/>
                <w:i w:val="0"/>
                <w:sz w:val="17"/>
              </w:rPr>
              <w:t xml:space="preserve"> third party · </w:t>
            </w:r>
            <w:r>
              <w:rPr>
                <w:b/>
                <w:color w:val="2E548C"/>
                <w:sz w:val="14"/>
              </w:rPr>
              <w:t>[context]</w:t>
            </w:r>
            <w:r>
              <w:rPr>
                <w:b w:val="0"/>
                <w:i w:val="0"/>
                <w:sz w:val="17"/>
              </w:rPr>
              <w:t xml:space="preserve"> general knowledge, not from the filings.</w:t>
            </w:r>
            <w:r>
              <w:br/>
            </w:r>
            <w:r>
              <w:rPr>
                <w:b w:val="0"/>
                <w:i w:val="0"/>
                <w:sz w:val="17"/>
              </w:rPr>
              <w:t xml:space="preserve">Orange bold </w:t>
            </w:r>
            <w:r>
              <w:rPr>
                <w:b/>
                <w:i w:val="0"/>
                <w:sz w:val="17"/>
              </w:rPr>
              <w:t>[TO COLLECT #n: …]</w:t>
            </w:r>
            <w:r>
              <w:rPr>
                <w:b w:val="0"/>
                <w:i w:val="0"/>
                <w:sz w:val="17"/>
              </w:rPr>
              <w:t xml:space="preserve"> marks data that does not exist in the source set yet. All placeholders are listed with section and page in the Placeholder register at the back; that register is the field-work list.</w:t>
            </w:r>
            <w:r>
              <w:br/>
            </w:r>
            <w:r>
              <w:rPr>
                <w:b w:val="0"/>
                <w:i w:val="0"/>
                <w:sz w:val="17"/>
              </w:rPr>
              <w:t>Quotes are verbatim from the transcript quote banks (Investor Day 2026-05-12, Q2-26 call 2026-08-07, Goldman Sachs Communacopia 2026-09-10).</w:t>
            </w:r>
            <w:r>
              <w:br/>
            </w:r>
            <w:r>
              <w:rPr>
                <w:b w:val="0"/>
                <w:i w:val="0"/>
                <w:sz w:val="17"/>
              </w:rPr>
              <w:t>Eras are not comparable (IHS Markit Transportation, S&amp;P Global Mobility, carve-out, standalone). See §8.4 before reading any long-run series.</w:t>
            </w:r>
            <w:r>
              <w:br/>
            </w:r>
            <w:r>
              <w:rPr>
                <w:b w:val="0"/>
                <w:i w:val="0"/>
                <w:sz w:val="17"/>
              </w:rPr>
              <w:t>No rating or price target: market data (share price, market value) was not available in the source set.</w:t>
            </w:r>
          </w:p>
        </w:tc>
      </w:tr>
    </w:tbl>
    <w:p>
      <w:pPr>
        <w:spacing w:after="40"/>
      </w:pPr>
    </w:p>
    <w:p>
      <w:r>
        <w:br w:type="page"/>
      </w:r>
    </w:p>
    <w:p>
      <w:pPr>
        <w:pStyle w:val="Heading1"/>
      </w:pPr>
      <w:r>
        <w:t>Contents</w:t>
      </w:r>
    </w:p>
    <w:p>
      <w:pPr>
        <w:tabs>
          <w:tab w:pos="9648" w:val="right" w:leader="dot"/>
        </w:tabs>
        <w:spacing w:after="20"/>
      </w:pPr>
      <w:r>
        <w:rPr>
          <w:sz w:val="20"/>
        </w:rPr>
        <w:t>1 Executive summary</w:t>
      </w:r>
      <w:r>
        <w:rPr>
          <w:sz w:val="20"/>
        </w:rPr>
        <w:tab/>
        <w:t>3</w:t>
      </w:r>
    </w:p>
    <w:p>
      <w:pPr>
        <w:tabs>
          <w:tab w:pos="9648" w:val="right" w:leader="dot"/>
        </w:tabs>
        <w:spacing w:after="20"/>
      </w:pPr>
      <w:r>
        <w:rPr>
          <w:sz w:val="20"/>
        </w:rPr>
        <w:t>2 Business overview &amp; history</w:t>
      </w:r>
      <w:r>
        <w:rPr>
          <w:sz w:val="20"/>
        </w:rPr>
        <w:tab/>
        <w:t>6</w:t>
      </w:r>
    </w:p>
    <w:p>
      <w:pPr>
        <w:tabs>
          <w:tab w:pos="9648" w:val="right" w:leader="dot"/>
        </w:tabs>
        <w:spacing w:after="20"/>
      </w:pPr>
      <w:r>
        <w:rPr>
          <w:sz w:val="20"/>
        </w:rPr>
        <w:t>3 Segments &amp; revenue model</w:t>
      </w:r>
      <w:r>
        <w:rPr>
          <w:sz w:val="20"/>
        </w:rPr>
        <w:tab/>
        <w:t>9</w:t>
      </w:r>
    </w:p>
    <w:p>
      <w:pPr>
        <w:tabs>
          <w:tab w:pos="9648" w:val="right" w:leader="dot"/>
        </w:tabs>
        <w:spacing w:after="20"/>
      </w:pPr>
      <w:r>
        <w:rPr>
          <w:sz w:val="20"/>
        </w:rPr>
        <w:t>4 Market &amp; industry</w:t>
      </w:r>
      <w:r>
        <w:rPr>
          <w:sz w:val="20"/>
        </w:rPr>
        <w:tab/>
        <w:t>11</w:t>
      </w:r>
    </w:p>
    <w:p>
      <w:pPr>
        <w:tabs>
          <w:tab w:pos="9648" w:val="right" w:leader="dot"/>
        </w:tabs>
        <w:spacing w:after="20"/>
      </w:pPr>
      <w:r>
        <w:rPr>
          <w:sz w:val="20"/>
        </w:rPr>
        <w:t>5 Moat &amp; competitive position</w:t>
      </w:r>
      <w:r>
        <w:rPr>
          <w:sz w:val="20"/>
        </w:rPr>
        <w:tab/>
        <w:t>13</w:t>
      </w:r>
    </w:p>
    <w:p>
      <w:pPr>
        <w:tabs>
          <w:tab w:pos="9648" w:val="right" w:leader="dot"/>
        </w:tabs>
        <w:spacing w:after="20"/>
      </w:pPr>
      <w:r>
        <w:rPr>
          <w:sz w:val="20"/>
        </w:rPr>
        <w:t>6 Value proposition by customer</w:t>
      </w:r>
      <w:r>
        <w:rPr>
          <w:sz w:val="20"/>
        </w:rPr>
        <w:tab/>
        <w:t>17</w:t>
      </w:r>
    </w:p>
    <w:p>
      <w:pPr>
        <w:tabs>
          <w:tab w:pos="9648" w:val="right" w:leader="dot"/>
        </w:tabs>
        <w:spacing w:after="20"/>
      </w:pPr>
      <w:r>
        <w:rPr>
          <w:sz w:val="20"/>
        </w:rPr>
        <w:t>7 Unit economics</w:t>
      </w:r>
      <w:r>
        <w:rPr>
          <w:sz w:val="20"/>
        </w:rPr>
        <w:tab/>
        <w:t>19</w:t>
      </w:r>
    </w:p>
    <w:p>
      <w:pPr>
        <w:tabs>
          <w:tab w:pos="9648" w:val="right" w:leader="dot"/>
        </w:tabs>
        <w:spacing w:after="20"/>
      </w:pPr>
      <w:r>
        <w:rPr>
          <w:sz w:val="20"/>
        </w:rPr>
        <w:t>8 Financial history</w:t>
      </w:r>
      <w:r>
        <w:rPr>
          <w:sz w:val="20"/>
        </w:rPr>
        <w:tab/>
        <w:t>22</w:t>
      </w:r>
    </w:p>
    <w:p>
      <w:pPr>
        <w:tabs>
          <w:tab w:pos="9648" w:val="right" w:leader="dot"/>
        </w:tabs>
        <w:spacing w:after="20"/>
      </w:pPr>
      <w:r>
        <w:rPr>
          <w:sz w:val="20"/>
        </w:rPr>
        <w:t>9 Group decomposition &amp; standalone earnings</w:t>
      </w:r>
      <w:r>
        <w:rPr>
          <w:sz w:val="20"/>
        </w:rPr>
        <w:tab/>
        <w:t>26</w:t>
      </w:r>
    </w:p>
    <w:p>
      <w:pPr>
        <w:tabs>
          <w:tab w:pos="9648" w:val="right" w:leader="dot"/>
        </w:tabs>
        <w:spacing w:after="20"/>
      </w:pPr>
      <w:r>
        <w:rPr>
          <w:sz w:val="20"/>
        </w:rPr>
        <w:t>10 Guidance vs execution &amp; targets timeline</w:t>
      </w:r>
      <w:r>
        <w:rPr>
          <w:sz w:val="20"/>
        </w:rPr>
        <w:tab/>
        <w:t>29</w:t>
      </w:r>
    </w:p>
    <w:p>
      <w:pPr>
        <w:tabs>
          <w:tab w:pos="9648" w:val="right" w:leader="dot"/>
        </w:tabs>
        <w:spacing w:after="20"/>
      </w:pPr>
      <w:r>
        <w:rPr>
          <w:sz w:val="20"/>
        </w:rPr>
        <w:t>11 Pricing</w:t>
      </w:r>
      <w:r>
        <w:rPr>
          <w:sz w:val="20"/>
        </w:rPr>
        <w:tab/>
        <w:t>32</w:t>
      </w:r>
    </w:p>
    <w:p>
      <w:pPr>
        <w:tabs>
          <w:tab w:pos="9648" w:val="right" w:leader="dot"/>
        </w:tabs>
        <w:spacing w:after="20"/>
      </w:pPr>
      <w:r>
        <w:rPr>
          <w:sz w:val="20"/>
        </w:rPr>
        <w:t>12 Demand drivers &amp; cyclicality</w:t>
      </w:r>
      <w:r>
        <w:rPr>
          <w:sz w:val="20"/>
        </w:rPr>
        <w:tab/>
        <w:t>34</w:t>
      </w:r>
    </w:p>
    <w:p>
      <w:pPr>
        <w:tabs>
          <w:tab w:pos="9648" w:val="right" w:leader="dot"/>
        </w:tabs>
        <w:spacing w:after="20"/>
      </w:pPr>
      <w:r>
        <w:rPr>
          <w:sz w:val="20"/>
        </w:rPr>
        <w:t>13 Management &amp; incentives</w:t>
      </w:r>
      <w:r>
        <w:rPr>
          <w:sz w:val="20"/>
        </w:rPr>
        <w:tab/>
        <w:t>37</w:t>
      </w:r>
    </w:p>
    <w:p>
      <w:pPr>
        <w:tabs>
          <w:tab w:pos="9648" w:val="right" w:leader="dot"/>
        </w:tabs>
        <w:spacing w:after="20"/>
      </w:pPr>
      <w:r>
        <w:rPr>
          <w:sz w:val="20"/>
        </w:rPr>
        <w:t>14 Disclosure changes &amp; red flags</w:t>
      </w:r>
      <w:r>
        <w:rPr>
          <w:sz w:val="20"/>
        </w:rPr>
        <w:tab/>
        <w:t>40</w:t>
      </w:r>
    </w:p>
    <w:p>
      <w:pPr>
        <w:tabs>
          <w:tab w:pos="9648" w:val="right" w:leader="dot"/>
        </w:tabs>
        <w:spacing w:after="20"/>
      </w:pPr>
      <w:r>
        <w:rPr>
          <w:sz w:val="20"/>
        </w:rPr>
        <w:t>15 Pre-mortem &amp; risks</w:t>
      </w:r>
      <w:r>
        <w:rPr>
          <w:sz w:val="20"/>
        </w:rPr>
        <w:tab/>
        <w:t>43</w:t>
      </w:r>
    </w:p>
    <w:p>
      <w:pPr>
        <w:tabs>
          <w:tab w:pos="9648" w:val="right" w:leader="dot"/>
        </w:tabs>
        <w:spacing w:after="20"/>
      </w:pPr>
      <w:r>
        <w:rPr>
          <w:sz w:val="20"/>
        </w:rPr>
        <w:t>16 Questions for management</w:t>
      </w:r>
      <w:r>
        <w:rPr>
          <w:sz w:val="20"/>
        </w:rPr>
        <w:tab/>
        <w:t>45</w:t>
      </w:r>
    </w:p>
    <w:p>
      <w:pPr>
        <w:tabs>
          <w:tab w:pos="9648" w:val="right" w:leader="dot"/>
        </w:tabs>
        <w:spacing w:after="20"/>
      </w:pPr>
      <w:r>
        <w:rPr>
          <w:sz w:val="20"/>
        </w:rPr>
        <w:t>17 Honest counters</w:t>
      </w:r>
      <w:r>
        <w:rPr>
          <w:sz w:val="20"/>
        </w:rPr>
        <w:tab/>
        <w:t>47</w:t>
      </w:r>
    </w:p>
    <w:p>
      <w:pPr>
        <w:tabs>
          <w:tab w:pos="9648" w:val="right" w:leader="dot"/>
        </w:tabs>
        <w:spacing w:after="20"/>
      </w:pPr>
      <w:r>
        <w:rPr>
          <w:b/>
          <w:sz w:val="20"/>
        </w:rPr>
        <w:t>Appendix A Source limitations &amp; verification</w:t>
      </w:r>
      <w:r>
        <w:rPr>
          <w:sz w:val="20"/>
        </w:rPr>
        <w:tab/>
        <w:t>48</w:t>
      </w:r>
    </w:p>
    <w:p>
      <w:pPr>
        <w:tabs>
          <w:tab w:pos="9648" w:val="right" w:leader="dot"/>
        </w:tabs>
        <w:spacing w:after="20"/>
      </w:pPr>
      <w:r>
        <w:rPr>
          <w:b/>
          <w:sz w:val="20"/>
        </w:rPr>
        <w:t>Appendix B Accounting notes</w:t>
      </w:r>
      <w:r>
        <w:rPr>
          <w:sz w:val="20"/>
        </w:rPr>
        <w:tab/>
        <w:t>49</w:t>
      </w:r>
    </w:p>
    <w:p>
      <w:pPr>
        <w:tabs>
          <w:tab w:pos="9648" w:val="right" w:leader="dot"/>
        </w:tabs>
        <w:spacing w:after="20"/>
      </w:pPr>
      <w:r>
        <w:rPr>
          <w:b/>
          <w:sz w:val="20"/>
        </w:rPr>
        <w:t>Appendix C Glossary of tiers &amp; source keys</w:t>
      </w:r>
      <w:r>
        <w:rPr>
          <w:sz w:val="20"/>
        </w:rPr>
        <w:tab/>
        <w:t>51</w:t>
      </w:r>
    </w:p>
    <w:p>
      <w:pPr>
        <w:tabs>
          <w:tab w:pos="9648" w:val="right" w:leader="dot"/>
        </w:tabs>
        <w:spacing w:after="20"/>
      </w:pPr>
      <w:r>
        <w:rPr>
          <w:b/>
          <w:sz w:val="20"/>
        </w:rPr>
        <w:t>Placeholder register</w:t>
      </w:r>
      <w:r>
        <w:rPr>
          <w:sz w:val="20"/>
        </w:rPr>
        <w:tab/>
        <w:t>51</w:t>
      </w:r>
    </w:p>
    <w:p>
      <w:pPr>
        <w:pStyle w:val="Heading1"/>
        <w:pageBreakBefore/>
      </w:pPr>
      <w:r>
        <w:t>1 Executive summary</w:t>
      </w:r>
    </w:p>
    <w:p>
      <w:pPr>
        <w:pStyle w:val="Heading2"/>
      </w:pPr>
      <w:r>
        <w:t>1.1 Thesis</w:t>
      </w:r>
    </w:p>
    <w:p>
      <w:r>
        <w:rPr>
          <w:b w:val="0"/>
          <w:i w:val="0"/>
        </w:rPr>
        <w:t xml:space="preserve">Mobility Global (MBGL) was spun from S&amp;P Global on 2026-07-01 </w:t>
      </w:r>
      <w:r>
        <w:rPr>
          <w:b/>
          <w:color w:val="2E548C"/>
          <w:sz w:val="16"/>
        </w:rPr>
        <w:t>[D]</w:t>
      </w:r>
      <w:r>
        <w:rPr>
          <w:b w:val="0"/>
          <w:i w:val="0"/>
        </w:rPr>
        <w:t xml:space="preserve"> and is a VIN-keyed automotive data utility with two segments. </w:t>
      </w:r>
      <w:r>
        <w:rPr>
          <w:b/>
          <w:i w:val="0"/>
        </w:rPr>
        <w:t>CARFAX</w:t>
      </w:r>
      <w:r>
        <w:rPr>
          <w:b w:val="0"/>
          <w:i w:val="0"/>
        </w:rPr>
        <w:t xml:space="preserve"> (≈65% of revenue </w:t>
      </w:r>
      <w:r>
        <w:rPr>
          <w:b/>
          <w:color w:val="2E548C"/>
          <w:sz w:val="16"/>
        </w:rPr>
        <w:t>[IR]</w:t>
      </w:r>
      <w:r>
        <w:rPr>
          <w:b w:val="0"/>
          <w:i w:val="0"/>
        </w:rPr>
        <w:t xml:space="preserve">; FY25 segment Adj. EBITDA margin 46.9% </w:t>
      </w:r>
      <w:r>
        <w:rPr>
          <w:b/>
          <w:color w:val="2E548C"/>
          <w:sz w:val="16"/>
        </w:rPr>
        <w:t>[C]</w:t>
      </w:r>
      <w:r>
        <w:rPr>
          <w:b w:val="0"/>
          <w:i w:val="0"/>
        </w:rPr>
        <w:t xml:space="preserve">) sells vehicle-history subscriptions, Listings, Car Care and lender/insurer data (BIG). </w:t>
      </w:r>
      <w:r>
        <w:rPr>
          <w:b/>
          <w:i w:val="0"/>
        </w:rPr>
        <w:t>B2B</w:t>
      </w:r>
      <w:r>
        <w:rPr>
          <w:b w:val="0"/>
          <w:i w:val="0"/>
        </w:rPr>
        <w:t xml:space="preserve"> (≈35% </w:t>
      </w:r>
      <w:r>
        <w:rPr>
          <w:b/>
          <w:color w:val="2E548C"/>
          <w:sz w:val="16"/>
        </w:rPr>
        <w:t>[IR]</w:t>
      </w:r>
      <w:r>
        <w:rPr>
          <w:b w:val="0"/>
          <w:i w:val="0"/>
        </w:rPr>
        <w:t xml:space="preserve">; FY25 margin 32.4% </w:t>
      </w:r>
      <w:r>
        <w:rPr>
          <w:b/>
          <w:color w:val="2E548C"/>
          <w:sz w:val="16"/>
        </w:rPr>
        <w:t>[C]</w:t>
      </w:r>
      <w:r>
        <w:rPr>
          <w:b w:val="0"/>
          <w:i w:val="0"/>
        </w:rPr>
        <w:t xml:space="preserve">) sells automotiveMastermind, Polk audiences and recall, Market Scan and planning forecasts. FY25 revenue was $1,750m </w:t>
      </w:r>
      <w:r>
        <w:rPr>
          <w:b/>
          <w:color w:val="2E548C"/>
          <w:sz w:val="16"/>
        </w:rPr>
        <w:t>[D]</w:t>
      </w:r>
      <w:r>
        <w:rPr>
          <w:b w:val="0"/>
          <w:i w:val="0"/>
        </w:rPr>
        <w:t xml:space="preserve">, 81% subscription </w:t>
      </w:r>
      <w:r>
        <w:rPr>
          <w:b/>
          <w:color w:val="2E548C"/>
          <w:sz w:val="16"/>
        </w:rPr>
        <w:t>[D]</w:t>
      </w:r>
      <w:r>
        <w:rPr>
          <w:b w:val="0"/>
          <w:i w:val="0"/>
        </w:rPr>
        <w:t xml:space="preserve">, ~60% from dealers and ~10% from OEMs </w:t>
      </w:r>
      <w:r>
        <w:rPr>
          <w:b/>
          <w:color w:val="2E548C"/>
          <w:sz w:val="16"/>
        </w:rPr>
        <w:t>[D]</w:t>
      </w:r>
      <w:r>
        <w:rPr>
          <w:b w:val="0"/>
          <w:i w:val="0"/>
        </w:rPr>
        <w:t xml:space="preserve">, 17% international </w:t>
      </w:r>
      <w:r>
        <w:rPr>
          <w:b/>
          <w:color w:val="2E548C"/>
          <w:sz w:val="16"/>
        </w:rPr>
        <w:t>[C]</w:t>
      </w:r>
      <w:r>
        <w:rPr>
          <w:b w:val="0"/>
          <w:i w:val="0"/>
        </w:rPr>
        <w:t xml:space="preserve">. The model is B2B2C: the consumer creates the demand, the dealer pays </w:t>
      </w:r>
      <w:r>
        <w:rPr>
          <w:b/>
          <w:color w:val="2E548C"/>
          <w:sz w:val="16"/>
        </w:rPr>
        <w:t>[D]</w:t>
      </w:r>
      <w:r>
        <w:rPr>
          <w:b w:val="0"/>
          <w:i w:val="0"/>
        </w:rPr>
        <w:t xml:space="preserve"> (10A p.380).</w:t>
      </w:r>
    </w:p>
    <w:p>
      <w:r>
        <w:rPr>
          <w:b/>
          <w:i w:val="0"/>
        </w:rPr>
        <w:t>Our reading.</w:t>
      </w:r>
      <w:r>
        <w:rPr>
          <w:b w:val="0"/>
          <w:i w:val="0"/>
        </w:rPr>
        <w:t xml:space="preserve"> The CARFAX franchise is a wide moat that is still widening on every audited or disclosed measure (sources, records, segment margin, growth vs industry). B2B's moat is moderate: it grew +3.1% / +5.9% in FY24 / FY25 </w:t>
      </w:r>
      <w:r>
        <w:rPr>
          <w:b/>
          <w:color w:val="2E548C"/>
          <w:sz w:val="16"/>
        </w:rPr>
        <w:t>[C]</w:t>
      </w:r>
      <w:r>
        <w:rPr>
          <w:b w:val="0"/>
          <w:i w:val="0"/>
        </w:rPr>
        <w:t xml:space="preserve"> against named “low-cost alternative[s]” </w:t>
      </w:r>
      <w:r>
        <w:rPr>
          <w:b/>
          <w:color w:val="2E548C"/>
          <w:sz w:val="16"/>
        </w:rPr>
        <w:t>[IR]</w:t>
      </w:r>
      <w:r>
        <w:rPr>
          <w:b w:val="0"/>
          <w:i w:val="0"/>
        </w:rPr>
        <w:t xml:space="preserve">. The debate is therefore not moat durability. It is whether a business now growing ~7% (≈4.2pt of it price </w:t>
      </w:r>
      <w:r>
        <w:rPr>
          <w:b/>
          <w:color w:val="2E548C"/>
          <w:sz w:val="16"/>
        </w:rPr>
        <w:t>[C]</w:t>
      </w:r>
      <w:r>
        <w:rPr>
          <w:b w:val="0"/>
          <w:i w:val="0"/>
        </w:rPr>
        <w:t xml:space="preserve">), resetting to a ~39.1% Adj. EBITDA margin </w:t>
      </w:r>
      <w:r>
        <w:rPr>
          <w:b/>
          <w:color w:val="2E548C"/>
          <w:sz w:val="16"/>
        </w:rPr>
        <w:t>[IR]</w:t>
      </w:r>
      <w:r>
        <w:rPr>
          <w:b w:val="0"/>
          <w:i w:val="0"/>
        </w:rPr>
        <w:t xml:space="preserve"> with 2.7x gross leverage </w:t>
      </w:r>
      <w:r>
        <w:rPr>
          <w:b/>
          <w:color w:val="2E548C"/>
          <w:sz w:val="16"/>
        </w:rPr>
        <w:t>[IR]</w:t>
      </w:r>
      <w:r>
        <w:rPr>
          <w:b w:val="0"/>
          <w:i w:val="0"/>
        </w:rPr>
        <w:t>, and retreating on disclosure, should be priced as the 9–10% compounder its history suggests (D11).</w:t>
      </w:r>
    </w:p>
    <w:tbl>
      <w:tblPr>
        <w:tblW w:type="auto" w:w="0"/>
        <w:jc w:val="center"/>
        <w:tblLook w:firstColumn="1" w:firstRow="1" w:lastColumn="0" w:lastRow="0" w:noHBand="0" w:noVBand="1" w:val="04A0"/>
        <w:tblBorders>
          <w:top w:val="nil" w:sz="0" w:space="0" w:color="auto"/>
          <w:left w:val="single" w:sz="24" w:space="0" w:color="1F3864"/>
          <w:bottom w:val="nil" w:sz="0" w:space="0" w:color="auto"/>
          <w:right w:val="nil" w:sz="0" w:space="0" w:color="auto"/>
          <w:insideH w:val="nil" w:sz="0" w:space="0" w:color="auto"/>
          <w:insideV w:val="nil" w:sz="0" w:space="0" w:color="auto"/>
        </w:tblBorders>
        <w:tblCellMar>
          <w:top w:w="90" w:type="dxa"/>
          <w:left w:w="160" w:type="dxa"/>
          <w:bottom w:w="90" w:type="dxa"/>
          <w:right w:w="120" w:type="dxa"/>
        </w:tblCellMar>
      </w:tblPr>
      <w:tblGrid>
        <w:gridCol w:w="8928"/>
      </w:tblGrid>
      <w:tr>
        <w:trPr>
          <w:cantSplit/>
        </w:trPr>
        <w:tc>
          <w:tcPr>
            <w:tcW w:type="dxa" w:w="8928"/>
            <w:shd w:val="clear" w:color="auto" w:fill="F7F9FC"/>
          </w:tcPr>
          <w:p>
            <w:pPr>
              <w:spacing w:after="0"/>
            </w:pPr>
            <w:r>
              <w:rPr>
                <w:b/>
                <w:color w:val="1F3864"/>
                <w:sz w:val="19"/>
              </w:rPr>
              <w:t>The moat in one sentence</w:t>
            </w:r>
            <w:r>
              <w:br/>
            </w:r>
            <w:r>
              <w:rPr>
                <w:b w:val="0"/>
                <w:i w:val="0"/>
                <w:sz w:val="17"/>
              </w:rPr>
              <w:t xml:space="preserve">MBGL owns the only VIN-level history record that a dealer can hand to a consumer: built from ~177k give-get sources and 38bn+ records growing ~9% a year </w:t>
            </w:r>
            <w:r>
              <w:rPr>
                <w:b/>
                <w:color w:val="2E548C"/>
                <w:sz w:val="14"/>
              </w:rPr>
              <w:t>[D/C]</w:t>
            </w:r>
            <w:r>
              <w:rPr>
                <w:b w:val="0"/>
                <w:i w:val="0"/>
                <w:sz w:val="17"/>
              </w:rPr>
              <w:t xml:space="preserve">, backed by a brand consumers ask for by name and by 36 OEM certified-pre-owned (CPO) mandates </w:t>
            </w:r>
            <w:r>
              <w:rPr>
                <w:b/>
                <w:color w:val="2E548C"/>
                <w:sz w:val="14"/>
              </w:rPr>
              <w:t>[IR]</w:t>
            </w:r>
            <w:r>
              <w:rPr>
                <w:b w:val="0"/>
                <w:i w:val="0"/>
                <w:sz w:val="17"/>
              </w:rPr>
              <w:t xml:space="preserve"> — wide in CARFAX; only moderate in B2B, where low-cost substitutes exist (D1 §1, §5).</w:t>
            </w:r>
          </w:p>
        </w:tc>
      </w:tr>
    </w:tbl>
    <w:p>
      <w:pPr>
        <w:spacing w:after="40"/>
      </w:pPr>
    </w:p>
    <w:p>
      <w:pPr>
        <w:pStyle w:val="Heading2"/>
      </w:pPr>
      <w:r>
        <w:t>1.2 Key numbers</w:t>
      </w:r>
    </w:p>
    <w:p>
      <w:pPr>
        <w:keepNext/>
        <w:spacing w:before="80" w:after="40"/>
      </w:pPr>
      <w:r>
        <w:rPr>
          <w:b/>
          <w:i w:val="0"/>
          <w:color w:val="1F3864"/>
          <w:sz w:val="17"/>
        </w:rPr>
        <w:t>Exhibit 1.1 — Carve-out financial summary ($m)</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3349"/>
        <w:gridCol w:w="1288"/>
        <w:gridCol w:w="1288"/>
        <w:gridCol w:w="1288"/>
        <w:gridCol w:w="1288"/>
        <w:gridCol w:w="1288"/>
      </w:tblGrid>
      <w:tr>
        <w:trPr>
          <w:cantSplit/>
          <w:tblHeader/>
        </w:trPr>
        <w:tc>
          <w:tcPr>
            <w:tcW w:type="dxa" w:w="3350"/>
            <w:shd w:val="clear" w:color="auto" w:fill="1F3864"/>
          </w:tcPr>
          <w:p>
            <w:pPr>
              <w:spacing w:after="0" w:line="240" w:lineRule="auto"/>
            </w:pPr>
          </w:p>
        </w:tc>
        <w:tc>
          <w:tcPr>
            <w:tcW w:type="dxa" w:w="1288"/>
            <w:shd w:val="clear" w:color="auto" w:fill="1F3864"/>
          </w:tcPr>
          <w:p>
            <w:pPr>
              <w:spacing w:after="0" w:line="240" w:lineRule="auto"/>
              <w:jc w:val="right"/>
            </w:pPr>
            <w:r>
              <w:rPr>
                <w:b/>
                <w:i w:val="0"/>
                <w:color w:val="FFFFFF"/>
                <w:sz w:val="16"/>
              </w:rPr>
              <w:t>FY2023</w:t>
            </w:r>
          </w:p>
        </w:tc>
        <w:tc>
          <w:tcPr>
            <w:tcW w:type="dxa" w:w="1288"/>
            <w:shd w:val="clear" w:color="auto" w:fill="1F3864"/>
          </w:tcPr>
          <w:p>
            <w:pPr>
              <w:spacing w:after="0" w:line="240" w:lineRule="auto"/>
              <w:jc w:val="right"/>
            </w:pPr>
            <w:r>
              <w:rPr>
                <w:b/>
                <w:i w:val="0"/>
                <w:color w:val="FFFFFF"/>
                <w:sz w:val="16"/>
              </w:rPr>
              <w:t>FY2024</w:t>
            </w:r>
          </w:p>
        </w:tc>
        <w:tc>
          <w:tcPr>
            <w:tcW w:type="dxa" w:w="1288"/>
            <w:shd w:val="clear" w:color="auto" w:fill="1F3864"/>
          </w:tcPr>
          <w:p>
            <w:pPr>
              <w:spacing w:after="0" w:line="240" w:lineRule="auto"/>
              <w:jc w:val="right"/>
            </w:pPr>
            <w:r>
              <w:rPr>
                <w:b/>
                <w:i w:val="0"/>
                <w:color w:val="FFFFFF"/>
                <w:sz w:val="16"/>
              </w:rPr>
              <w:t>FY2025</w:t>
            </w:r>
          </w:p>
        </w:tc>
        <w:tc>
          <w:tcPr>
            <w:tcW w:type="dxa" w:w="1288"/>
            <w:shd w:val="clear" w:color="auto" w:fill="1F3864"/>
          </w:tcPr>
          <w:p>
            <w:pPr>
              <w:spacing w:after="0" w:line="240" w:lineRule="auto"/>
              <w:jc w:val="right"/>
            </w:pPr>
            <w:r>
              <w:rPr>
                <w:b/>
                <w:i w:val="0"/>
                <w:color w:val="FFFFFF"/>
                <w:sz w:val="16"/>
              </w:rPr>
              <w:t>6M-2025</w:t>
            </w:r>
          </w:p>
        </w:tc>
        <w:tc>
          <w:tcPr>
            <w:tcW w:type="dxa" w:w="1288"/>
            <w:shd w:val="clear" w:color="auto" w:fill="1F3864"/>
          </w:tcPr>
          <w:p>
            <w:pPr>
              <w:spacing w:after="0" w:line="240" w:lineRule="auto"/>
              <w:jc w:val="right"/>
            </w:pPr>
            <w:r>
              <w:rPr>
                <w:b/>
                <w:i w:val="0"/>
                <w:color w:val="FFFFFF"/>
                <w:sz w:val="16"/>
              </w:rPr>
              <w:t>6M-2026</w:t>
            </w:r>
          </w:p>
        </w:tc>
      </w:tr>
      <w:tr>
        <w:trPr>
          <w:cantSplit/>
        </w:trPr>
        <w:tc>
          <w:tcPr>
            <w:tcW w:type="dxa" w:w="3350"/>
          </w:tcPr>
          <w:p>
            <w:pPr>
              <w:spacing w:after="0" w:line="240" w:lineRule="auto"/>
            </w:pPr>
            <w:r>
              <w:rPr>
                <w:b w:val="0"/>
                <w:i w:val="0"/>
                <w:sz w:val="16"/>
              </w:rPr>
              <w:t xml:space="preserve">Revenue, $m </w:t>
            </w:r>
            <w:r>
              <w:rPr>
                <w:b/>
                <w:color w:val="2E548C"/>
                <w:sz w:val="13"/>
              </w:rPr>
              <w:t>[D]</w:t>
            </w:r>
          </w:p>
        </w:tc>
        <w:tc>
          <w:tcPr>
            <w:tcW w:type="dxa" w:w="1288"/>
          </w:tcPr>
          <w:p>
            <w:pPr>
              <w:spacing w:after="0" w:line="240" w:lineRule="auto"/>
              <w:jc w:val="right"/>
            </w:pPr>
            <w:r>
              <w:rPr>
                <w:b w:val="0"/>
                <w:i w:val="0"/>
                <w:sz w:val="16"/>
              </w:rPr>
              <w:t>1,485</w:t>
            </w:r>
          </w:p>
        </w:tc>
        <w:tc>
          <w:tcPr>
            <w:tcW w:type="dxa" w:w="1288"/>
          </w:tcPr>
          <w:p>
            <w:pPr>
              <w:spacing w:after="0" w:line="240" w:lineRule="auto"/>
              <w:jc w:val="right"/>
            </w:pPr>
            <w:r>
              <w:rPr>
                <w:b w:val="0"/>
                <w:i w:val="0"/>
                <w:sz w:val="16"/>
              </w:rPr>
              <w:t>1,613</w:t>
            </w:r>
          </w:p>
        </w:tc>
        <w:tc>
          <w:tcPr>
            <w:tcW w:type="dxa" w:w="1288"/>
          </w:tcPr>
          <w:p>
            <w:pPr>
              <w:spacing w:after="0" w:line="240" w:lineRule="auto"/>
              <w:jc w:val="right"/>
            </w:pPr>
            <w:r>
              <w:rPr>
                <w:b w:val="0"/>
                <w:i w:val="0"/>
                <w:sz w:val="16"/>
              </w:rPr>
              <w:t>1,750</w:t>
            </w:r>
          </w:p>
        </w:tc>
        <w:tc>
          <w:tcPr>
            <w:tcW w:type="dxa" w:w="1288"/>
          </w:tcPr>
          <w:p>
            <w:pPr>
              <w:spacing w:after="0" w:line="240" w:lineRule="auto"/>
              <w:jc w:val="right"/>
            </w:pPr>
            <w:r>
              <w:rPr>
                <w:b w:val="0"/>
                <w:i w:val="0"/>
                <w:sz w:val="16"/>
              </w:rPr>
              <w:t>859</w:t>
            </w:r>
          </w:p>
        </w:tc>
        <w:tc>
          <w:tcPr>
            <w:tcW w:type="dxa" w:w="1288"/>
          </w:tcPr>
          <w:p>
            <w:pPr>
              <w:spacing w:after="0" w:line="240" w:lineRule="auto"/>
              <w:jc w:val="right"/>
            </w:pPr>
            <w:r>
              <w:rPr>
                <w:b w:val="0"/>
                <w:i w:val="0"/>
                <w:sz w:val="16"/>
              </w:rPr>
              <w:t>923</w:t>
            </w:r>
          </w:p>
        </w:tc>
      </w:tr>
      <w:tr>
        <w:trPr>
          <w:cantSplit/>
        </w:trPr>
        <w:tc>
          <w:tcPr>
            <w:tcW w:type="dxa" w:w="3350"/>
            <w:shd w:val="clear" w:color="auto" w:fill="D9E1F2"/>
          </w:tcPr>
          <w:p>
            <w:pPr>
              <w:spacing w:after="0" w:line="240" w:lineRule="auto"/>
            </w:pPr>
            <w:r>
              <w:rPr>
                <w:b w:val="0"/>
                <w:i w:val="0"/>
                <w:sz w:val="16"/>
              </w:rPr>
              <w:t xml:space="preserve">Revenue growth </w:t>
            </w:r>
            <w:r>
              <w:rPr>
                <w:b/>
                <w:color w:val="2E548C"/>
                <w:sz w:val="13"/>
              </w:rPr>
              <w:t>[C]</w:t>
            </w:r>
          </w:p>
        </w:tc>
        <w:tc>
          <w:tcPr>
            <w:tcW w:type="dxa" w:w="1288"/>
            <w:shd w:val="clear" w:color="auto" w:fill="D9E1F2"/>
          </w:tcPr>
          <w:p>
            <w:pPr>
              <w:spacing w:after="0" w:line="240" w:lineRule="auto"/>
              <w:jc w:val="right"/>
            </w:pPr>
            <w:r>
              <w:rPr>
                <w:b w:val="0"/>
                <w:i w:val="0"/>
                <w:sz w:val="16"/>
              </w:rPr>
              <w:t>—</w:t>
            </w:r>
          </w:p>
        </w:tc>
        <w:tc>
          <w:tcPr>
            <w:tcW w:type="dxa" w:w="1288"/>
            <w:shd w:val="clear" w:color="auto" w:fill="D9E1F2"/>
          </w:tcPr>
          <w:p>
            <w:pPr>
              <w:spacing w:after="0" w:line="240" w:lineRule="auto"/>
              <w:jc w:val="right"/>
            </w:pPr>
            <w:r>
              <w:rPr>
                <w:b w:val="0"/>
                <w:i w:val="0"/>
                <w:sz w:val="16"/>
              </w:rPr>
              <w:t>+8.6%</w:t>
            </w:r>
          </w:p>
        </w:tc>
        <w:tc>
          <w:tcPr>
            <w:tcW w:type="dxa" w:w="1288"/>
            <w:shd w:val="clear" w:color="auto" w:fill="D9E1F2"/>
          </w:tcPr>
          <w:p>
            <w:pPr>
              <w:spacing w:after="0" w:line="240" w:lineRule="auto"/>
              <w:jc w:val="right"/>
            </w:pPr>
            <w:r>
              <w:rPr>
                <w:b w:val="0"/>
                <w:i w:val="0"/>
                <w:sz w:val="16"/>
              </w:rPr>
              <w:t>+8.5%</w:t>
            </w:r>
          </w:p>
        </w:tc>
        <w:tc>
          <w:tcPr>
            <w:tcW w:type="dxa" w:w="1288"/>
            <w:shd w:val="clear" w:color="auto" w:fill="D9E1F2"/>
          </w:tcPr>
          <w:p>
            <w:pPr>
              <w:spacing w:after="0" w:line="240" w:lineRule="auto"/>
              <w:jc w:val="right"/>
            </w:pPr>
            <w:r>
              <w:rPr>
                <w:b w:val="0"/>
                <w:i w:val="0"/>
                <w:sz w:val="16"/>
              </w:rPr>
              <w:t>—</w:t>
            </w:r>
          </w:p>
        </w:tc>
        <w:tc>
          <w:tcPr>
            <w:tcW w:type="dxa" w:w="1288"/>
            <w:shd w:val="clear" w:color="auto" w:fill="D9E1F2"/>
          </w:tcPr>
          <w:p>
            <w:pPr>
              <w:spacing w:after="0" w:line="240" w:lineRule="auto"/>
              <w:jc w:val="right"/>
            </w:pPr>
            <w:r>
              <w:rPr>
                <w:b w:val="0"/>
                <w:i w:val="0"/>
                <w:sz w:val="16"/>
              </w:rPr>
              <w:t>+7.5%</w:t>
            </w:r>
          </w:p>
        </w:tc>
      </w:tr>
      <w:tr>
        <w:trPr>
          <w:cantSplit/>
        </w:trPr>
        <w:tc>
          <w:tcPr>
            <w:tcW w:type="dxa" w:w="3350"/>
          </w:tcPr>
          <w:p>
            <w:pPr>
              <w:spacing w:after="0" w:line="240" w:lineRule="auto"/>
            </w:pPr>
            <w:r>
              <w:rPr>
                <w:b w:val="0"/>
                <w:i w:val="0"/>
                <w:sz w:val="16"/>
              </w:rPr>
              <w:t xml:space="preserve">Adj. EBITDA (company def.), $m </w:t>
            </w:r>
            <w:r>
              <w:rPr>
                <w:b/>
                <w:color w:val="2E548C"/>
                <w:sz w:val="13"/>
              </w:rPr>
              <w:t>[D]</w:t>
            </w:r>
          </w:p>
        </w:tc>
        <w:tc>
          <w:tcPr>
            <w:tcW w:type="dxa" w:w="1288"/>
          </w:tcPr>
          <w:p>
            <w:pPr>
              <w:spacing w:after="0" w:line="240" w:lineRule="auto"/>
              <w:jc w:val="right"/>
            </w:pPr>
            <w:r>
              <w:rPr>
                <w:b w:val="0"/>
                <w:i w:val="0"/>
                <w:sz w:val="16"/>
              </w:rPr>
              <w:t>598</w:t>
            </w:r>
          </w:p>
        </w:tc>
        <w:tc>
          <w:tcPr>
            <w:tcW w:type="dxa" w:w="1288"/>
          </w:tcPr>
          <w:p>
            <w:pPr>
              <w:spacing w:after="0" w:line="240" w:lineRule="auto"/>
              <w:jc w:val="right"/>
            </w:pPr>
            <w:r>
              <w:rPr>
                <w:b w:val="0"/>
                <w:i w:val="0"/>
                <w:sz w:val="16"/>
              </w:rPr>
              <w:t>658</w:t>
            </w:r>
          </w:p>
        </w:tc>
        <w:tc>
          <w:tcPr>
            <w:tcW w:type="dxa" w:w="1288"/>
          </w:tcPr>
          <w:p>
            <w:pPr>
              <w:spacing w:after="0" w:line="240" w:lineRule="auto"/>
              <w:jc w:val="right"/>
            </w:pPr>
            <w:r>
              <w:rPr>
                <w:b w:val="0"/>
                <w:i w:val="0"/>
                <w:sz w:val="16"/>
              </w:rPr>
              <w:t>711</w:t>
            </w:r>
          </w:p>
        </w:tc>
        <w:tc>
          <w:tcPr>
            <w:tcW w:type="dxa" w:w="1288"/>
          </w:tcPr>
          <w:p>
            <w:pPr>
              <w:spacing w:after="0" w:line="240" w:lineRule="auto"/>
              <w:jc w:val="right"/>
            </w:pPr>
            <w:r>
              <w:rPr>
                <w:b w:val="0"/>
                <w:i w:val="0"/>
                <w:sz w:val="16"/>
              </w:rPr>
              <w:t>357</w:t>
            </w:r>
          </w:p>
        </w:tc>
        <w:tc>
          <w:tcPr>
            <w:tcW w:type="dxa" w:w="1288"/>
          </w:tcPr>
          <w:p>
            <w:pPr>
              <w:spacing w:after="0" w:line="240" w:lineRule="auto"/>
              <w:jc w:val="right"/>
            </w:pPr>
            <w:r>
              <w:rPr>
                <w:b w:val="0"/>
                <w:i w:val="0"/>
                <w:sz w:val="16"/>
              </w:rPr>
              <w:t>386</w:t>
            </w:r>
          </w:p>
        </w:tc>
      </w:tr>
      <w:tr>
        <w:trPr>
          <w:cantSplit/>
        </w:trPr>
        <w:tc>
          <w:tcPr>
            <w:tcW w:type="dxa" w:w="3350"/>
            <w:shd w:val="clear" w:color="auto" w:fill="D9E1F2"/>
          </w:tcPr>
          <w:p>
            <w:pPr>
              <w:spacing w:after="0" w:line="240" w:lineRule="auto"/>
            </w:pPr>
            <w:r>
              <w:rPr>
                <w:b w:val="0"/>
                <w:i w:val="0"/>
                <w:sz w:val="16"/>
              </w:rPr>
              <w:t xml:space="preserve">Adj. EBITDA margin </w:t>
            </w:r>
            <w:r>
              <w:rPr>
                <w:b/>
                <w:color w:val="2E548C"/>
                <w:sz w:val="13"/>
              </w:rPr>
              <w:t>[C]</w:t>
            </w:r>
          </w:p>
        </w:tc>
        <w:tc>
          <w:tcPr>
            <w:tcW w:type="dxa" w:w="1288"/>
            <w:shd w:val="clear" w:color="auto" w:fill="D9E1F2"/>
          </w:tcPr>
          <w:p>
            <w:pPr>
              <w:spacing w:after="0" w:line="240" w:lineRule="auto"/>
              <w:jc w:val="right"/>
            </w:pPr>
            <w:r>
              <w:rPr>
                <w:b w:val="0"/>
                <w:i w:val="0"/>
                <w:sz w:val="16"/>
              </w:rPr>
              <w:t>40.3%</w:t>
            </w:r>
          </w:p>
        </w:tc>
        <w:tc>
          <w:tcPr>
            <w:tcW w:type="dxa" w:w="1288"/>
            <w:shd w:val="clear" w:color="auto" w:fill="D9E1F2"/>
          </w:tcPr>
          <w:p>
            <w:pPr>
              <w:spacing w:after="0" w:line="240" w:lineRule="auto"/>
              <w:jc w:val="right"/>
            </w:pPr>
            <w:r>
              <w:rPr>
                <w:b w:val="0"/>
                <w:i w:val="0"/>
                <w:sz w:val="16"/>
              </w:rPr>
              <w:t>40.8%</w:t>
            </w:r>
          </w:p>
        </w:tc>
        <w:tc>
          <w:tcPr>
            <w:tcW w:type="dxa" w:w="1288"/>
            <w:shd w:val="clear" w:color="auto" w:fill="D9E1F2"/>
          </w:tcPr>
          <w:p>
            <w:pPr>
              <w:spacing w:after="0" w:line="240" w:lineRule="auto"/>
              <w:jc w:val="right"/>
            </w:pPr>
            <w:r>
              <w:rPr>
                <w:b w:val="0"/>
                <w:i w:val="0"/>
                <w:sz w:val="16"/>
              </w:rPr>
              <w:t>40.6%</w:t>
            </w:r>
          </w:p>
        </w:tc>
        <w:tc>
          <w:tcPr>
            <w:tcW w:type="dxa" w:w="1288"/>
            <w:shd w:val="clear" w:color="auto" w:fill="D9E1F2"/>
          </w:tcPr>
          <w:p>
            <w:pPr>
              <w:spacing w:after="0" w:line="240" w:lineRule="auto"/>
              <w:jc w:val="right"/>
            </w:pPr>
            <w:r>
              <w:rPr>
                <w:b w:val="0"/>
                <w:i w:val="0"/>
                <w:sz w:val="16"/>
              </w:rPr>
              <w:t>41.6%</w:t>
            </w:r>
          </w:p>
        </w:tc>
        <w:tc>
          <w:tcPr>
            <w:tcW w:type="dxa" w:w="1288"/>
            <w:shd w:val="clear" w:color="auto" w:fill="D9E1F2"/>
          </w:tcPr>
          <w:p>
            <w:pPr>
              <w:spacing w:after="0" w:line="240" w:lineRule="auto"/>
              <w:jc w:val="right"/>
            </w:pPr>
            <w:r>
              <w:rPr>
                <w:b w:val="0"/>
                <w:i w:val="0"/>
                <w:sz w:val="16"/>
              </w:rPr>
              <w:t>41.8%</w:t>
            </w:r>
          </w:p>
        </w:tc>
      </w:tr>
      <w:tr>
        <w:trPr>
          <w:cantSplit/>
        </w:trPr>
        <w:tc>
          <w:tcPr>
            <w:tcW w:type="dxa" w:w="3350"/>
          </w:tcPr>
          <w:p>
            <w:pPr>
              <w:spacing w:after="0" w:line="240" w:lineRule="auto"/>
            </w:pPr>
            <w:r>
              <w:rPr>
                <w:b w:val="0"/>
                <w:i w:val="0"/>
                <w:sz w:val="16"/>
              </w:rPr>
              <w:t xml:space="preserve">Operating profit (GAAP), $m </w:t>
            </w:r>
            <w:r>
              <w:rPr>
                <w:b/>
                <w:color w:val="2E548C"/>
                <w:sz w:val="13"/>
              </w:rPr>
              <w:t>[D]</w:t>
            </w:r>
          </w:p>
        </w:tc>
        <w:tc>
          <w:tcPr>
            <w:tcW w:type="dxa" w:w="1288"/>
          </w:tcPr>
          <w:p>
            <w:pPr>
              <w:spacing w:after="0" w:line="240" w:lineRule="auto"/>
              <w:jc w:val="right"/>
            </w:pPr>
            <w:r>
              <w:rPr>
                <w:b w:val="0"/>
                <w:i w:val="0"/>
                <w:sz w:val="16"/>
              </w:rPr>
              <w:t>239</w:t>
            </w:r>
          </w:p>
        </w:tc>
        <w:tc>
          <w:tcPr>
            <w:tcW w:type="dxa" w:w="1288"/>
          </w:tcPr>
          <w:p>
            <w:pPr>
              <w:spacing w:after="0" w:line="240" w:lineRule="auto"/>
              <w:jc w:val="right"/>
            </w:pPr>
            <w:r>
              <w:rPr>
                <w:b w:val="0"/>
                <w:i w:val="0"/>
                <w:sz w:val="16"/>
              </w:rPr>
              <w:t>298</w:t>
            </w:r>
          </w:p>
        </w:tc>
        <w:tc>
          <w:tcPr>
            <w:tcW w:type="dxa" w:w="1288"/>
          </w:tcPr>
          <w:p>
            <w:pPr>
              <w:spacing w:after="0" w:line="240" w:lineRule="auto"/>
              <w:jc w:val="right"/>
            </w:pPr>
            <w:r>
              <w:rPr>
                <w:b w:val="0"/>
                <w:i w:val="0"/>
                <w:sz w:val="16"/>
              </w:rPr>
              <w:t>339</w:t>
            </w:r>
          </w:p>
        </w:tc>
        <w:tc>
          <w:tcPr>
            <w:tcW w:type="dxa" w:w="1288"/>
          </w:tcPr>
          <w:p>
            <w:pPr>
              <w:spacing w:after="0" w:line="240" w:lineRule="auto"/>
              <w:jc w:val="right"/>
            </w:pPr>
            <w:r>
              <w:rPr>
                <w:b w:val="0"/>
                <w:i w:val="0"/>
                <w:sz w:val="16"/>
              </w:rPr>
              <w:t>180</w:t>
            </w:r>
          </w:p>
        </w:tc>
        <w:tc>
          <w:tcPr>
            <w:tcW w:type="dxa" w:w="1288"/>
          </w:tcPr>
          <w:p>
            <w:pPr>
              <w:spacing w:after="0" w:line="240" w:lineRule="auto"/>
              <w:jc w:val="right"/>
            </w:pPr>
            <w:r>
              <w:rPr>
                <w:b w:val="0"/>
                <w:i w:val="0"/>
                <w:sz w:val="16"/>
              </w:rPr>
              <w:t>163</w:t>
            </w:r>
          </w:p>
        </w:tc>
      </w:tr>
      <w:tr>
        <w:trPr>
          <w:cantSplit/>
        </w:trPr>
        <w:tc>
          <w:tcPr>
            <w:tcW w:type="dxa" w:w="3350"/>
            <w:shd w:val="clear" w:color="auto" w:fill="D9E1F2"/>
          </w:tcPr>
          <w:p>
            <w:pPr>
              <w:spacing w:after="0" w:line="240" w:lineRule="auto"/>
            </w:pPr>
            <w:r>
              <w:rPr>
                <w:b w:val="0"/>
                <w:i w:val="0"/>
                <w:sz w:val="16"/>
              </w:rPr>
              <w:t xml:space="preserve">Net income (carve-out), $m </w:t>
            </w:r>
            <w:r>
              <w:rPr>
                <w:b/>
                <w:color w:val="2E548C"/>
                <w:sz w:val="13"/>
              </w:rPr>
              <w:t>[D]</w:t>
            </w:r>
          </w:p>
        </w:tc>
        <w:tc>
          <w:tcPr>
            <w:tcW w:type="dxa" w:w="1288"/>
            <w:shd w:val="clear" w:color="auto" w:fill="D9E1F2"/>
          </w:tcPr>
          <w:p>
            <w:pPr>
              <w:spacing w:after="0" w:line="240" w:lineRule="auto"/>
              <w:jc w:val="right"/>
            </w:pPr>
            <w:r>
              <w:rPr>
                <w:b w:val="0"/>
                <w:i w:val="0"/>
                <w:sz w:val="16"/>
              </w:rPr>
              <w:t>163</w:t>
            </w:r>
          </w:p>
        </w:tc>
        <w:tc>
          <w:tcPr>
            <w:tcW w:type="dxa" w:w="1288"/>
            <w:shd w:val="clear" w:color="auto" w:fill="D9E1F2"/>
          </w:tcPr>
          <w:p>
            <w:pPr>
              <w:spacing w:after="0" w:line="240" w:lineRule="auto"/>
              <w:jc w:val="right"/>
            </w:pPr>
            <w:r>
              <w:rPr>
                <w:b w:val="0"/>
                <w:i w:val="0"/>
                <w:sz w:val="16"/>
              </w:rPr>
              <w:t>208</w:t>
            </w:r>
          </w:p>
        </w:tc>
        <w:tc>
          <w:tcPr>
            <w:tcW w:type="dxa" w:w="1288"/>
            <w:shd w:val="clear" w:color="auto" w:fill="D9E1F2"/>
          </w:tcPr>
          <w:p>
            <w:pPr>
              <w:spacing w:after="0" w:line="240" w:lineRule="auto"/>
              <w:jc w:val="right"/>
            </w:pPr>
            <w:r>
              <w:rPr>
                <w:b w:val="0"/>
                <w:i w:val="0"/>
                <w:sz w:val="16"/>
              </w:rPr>
              <w:t>220</w:t>
            </w:r>
          </w:p>
        </w:tc>
        <w:tc>
          <w:tcPr>
            <w:tcW w:type="dxa" w:w="1288"/>
            <w:shd w:val="clear" w:color="auto" w:fill="D9E1F2"/>
          </w:tcPr>
          <w:p>
            <w:pPr>
              <w:spacing w:after="0" w:line="240" w:lineRule="auto"/>
              <w:jc w:val="right"/>
            </w:pPr>
            <w:r>
              <w:rPr>
                <w:b w:val="0"/>
                <w:i w:val="0"/>
                <w:sz w:val="16"/>
              </w:rPr>
              <w:t>123</w:t>
            </w:r>
          </w:p>
        </w:tc>
        <w:tc>
          <w:tcPr>
            <w:tcW w:type="dxa" w:w="1288"/>
            <w:shd w:val="clear" w:color="auto" w:fill="D9E1F2"/>
          </w:tcPr>
          <w:p>
            <w:pPr>
              <w:spacing w:after="0" w:line="240" w:lineRule="auto"/>
              <w:jc w:val="right"/>
            </w:pPr>
            <w:r>
              <w:rPr>
                <w:b w:val="0"/>
                <w:i w:val="0"/>
                <w:sz w:val="16"/>
              </w:rPr>
              <w:t>108</w:t>
            </w:r>
          </w:p>
        </w:tc>
      </w:tr>
      <w:tr>
        <w:trPr>
          <w:cantSplit/>
        </w:trPr>
        <w:tc>
          <w:tcPr>
            <w:tcW w:type="dxa" w:w="3350"/>
          </w:tcPr>
          <w:p>
            <w:pPr>
              <w:spacing w:after="0" w:line="240" w:lineRule="auto"/>
            </w:pPr>
            <w:r>
              <w:rPr>
                <w:b w:val="0"/>
                <w:i w:val="0"/>
                <w:sz w:val="16"/>
              </w:rPr>
              <w:t xml:space="preserve">Free cash flow (CFO − capex), $m </w:t>
            </w:r>
            <w:r>
              <w:rPr>
                <w:b/>
                <w:color w:val="2E548C"/>
                <w:sz w:val="13"/>
              </w:rPr>
              <w:t>[C]</w:t>
            </w:r>
          </w:p>
        </w:tc>
        <w:tc>
          <w:tcPr>
            <w:tcW w:type="dxa" w:w="1288"/>
          </w:tcPr>
          <w:p>
            <w:pPr>
              <w:spacing w:after="0" w:line="240" w:lineRule="auto"/>
              <w:jc w:val="right"/>
            </w:pPr>
            <w:r>
              <w:rPr>
                <w:b w:val="0"/>
                <w:i w:val="0"/>
                <w:sz w:val="16"/>
              </w:rPr>
              <w:t>375</w:t>
            </w:r>
          </w:p>
        </w:tc>
        <w:tc>
          <w:tcPr>
            <w:tcW w:type="dxa" w:w="1288"/>
          </w:tcPr>
          <w:p>
            <w:pPr>
              <w:spacing w:after="0" w:line="240" w:lineRule="auto"/>
              <w:jc w:val="right"/>
            </w:pPr>
            <w:r>
              <w:rPr>
                <w:b w:val="0"/>
                <w:i w:val="0"/>
                <w:sz w:val="16"/>
              </w:rPr>
              <w:t>412</w:t>
            </w:r>
          </w:p>
        </w:tc>
        <w:tc>
          <w:tcPr>
            <w:tcW w:type="dxa" w:w="1288"/>
          </w:tcPr>
          <w:p>
            <w:pPr>
              <w:spacing w:after="0" w:line="240" w:lineRule="auto"/>
              <w:jc w:val="right"/>
            </w:pPr>
            <w:r>
              <w:rPr>
                <w:b w:val="0"/>
                <w:i w:val="0"/>
                <w:sz w:val="16"/>
              </w:rPr>
              <w:t>461</w:t>
            </w:r>
          </w:p>
        </w:tc>
        <w:tc>
          <w:tcPr>
            <w:tcW w:type="dxa" w:w="1288"/>
          </w:tcPr>
          <w:p>
            <w:pPr>
              <w:spacing w:after="0" w:line="240" w:lineRule="auto"/>
              <w:jc w:val="right"/>
            </w:pPr>
            <w:r>
              <w:rPr>
                <w:b w:val="0"/>
                <w:i w:val="0"/>
                <w:sz w:val="16"/>
              </w:rPr>
              <w:t>225</w:t>
            </w:r>
          </w:p>
        </w:tc>
        <w:tc>
          <w:tcPr>
            <w:tcW w:type="dxa" w:w="1288"/>
          </w:tcPr>
          <w:p>
            <w:pPr>
              <w:spacing w:after="0" w:line="240" w:lineRule="auto"/>
              <w:jc w:val="right"/>
            </w:pPr>
            <w:r>
              <w:rPr>
                <w:b w:val="0"/>
                <w:i w:val="0"/>
                <w:sz w:val="16"/>
              </w:rPr>
              <w:t>177</w:t>
            </w:r>
          </w:p>
        </w:tc>
      </w:tr>
      <w:tr>
        <w:trPr>
          <w:cantSplit/>
        </w:trPr>
        <w:tc>
          <w:tcPr>
            <w:tcW w:type="dxa" w:w="3350"/>
            <w:shd w:val="clear" w:color="auto" w:fill="D9E1F2"/>
          </w:tcPr>
          <w:p>
            <w:pPr>
              <w:spacing w:after="0" w:line="240" w:lineRule="auto"/>
            </w:pPr>
            <w:r>
              <w:rPr>
                <w:b w:val="0"/>
                <w:i w:val="0"/>
                <w:sz w:val="16"/>
              </w:rPr>
              <w:t xml:space="preserve">FCF / Adj. EBITDA </w:t>
            </w:r>
            <w:r>
              <w:rPr>
                <w:b/>
                <w:color w:val="2E548C"/>
                <w:sz w:val="13"/>
              </w:rPr>
              <w:t>[C]</w:t>
            </w:r>
          </w:p>
        </w:tc>
        <w:tc>
          <w:tcPr>
            <w:tcW w:type="dxa" w:w="1288"/>
            <w:shd w:val="clear" w:color="auto" w:fill="D9E1F2"/>
          </w:tcPr>
          <w:p>
            <w:pPr>
              <w:spacing w:after="0" w:line="240" w:lineRule="auto"/>
              <w:jc w:val="right"/>
            </w:pPr>
            <w:r>
              <w:rPr>
                <w:b w:val="0"/>
                <w:i w:val="0"/>
                <w:sz w:val="16"/>
              </w:rPr>
              <w:t>63%</w:t>
            </w:r>
          </w:p>
        </w:tc>
        <w:tc>
          <w:tcPr>
            <w:tcW w:type="dxa" w:w="1288"/>
            <w:shd w:val="clear" w:color="auto" w:fill="D9E1F2"/>
          </w:tcPr>
          <w:p>
            <w:pPr>
              <w:spacing w:after="0" w:line="240" w:lineRule="auto"/>
              <w:jc w:val="right"/>
            </w:pPr>
            <w:r>
              <w:rPr>
                <w:b w:val="0"/>
                <w:i w:val="0"/>
                <w:sz w:val="16"/>
              </w:rPr>
              <w:t>63%</w:t>
            </w:r>
          </w:p>
        </w:tc>
        <w:tc>
          <w:tcPr>
            <w:tcW w:type="dxa" w:w="1288"/>
            <w:shd w:val="clear" w:color="auto" w:fill="D9E1F2"/>
          </w:tcPr>
          <w:p>
            <w:pPr>
              <w:spacing w:after="0" w:line="240" w:lineRule="auto"/>
              <w:jc w:val="right"/>
            </w:pPr>
            <w:r>
              <w:rPr>
                <w:b w:val="0"/>
                <w:i w:val="0"/>
                <w:sz w:val="16"/>
              </w:rPr>
              <w:t>65%</w:t>
            </w:r>
          </w:p>
        </w:tc>
        <w:tc>
          <w:tcPr>
            <w:tcW w:type="dxa" w:w="1288"/>
            <w:shd w:val="clear" w:color="auto" w:fill="D9E1F2"/>
          </w:tcPr>
          <w:p>
            <w:pPr>
              <w:spacing w:after="0" w:line="240" w:lineRule="auto"/>
              <w:jc w:val="right"/>
            </w:pPr>
            <w:r>
              <w:rPr>
                <w:b w:val="0"/>
                <w:i w:val="0"/>
                <w:sz w:val="16"/>
              </w:rPr>
              <w:t>63%</w:t>
            </w:r>
          </w:p>
        </w:tc>
        <w:tc>
          <w:tcPr>
            <w:tcW w:type="dxa" w:w="1288"/>
            <w:shd w:val="clear" w:color="auto" w:fill="D9E1F2"/>
          </w:tcPr>
          <w:p>
            <w:pPr>
              <w:spacing w:after="0" w:line="240" w:lineRule="auto"/>
              <w:jc w:val="right"/>
            </w:pPr>
            <w:r>
              <w:rPr>
                <w:b w:val="0"/>
                <w:i w:val="0"/>
                <w:sz w:val="16"/>
              </w:rPr>
              <w:t>46%</w:t>
            </w:r>
          </w:p>
        </w:tc>
      </w:tr>
    </w:tbl>
    <w:p>
      <w:pPr>
        <w:spacing w:after="120"/>
      </w:pPr>
      <w:r>
        <w:rPr>
          <w:b w:val="0"/>
          <w:i/>
          <w:color w:val="595959"/>
          <w:sz w:val="15"/>
        </w:rPr>
        <w:t>Source: canonical/primary.csv (Form 10/A, 10-Q Q2-26); Adj. EBITDA from analysis/K_session_tables.md (D3). FY23/FY24 Adj. EBITDA are printed totals (segments foot to 597/659).</w:t>
      </w:r>
    </w:p>
    <w:p>
      <w:pPr>
        <w:keepNext/>
        <w:spacing w:before="80" w:after="40"/>
      </w:pPr>
      <w:r>
        <w:rPr>
          <w:b/>
          <w:i w:val="0"/>
          <w:color w:val="1F3864"/>
          <w:sz w:val="17"/>
        </w:rPr>
        <w:t>Exhibit 1.2 — Capital structure, guidance and market data</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448"/>
        <w:gridCol w:w="5760"/>
        <w:gridCol w:w="1584"/>
      </w:tblGrid>
      <w:tr>
        <w:trPr>
          <w:cantSplit/>
          <w:tblHeader/>
        </w:trPr>
        <w:tc>
          <w:tcPr>
            <w:tcW w:type="dxa" w:w="2448"/>
            <w:shd w:val="clear" w:color="auto" w:fill="1F3864"/>
          </w:tcPr>
          <w:p>
            <w:pPr>
              <w:spacing w:after="0" w:line="240" w:lineRule="auto"/>
            </w:pPr>
            <w:r>
              <w:rPr>
                <w:b/>
                <w:i w:val="0"/>
                <w:color w:val="FFFFFF"/>
                <w:sz w:val="16"/>
              </w:rPr>
              <w:t>Item</w:t>
            </w:r>
          </w:p>
        </w:tc>
        <w:tc>
          <w:tcPr>
            <w:tcW w:type="dxa" w:w="5760"/>
            <w:shd w:val="clear" w:color="auto" w:fill="1F3864"/>
          </w:tcPr>
          <w:p>
            <w:pPr>
              <w:spacing w:after="0" w:line="240" w:lineRule="auto"/>
            </w:pPr>
            <w:r>
              <w:rPr>
                <w:b/>
                <w:i w:val="0"/>
                <w:color w:val="FFFFFF"/>
                <w:sz w:val="16"/>
              </w:rPr>
              <w:t>Value</w:t>
            </w:r>
          </w:p>
        </w:tc>
        <w:tc>
          <w:tcPr>
            <w:tcW w:type="dxa" w:w="1584"/>
            <w:shd w:val="clear" w:color="auto" w:fill="1F3864"/>
          </w:tcPr>
          <w:p>
            <w:pPr>
              <w:spacing w:after="0" w:line="240" w:lineRule="auto"/>
            </w:pPr>
            <w:r>
              <w:rPr>
                <w:b/>
                <w:i w:val="0"/>
                <w:color w:val="FFFFFF"/>
                <w:sz w:val="16"/>
              </w:rPr>
              <w:t>Source</w:t>
            </w:r>
          </w:p>
        </w:tc>
      </w:tr>
      <w:tr>
        <w:trPr>
          <w:cantSplit/>
        </w:trPr>
        <w:tc>
          <w:tcPr>
            <w:tcW w:type="dxa" w:w="2448"/>
          </w:tcPr>
          <w:p>
            <w:pPr>
              <w:spacing w:after="0" w:line="240" w:lineRule="auto"/>
            </w:pPr>
            <w:r>
              <w:rPr>
                <w:b w:val="0"/>
                <w:i w:val="0"/>
                <w:sz w:val="16"/>
              </w:rPr>
              <w:t>FY26 guidance (2026-08-07)</w:t>
            </w:r>
          </w:p>
        </w:tc>
        <w:tc>
          <w:tcPr>
            <w:tcW w:type="dxa" w:w="5760"/>
          </w:tcPr>
          <w:p>
            <w:pPr>
              <w:spacing w:after="0" w:line="240" w:lineRule="auto"/>
            </w:pPr>
            <w:r>
              <w:rPr>
                <w:b w:val="0"/>
                <w:i w:val="0"/>
                <w:sz w:val="16"/>
              </w:rPr>
              <w:t xml:space="preserve">Revenue $1,870–1,885m (+6.9–7.7% reported) </w:t>
            </w:r>
            <w:r>
              <w:rPr>
                <w:b/>
                <w:color w:val="2E548C"/>
                <w:sz w:val="13"/>
              </w:rPr>
              <w:t>[D]</w:t>
            </w:r>
            <w:r>
              <w:rPr>
                <w:b w:val="0"/>
                <w:i w:val="0"/>
                <w:sz w:val="16"/>
              </w:rPr>
              <w:t xml:space="preserve">; Adj. EBITDA $745–760m (~40%) </w:t>
            </w:r>
            <w:r>
              <w:rPr>
                <w:b/>
                <w:color w:val="2E548C"/>
                <w:sz w:val="13"/>
              </w:rPr>
              <w:t>[D]</w:t>
            </w:r>
          </w:p>
        </w:tc>
        <w:tc>
          <w:tcPr>
            <w:tcW w:type="dxa" w:w="1584"/>
          </w:tcPr>
          <w:p>
            <w:pPr>
              <w:spacing w:after="0" w:line="240" w:lineRule="auto"/>
            </w:pPr>
            <w:r>
              <w:rPr>
                <w:b w:val="0"/>
                <w:i w:val="0"/>
                <w:sz w:val="16"/>
              </w:rPr>
              <w:t>Q2 deck p.9</w:t>
            </w:r>
          </w:p>
        </w:tc>
      </w:tr>
      <w:tr>
        <w:trPr>
          <w:cantSplit/>
        </w:trPr>
        <w:tc>
          <w:tcPr>
            <w:tcW w:type="dxa" w:w="2448"/>
            <w:shd w:val="clear" w:color="auto" w:fill="D9E1F2"/>
          </w:tcPr>
          <w:p>
            <w:pPr>
              <w:spacing w:after="0" w:line="240" w:lineRule="auto"/>
            </w:pPr>
            <w:r>
              <w:rPr>
                <w:b w:val="0"/>
                <w:i w:val="0"/>
                <w:sz w:val="16"/>
              </w:rPr>
              <w:t>Cash / long-term debt at 6/30/26</w:t>
            </w:r>
          </w:p>
        </w:tc>
        <w:tc>
          <w:tcPr>
            <w:tcW w:type="dxa" w:w="5760"/>
            <w:shd w:val="clear" w:color="auto" w:fill="D9E1F2"/>
          </w:tcPr>
          <w:p>
            <w:pPr>
              <w:spacing w:after="0" w:line="240" w:lineRule="auto"/>
            </w:pPr>
            <w:r>
              <w:rPr>
                <w:b w:val="0"/>
                <w:i w:val="0"/>
                <w:sz w:val="16"/>
              </w:rPr>
              <w:t xml:space="preserve">$186m </w:t>
            </w:r>
            <w:r>
              <w:rPr>
                <w:b/>
                <w:color w:val="2E548C"/>
                <w:sz w:val="13"/>
              </w:rPr>
              <w:t>[D]</w:t>
            </w:r>
            <w:r>
              <w:rPr>
                <w:b w:val="0"/>
                <w:i w:val="0"/>
                <w:sz w:val="16"/>
              </w:rPr>
              <w:t xml:space="preserve"> / $1,981m </w:t>
            </w:r>
            <w:r>
              <w:rPr>
                <w:b/>
                <w:color w:val="2E548C"/>
                <w:sz w:val="13"/>
              </w:rPr>
              <w:t>[D]</w:t>
            </w:r>
            <w:r>
              <w:rPr>
                <w:b w:val="0"/>
                <w:i w:val="0"/>
                <w:sz w:val="16"/>
              </w:rPr>
              <w:t xml:space="preserve"> ($2.0bn notes, 5.53% weighted coupon </w:t>
            </w:r>
            <w:r>
              <w:rPr>
                <w:b/>
                <w:color w:val="2E548C"/>
                <w:sz w:val="13"/>
              </w:rPr>
              <w:t>[C]</w:t>
            </w:r>
            <w:r>
              <w:rPr>
                <w:b w:val="0"/>
                <w:i w:val="0"/>
                <w:sz w:val="16"/>
              </w:rPr>
              <w:t>)</w:t>
            </w:r>
          </w:p>
        </w:tc>
        <w:tc>
          <w:tcPr>
            <w:tcW w:type="dxa" w:w="1584"/>
            <w:shd w:val="clear" w:color="auto" w:fill="D9E1F2"/>
          </w:tcPr>
          <w:p>
            <w:pPr>
              <w:spacing w:after="0" w:line="240" w:lineRule="auto"/>
            </w:pPr>
            <w:r>
              <w:rPr>
                <w:b w:val="0"/>
                <w:i w:val="0"/>
                <w:sz w:val="16"/>
              </w:rPr>
              <w:t>10-Q p.6, 11</w:t>
            </w:r>
          </w:p>
        </w:tc>
      </w:tr>
      <w:tr>
        <w:trPr>
          <w:cantSplit/>
        </w:trPr>
        <w:tc>
          <w:tcPr>
            <w:tcW w:type="dxa" w:w="2448"/>
          </w:tcPr>
          <w:p>
            <w:pPr>
              <w:spacing w:after="0" w:line="240" w:lineRule="auto"/>
            </w:pPr>
            <w:r>
              <w:rPr>
                <w:b w:val="0"/>
                <w:i w:val="0"/>
                <w:sz w:val="16"/>
              </w:rPr>
              <w:t>Leverage</w:t>
            </w:r>
          </w:p>
        </w:tc>
        <w:tc>
          <w:tcPr>
            <w:tcW w:type="dxa" w:w="5760"/>
          </w:tcPr>
          <w:p>
            <w:pPr>
              <w:spacing w:after="0" w:line="240" w:lineRule="auto"/>
            </w:pPr>
            <w:r>
              <w:rPr>
                <w:b w:val="0"/>
                <w:i w:val="0"/>
                <w:sz w:val="16"/>
              </w:rPr>
              <w:t xml:space="preserve">Gross 2.7x, net 2.4x; net debt $1.8bn </w:t>
            </w:r>
            <w:r>
              <w:rPr>
                <w:b/>
                <w:color w:val="2E548C"/>
                <w:sz w:val="13"/>
              </w:rPr>
              <w:t>[IR]</w:t>
            </w:r>
            <w:r>
              <w:rPr>
                <w:b w:val="0"/>
                <w:i w:val="0"/>
                <w:sz w:val="16"/>
              </w:rPr>
              <w:t xml:space="preserve">; target gross ~2.5x </w:t>
            </w:r>
            <w:r>
              <w:rPr>
                <w:b/>
                <w:color w:val="2E548C"/>
                <w:sz w:val="13"/>
              </w:rPr>
              <w:t>[IR]</w:t>
            </w:r>
          </w:p>
        </w:tc>
        <w:tc>
          <w:tcPr>
            <w:tcW w:type="dxa" w:w="1584"/>
          </w:tcPr>
          <w:p>
            <w:pPr>
              <w:spacing w:after="0" w:line="240" w:lineRule="auto"/>
            </w:pPr>
            <w:r>
              <w:rPr>
                <w:b w:val="0"/>
                <w:i w:val="0"/>
                <w:sz w:val="16"/>
              </w:rPr>
              <w:t>GS 2026-09-10; Q2 call</w:t>
            </w:r>
          </w:p>
        </w:tc>
      </w:tr>
      <w:tr>
        <w:trPr>
          <w:cantSplit/>
        </w:trPr>
        <w:tc>
          <w:tcPr>
            <w:tcW w:type="dxa" w:w="2448"/>
            <w:shd w:val="clear" w:color="auto" w:fill="D9E1F2"/>
          </w:tcPr>
          <w:p>
            <w:pPr>
              <w:spacing w:after="0" w:line="240" w:lineRule="auto"/>
            </w:pPr>
            <w:r>
              <w:rPr>
                <w:b w:val="0"/>
                <w:i w:val="0"/>
                <w:sz w:val="16"/>
              </w:rPr>
              <w:t>Standalone normalized NI</w:t>
            </w:r>
          </w:p>
        </w:tc>
        <w:tc>
          <w:tcPr>
            <w:tcW w:type="dxa" w:w="5760"/>
            <w:shd w:val="clear" w:color="auto" w:fill="D9E1F2"/>
          </w:tcPr>
          <w:p>
            <w:pPr>
              <w:spacing w:after="0" w:line="240" w:lineRule="auto"/>
            </w:pPr>
            <w:r>
              <w:rPr>
                <w:b w:val="0"/>
                <w:i w:val="0"/>
                <w:sz w:val="16"/>
              </w:rPr>
              <w:t xml:space="preserve">~$171m FY25 base (range 161–182) / ~$209m FY26 run-rate </w:t>
            </w:r>
            <w:r>
              <w:rPr>
                <w:b/>
                <w:color w:val="2E548C"/>
                <w:sz w:val="13"/>
              </w:rPr>
              <w:t>[C/E]</w:t>
            </w:r>
            <w:r>
              <w:rPr>
                <w:b w:val="0"/>
                <w:i w:val="0"/>
                <w:sz w:val="16"/>
              </w:rPr>
              <w:t xml:space="preserve"> vs carve-out $220m </w:t>
            </w:r>
            <w:r>
              <w:rPr>
                <w:b/>
                <w:color w:val="2E548C"/>
                <w:sz w:val="13"/>
              </w:rPr>
              <w:t>[D]</w:t>
            </w:r>
          </w:p>
        </w:tc>
        <w:tc>
          <w:tcPr>
            <w:tcW w:type="dxa" w:w="1584"/>
            <w:shd w:val="clear" w:color="auto" w:fill="D9E1F2"/>
          </w:tcPr>
          <w:p>
            <w:pPr>
              <w:spacing w:after="0" w:line="240" w:lineRule="auto"/>
            </w:pPr>
            <w:r>
              <w:rPr>
                <w:b w:val="0"/>
                <w:i w:val="0"/>
                <w:sz w:val="16"/>
              </w:rPr>
              <w:t>D3 §4</w:t>
            </w:r>
          </w:p>
        </w:tc>
      </w:tr>
      <w:tr>
        <w:trPr>
          <w:cantSplit/>
        </w:trPr>
        <w:tc>
          <w:tcPr>
            <w:tcW w:type="dxa" w:w="2448"/>
          </w:tcPr>
          <w:p>
            <w:pPr>
              <w:spacing w:after="0" w:line="240" w:lineRule="auto"/>
            </w:pPr>
            <w:r>
              <w:rPr>
                <w:b w:val="0"/>
                <w:i w:val="0"/>
                <w:sz w:val="16"/>
              </w:rPr>
              <w:t>Dividend</w:t>
            </w:r>
          </w:p>
        </w:tc>
        <w:tc>
          <w:tcPr>
            <w:tcW w:type="dxa" w:w="5760"/>
          </w:tcPr>
          <w:p>
            <w:pPr>
              <w:spacing w:after="0" w:line="240" w:lineRule="auto"/>
            </w:pPr>
            <w:r>
              <w:rPr>
                <w:b w:val="0"/>
                <w:i w:val="0"/>
                <w:sz w:val="16"/>
              </w:rPr>
              <w:t xml:space="preserve">$0.06/qtr = $70.8m a year </w:t>
            </w:r>
            <w:r>
              <w:rPr>
                <w:b/>
                <w:color w:val="2E548C"/>
                <w:sz w:val="13"/>
              </w:rPr>
              <w:t>[C]</w:t>
            </w:r>
            <w:r>
              <w:rPr>
                <w:b w:val="0"/>
                <w:i w:val="0"/>
                <w:sz w:val="16"/>
              </w:rPr>
              <w:t xml:space="preserve"> (34–44% of normalized NI </w:t>
            </w:r>
            <w:r>
              <w:rPr>
                <w:b/>
                <w:color w:val="2E548C"/>
                <w:sz w:val="13"/>
              </w:rPr>
              <w:t>[C]</w:t>
            </w:r>
            <w:r>
              <w:rPr>
                <w:b w:val="0"/>
                <w:i w:val="0"/>
                <w:sz w:val="16"/>
              </w:rPr>
              <w:t xml:space="preserve">; ~19% of standalone FCF ~$365m </w:t>
            </w:r>
            <w:r>
              <w:rPr>
                <w:b/>
                <w:color w:val="2E548C"/>
                <w:sz w:val="13"/>
              </w:rPr>
              <w:t>[C]</w:t>
            </w:r>
            <w:r>
              <w:rPr>
                <w:b w:val="0"/>
                <w:i w:val="0"/>
                <w:sz w:val="16"/>
              </w:rPr>
              <w:t>)</w:t>
            </w:r>
          </w:p>
        </w:tc>
        <w:tc>
          <w:tcPr>
            <w:tcW w:type="dxa" w:w="1584"/>
          </w:tcPr>
          <w:p>
            <w:pPr>
              <w:spacing w:after="0" w:line="240" w:lineRule="auto"/>
            </w:pPr>
            <w:r>
              <w:rPr>
                <w:b w:val="0"/>
                <w:i w:val="0"/>
                <w:sz w:val="16"/>
              </w:rPr>
              <w:t>D3 §5</w:t>
            </w:r>
          </w:p>
        </w:tc>
      </w:tr>
      <w:tr>
        <w:trPr>
          <w:cantSplit/>
        </w:trPr>
        <w:tc>
          <w:tcPr>
            <w:tcW w:type="dxa" w:w="2448"/>
            <w:shd w:val="clear" w:color="auto" w:fill="D9E1F2"/>
          </w:tcPr>
          <w:p>
            <w:pPr>
              <w:spacing w:after="0" w:line="240" w:lineRule="auto"/>
            </w:pPr>
            <w:r>
              <w:rPr>
                <w:b w:val="0"/>
                <w:i w:val="0"/>
                <w:sz w:val="16"/>
              </w:rPr>
              <w:t>Shares outstanding</w:t>
            </w:r>
          </w:p>
        </w:tc>
        <w:tc>
          <w:tcPr>
            <w:tcW w:type="dxa" w:w="5760"/>
            <w:shd w:val="clear" w:color="auto" w:fill="D9E1F2"/>
          </w:tcPr>
          <w:p>
            <w:pPr>
              <w:spacing w:after="0" w:line="240" w:lineRule="auto"/>
            </w:pPr>
            <w:r>
              <w:rPr>
                <w:b w:val="0"/>
                <w:i w:val="0"/>
                <w:sz w:val="16"/>
              </w:rPr>
              <w:t xml:space="preserve">294,821,320 at the 2026-06-15 record date </w:t>
            </w:r>
            <w:r>
              <w:rPr>
                <w:b/>
                <w:color w:val="2E548C"/>
                <w:sz w:val="13"/>
              </w:rPr>
              <w:t>[D]</w:t>
            </w:r>
          </w:p>
        </w:tc>
        <w:tc>
          <w:tcPr>
            <w:tcW w:type="dxa" w:w="1584"/>
            <w:shd w:val="clear" w:color="auto" w:fill="D9E1F2"/>
          </w:tcPr>
          <w:p>
            <w:pPr>
              <w:spacing w:after="0" w:line="240" w:lineRule="auto"/>
            </w:pPr>
            <w:r>
              <w:rPr>
                <w:b w:val="0"/>
                <w:i w:val="0"/>
                <w:sz w:val="16"/>
              </w:rPr>
              <w:t>10-Q p.11</w:t>
            </w:r>
          </w:p>
        </w:tc>
      </w:tr>
      <w:tr>
        <w:trPr>
          <w:cantSplit/>
        </w:trPr>
        <w:tc>
          <w:tcPr>
            <w:tcW w:type="dxa" w:w="2448"/>
          </w:tcPr>
          <w:p>
            <w:pPr>
              <w:spacing w:after="0" w:line="240" w:lineRule="auto"/>
            </w:pPr>
            <w:r>
              <w:rPr>
                <w:b w:val="0"/>
                <w:i w:val="0"/>
                <w:sz w:val="16"/>
              </w:rPr>
              <w:t>Share price / market value / EV</w:t>
            </w:r>
          </w:p>
        </w:tc>
        <w:tc>
          <w:tcPr>
            <w:tcW w:type="dxa" w:w="5760"/>
          </w:tcPr>
          <w:p>
            <w:pPr>
              <w:spacing w:after="0" w:line="240" w:lineRule="auto"/>
            </w:pPr>
            <w:r>
              <w:rPr>
                <w:b/>
                <w:color w:val="E36C09"/>
                <w:sz w:val="16"/>
              </w:rPr>
              <w:t>[TO COLLECT #1: MBGL share price, market capitalisation and enterprise value as of 2026-10-06]</w:t>
            </w:r>
          </w:p>
        </w:tc>
        <w:tc>
          <w:tcPr>
            <w:tcW w:type="dxa" w:w="1584"/>
          </w:tcPr>
          <w:p>
            <w:pPr>
              <w:spacing w:after="0" w:line="240" w:lineRule="auto"/>
            </w:pPr>
            <w:r>
              <w:rPr>
                <w:b w:val="0"/>
                <w:i w:val="0"/>
                <w:sz w:val="16"/>
              </w:rPr>
              <w:t>market data</w:t>
            </w:r>
          </w:p>
        </w:tc>
      </w:tr>
      <w:tr>
        <w:trPr>
          <w:cantSplit/>
        </w:trPr>
        <w:tc>
          <w:tcPr>
            <w:tcW w:type="dxa" w:w="2448"/>
            <w:shd w:val="clear" w:color="auto" w:fill="D9E1F2"/>
          </w:tcPr>
          <w:p>
            <w:pPr>
              <w:spacing w:after="0" w:line="240" w:lineRule="auto"/>
            </w:pPr>
            <w:r>
              <w:rPr>
                <w:b w:val="0"/>
                <w:i w:val="0"/>
                <w:sz w:val="16"/>
              </w:rPr>
              <w:t>Valuation multiples</w:t>
            </w:r>
          </w:p>
        </w:tc>
        <w:tc>
          <w:tcPr>
            <w:tcW w:type="dxa" w:w="5760"/>
            <w:shd w:val="clear" w:color="auto" w:fill="D9E1F2"/>
          </w:tcPr>
          <w:p>
            <w:pPr>
              <w:spacing w:after="0" w:line="240" w:lineRule="auto"/>
            </w:pPr>
            <w:r>
              <w:rPr>
                <w:b/>
                <w:color w:val="E36C09"/>
                <w:sz w:val="16"/>
              </w:rPr>
              <w:t>[TO COLLECT #2: EV/Adj. EBITDA, P/E on normalized NI, FCF yield — requires market data]</w:t>
            </w:r>
          </w:p>
        </w:tc>
        <w:tc>
          <w:tcPr>
            <w:tcW w:type="dxa" w:w="1584"/>
            <w:shd w:val="clear" w:color="auto" w:fill="D9E1F2"/>
          </w:tcPr>
          <w:p>
            <w:pPr>
              <w:spacing w:after="0" w:line="240" w:lineRule="auto"/>
            </w:pPr>
            <w:r>
              <w:rPr>
                <w:b w:val="0"/>
                <w:i w:val="0"/>
                <w:sz w:val="16"/>
              </w:rPr>
              <w:t>market data</w:t>
            </w:r>
          </w:p>
        </w:tc>
      </w:tr>
    </w:tbl>
    <w:p>
      <w:pPr>
        <w:spacing w:after="40"/>
      </w:pPr>
    </w:p>
    <w:p>
      <w:pPr>
        <w:pStyle w:val="Heading2"/>
      </w:pPr>
      <w:r>
        <w:t>1.3 Five key findings</w:t>
      </w:r>
    </w:p>
    <w:p>
      <w:pPr>
        <w:spacing w:after="80"/>
        <w:ind w:left="360" w:hanging="360"/>
      </w:pPr>
      <w:r>
        <w:rPr>
          <w:b/>
          <w:color w:val="1F3864"/>
        </w:rPr>
        <w:t xml:space="preserve">1.  </w:t>
      </w:r>
      <w:r>
        <w:rPr>
          <w:b/>
          <w:i w:val="0"/>
        </w:rPr>
        <w:t>Growth is now mostly price, and new business is fading.</w:t>
      </w:r>
      <w:r>
        <w:rPr>
          <w:b w:val="0"/>
          <w:i w:val="0"/>
        </w:rPr>
        <w:t xml:space="preserve"> The 10-Q attributes ~$36m of the $64m 6M-26 revenue increase to price and ~$20m to new business </w:t>
      </w:r>
      <w:r>
        <w:rPr>
          <w:b/>
          <w:color w:val="2E548C"/>
          <w:sz w:val="16"/>
        </w:rPr>
        <w:t>[D]</w:t>
      </w:r>
      <w:r>
        <w:rPr>
          <w:b w:val="0"/>
          <w:i w:val="0"/>
        </w:rPr>
        <w:t xml:space="preserve"> — ≈4.2pt of 7.4% growth </w:t>
      </w:r>
      <w:r>
        <w:rPr>
          <w:b/>
          <w:color w:val="2E548C"/>
          <w:sz w:val="16"/>
        </w:rPr>
        <w:t>[C]</w:t>
      </w:r>
      <w:r>
        <w:rPr>
          <w:b w:val="0"/>
          <w:i w:val="0"/>
        </w:rPr>
        <w:t xml:space="preserve">. New business fell from ~$12m (Q1, implied) to ~$8m (Q2) </w:t>
      </w:r>
      <w:r>
        <w:rPr>
          <w:b/>
          <w:color w:val="2E548C"/>
          <w:sz w:val="16"/>
        </w:rPr>
        <w:t>[C]</w:t>
      </w:r>
      <w:r>
        <w:rPr>
          <w:b w:val="0"/>
          <w:i w:val="0"/>
        </w:rPr>
        <w:t xml:space="preserve">. The Form 10/A had called the same Q1 growth “new business” ($26m) </w:t>
      </w:r>
      <w:r>
        <w:rPr>
          <w:b/>
          <w:color w:val="2E548C"/>
          <w:sz w:val="16"/>
        </w:rPr>
        <w:t>[D]</w:t>
      </w:r>
      <w:r>
        <w:rPr>
          <w:b w:val="0"/>
          <w:i w:val="0"/>
        </w:rPr>
        <w:t xml:space="preserve"> (D7 §5; D4 §3).</w:t>
      </w:r>
    </w:p>
    <w:p>
      <w:pPr>
        <w:spacing w:after="80"/>
        <w:ind w:left="360" w:hanging="360"/>
      </w:pPr>
      <w:r>
        <w:rPr>
          <w:b/>
          <w:color w:val="1F3864"/>
        </w:rPr>
        <w:t xml:space="preserve">2.  </w:t>
      </w:r>
      <w:r>
        <w:rPr>
          <w:b/>
          <w:i w:val="0"/>
        </w:rPr>
        <w:t>The CARFAX moat is wide and widening; B2B's is not.</w:t>
      </w:r>
      <w:r>
        <w:rPr>
          <w:b w:val="0"/>
          <w:i w:val="0"/>
        </w:rPr>
        <w:t xml:space="preserve"> Growth beat industry units in 10 of 11 years, by ~+10pt a year on average </w:t>
      </w:r>
      <w:r>
        <w:rPr>
          <w:b/>
          <w:color w:val="2E548C"/>
          <w:sz w:val="16"/>
        </w:rPr>
        <w:t>[C]</w:t>
      </w:r>
      <w:r>
        <w:rPr>
          <w:b w:val="0"/>
          <w:i w:val="0"/>
        </w:rPr>
        <w:t xml:space="preserve">; sources grew ~6.5% and records ~9.3% a year FY16–25 </w:t>
      </w:r>
      <w:r>
        <w:rPr>
          <w:b/>
          <w:color w:val="2E548C"/>
          <w:sz w:val="16"/>
        </w:rPr>
        <w:t>[C]</w:t>
      </w:r>
      <w:r>
        <w:rPr>
          <w:b w:val="0"/>
          <w:i w:val="0"/>
        </w:rPr>
        <w:t xml:space="preserve">; CARFAX Adj. EBITDA margin rose 45.5% → 46.9% → 48.0% (6M-26) </w:t>
      </w:r>
      <w:r>
        <w:rPr>
          <w:b/>
          <w:color w:val="2E548C"/>
          <w:sz w:val="16"/>
        </w:rPr>
        <w:t>[C]</w:t>
      </w:r>
      <w:r>
        <w:rPr>
          <w:b w:val="0"/>
          <w:i w:val="0"/>
        </w:rPr>
        <w:t xml:space="preserve">. B2B grew +3.1% / +5.9% with −18% FY25 Adj. EBITDA flow-through </w:t>
      </w:r>
      <w:r>
        <w:rPr>
          <w:b/>
          <w:color w:val="2E548C"/>
          <w:sz w:val="16"/>
        </w:rPr>
        <w:t>[C]</w:t>
      </w:r>
      <w:r>
        <w:rPr>
          <w:b w:val="0"/>
          <w:i w:val="0"/>
        </w:rPr>
        <w:t xml:space="preserve"> (D1, D2).</w:t>
      </w:r>
    </w:p>
    <w:p>
      <w:pPr>
        <w:spacing w:after="80"/>
        <w:ind w:left="360" w:hanging="360"/>
      </w:pPr>
      <w:r>
        <w:rPr>
          <w:b/>
          <w:color w:val="1F3864"/>
        </w:rPr>
        <w:t xml:space="preserve">3.  </w:t>
      </w:r>
      <w:r>
        <w:rPr>
          <w:b/>
          <w:i w:val="0"/>
        </w:rPr>
        <w:t>The margin narrative keeps resetting.</w:t>
      </w:r>
      <w:r>
        <w:rPr>
          <w:b w:val="0"/>
          <w:i w:val="0"/>
        </w:rPr>
        <w:t xml:space="preserve"> S&amp;P Global's 41–43% Mobility target was missed by 110–310bp while revenue was on plan </w:t>
      </w:r>
      <w:r>
        <w:rPr>
          <w:b/>
          <w:color w:val="2E548C"/>
          <w:sz w:val="16"/>
        </w:rPr>
        <w:t>[D/C]</w:t>
      </w:r>
      <w:r>
        <w:rPr>
          <w:b w:val="0"/>
          <w:i w:val="0"/>
        </w:rPr>
        <w:t xml:space="preserve">. The standalone cost drifted to the high end (~150bp ≈ $26m </w:t>
      </w:r>
      <w:r>
        <w:rPr>
          <w:b/>
          <w:color w:val="2E548C"/>
          <w:sz w:val="16"/>
        </w:rPr>
        <w:t>[C]</w:t>
      </w:r>
      <w:r>
        <w:rPr>
          <w:b w:val="0"/>
          <w:i w:val="0"/>
        </w:rPr>
        <w:t xml:space="preserve">), one-time costs to $75–110m </w:t>
      </w:r>
      <w:r>
        <w:rPr>
          <w:b/>
          <w:color w:val="2E548C"/>
          <w:sz w:val="16"/>
        </w:rPr>
        <w:t>[D]</w:t>
      </w:r>
      <w:r>
        <w:rPr>
          <w:b w:val="0"/>
          <w:i w:val="0"/>
        </w:rPr>
        <w:t xml:space="preserve">, expansion pushed to 2028 </w:t>
      </w:r>
      <w:r>
        <w:rPr>
          <w:b/>
          <w:color w:val="2E548C"/>
          <w:sz w:val="16"/>
        </w:rPr>
        <w:t>[IR]</w:t>
      </w:r>
      <w:r>
        <w:rPr>
          <w:b w:val="0"/>
          <w:i w:val="0"/>
        </w:rPr>
        <w:t xml:space="preserve">, and SBC rises from ~1% to 3–4% of revenue </w:t>
      </w:r>
      <w:r>
        <w:rPr>
          <w:b/>
          <w:color w:val="2E548C"/>
          <w:sz w:val="16"/>
        </w:rPr>
        <w:t>[IR]</w:t>
      </w:r>
      <w:r>
        <w:rPr>
          <w:b w:val="0"/>
          <w:i w:val="0"/>
        </w:rPr>
        <w:t xml:space="preserve"> (D10, D3, D4 §7–9).</w:t>
      </w:r>
    </w:p>
    <w:p>
      <w:pPr>
        <w:spacing w:after="80"/>
        <w:ind w:left="360" w:hanging="360"/>
      </w:pPr>
      <w:r>
        <w:rPr>
          <w:b/>
          <w:color w:val="1F3864"/>
        </w:rPr>
        <w:t xml:space="preserve">4.  </w:t>
      </w:r>
      <w:r>
        <w:rPr>
          <w:b/>
          <w:i w:val="0"/>
        </w:rPr>
        <w:t>The standalone capital structure changes the earnings picture, not the cash picture.</w:t>
      </w:r>
      <w:r>
        <w:rPr>
          <w:b w:val="0"/>
          <w:i w:val="0"/>
        </w:rPr>
        <w:t xml:space="preserve"> Interest goes from $13m to ~$110m </w:t>
      </w:r>
      <w:r>
        <w:rPr>
          <w:b/>
          <w:color w:val="2E548C"/>
          <w:sz w:val="16"/>
        </w:rPr>
        <w:t>[C]</w:t>
      </w:r>
      <w:r>
        <w:rPr>
          <w:b w:val="0"/>
          <w:i w:val="0"/>
        </w:rPr>
        <w:t xml:space="preserve"> (≈31% of normalized OP </w:t>
      </w:r>
      <w:r>
        <w:rPr>
          <w:b/>
          <w:color w:val="2E548C"/>
          <w:sz w:val="16"/>
        </w:rPr>
        <w:t>[C]</w:t>
      </w:r>
      <w:r>
        <w:rPr>
          <w:b w:val="0"/>
          <w:i w:val="0"/>
        </w:rPr>
        <w:t xml:space="preserve">). The “25% of normalized NI” dividend is 34–44% of reproducible normalized NI </w:t>
      </w:r>
      <w:r>
        <w:rPr>
          <w:b/>
          <w:color w:val="2E548C"/>
          <w:sz w:val="16"/>
        </w:rPr>
        <w:t>[C]</w:t>
      </w:r>
      <w:r>
        <w:rPr>
          <w:b w:val="0"/>
          <w:i w:val="0"/>
        </w:rPr>
        <w:t xml:space="preserve">, yet only ~19% of FCF </w:t>
      </w:r>
      <w:r>
        <w:rPr>
          <w:b/>
          <w:color w:val="2E548C"/>
          <w:sz w:val="16"/>
        </w:rPr>
        <w:t>[C]</w:t>
      </w:r>
      <w:r>
        <w:rPr>
          <w:b w:val="0"/>
          <w:i w:val="0"/>
        </w:rPr>
        <w:t xml:space="preserve"> (D3 §3–5).</w:t>
      </w:r>
    </w:p>
    <w:p>
      <w:pPr>
        <w:spacing w:after="80"/>
        <w:ind w:left="360" w:hanging="360"/>
      </w:pPr>
      <w:r>
        <w:rPr>
          <w:b/>
          <w:color w:val="1F3864"/>
        </w:rPr>
        <w:t xml:space="preserve">5.  </w:t>
      </w:r>
      <w:r>
        <w:rPr>
          <w:b/>
          <w:i w:val="0"/>
        </w:rPr>
        <w:t>Disclosure retreated as metrics weakened, and pay is loosely tied to per-share value.</w:t>
      </w:r>
      <w:r>
        <w:rPr>
          <w:b w:val="0"/>
          <w:i w:val="0"/>
        </w:rPr>
        <w:t xml:space="preserve"> NRR pulled, organic constant-currency growth no longer printed, business lines dropped, and the segment measure switched in the quarter B2B segment OP fell to $3m </w:t>
      </w:r>
      <w:r>
        <w:rPr>
          <w:b/>
          <w:color w:val="2E548C"/>
          <w:sz w:val="16"/>
        </w:rPr>
        <w:t>[D]</w:t>
      </w:r>
      <w:r>
        <w:rPr>
          <w:b w:val="0"/>
          <w:i w:val="0"/>
        </w:rPr>
        <w:t xml:space="preserve"> (D4 §0). PSUs converted to time-vested awards; no TSR metric; committee discretion unlimited; insiders hold &lt;1% </w:t>
      </w:r>
      <w:r>
        <w:rPr>
          <w:b/>
          <w:color w:val="2E548C"/>
          <w:sz w:val="16"/>
        </w:rPr>
        <w:t>[D]</w:t>
      </w:r>
      <w:r>
        <w:rPr>
          <w:b w:val="0"/>
          <w:i w:val="0"/>
        </w:rPr>
        <w:t xml:space="preserve"> (D5).</w:t>
      </w:r>
    </w:p>
    <w:tbl>
      <w:tblPr>
        <w:tblW w:type="auto" w:w="0"/>
        <w:jc w:val="center"/>
        <w:tblLook w:firstColumn="1" w:firstRow="1" w:lastColumn="0" w:lastRow="0" w:noHBand="0" w:noVBand="1" w:val="04A0"/>
        <w:tblBorders>
          <w:top w:val="nil" w:sz="0" w:space="0" w:color="auto"/>
          <w:left w:val="single" w:sz="24" w:space="0" w:color="1F3864"/>
          <w:bottom w:val="nil" w:sz="0" w:space="0" w:color="auto"/>
          <w:right w:val="nil" w:sz="0" w:space="0" w:color="auto"/>
          <w:insideH w:val="nil" w:sz="0" w:space="0" w:color="auto"/>
          <w:insideV w:val="nil" w:sz="0" w:space="0" w:color="auto"/>
        </w:tblBorders>
        <w:tblCellMar>
          <w:top w:w="90" w:type="dxa"/>
          <w:left w:w="160" w:type="dxa"/>
          <w:bottom w:w="90" w:type="dxa"/>
          <w:right w:w="120" w:type="dxa"/>
        </w:tblCellMar>
      </w:tblPr>
      <w:tblGrid>
        <w:gridCol w:w="8928"/>
      </w:tblGrid>
      <w:tr>
        <w:trPr>
          <w:cantSplit/>
        </w:trPr>
        <w:tc>
          <w:tcPr>
            <w:tcW w:type="dxa" w:w="8928"/>
            <w:shd w:val="clear" w:color="auto" w:fill="EEF2F9"/>
          </w:tcPr>
          <w:p>
            <w:pPr>
              <w:spacing w:after="60"/>
            </w:pPr>
            <w:r>
              <w:rPr>
                <w:i/>
                <w:color w:val="262626"/>
                <w:sz w:val="19"/>
              </w:rPr>
              <w:t>“Given our first half top-line performance, we are lowering our full year revenue guidance to 6.9%-7.7% growth for the year.”</w:t>
            </w:r>
          </w:p>
          <w:p>
            <w:pPr>
              <w:spacing w:after="0"/>
            </w:pPr>
            <w:r>
              <w:rPr>
                <w:b w:val="0"/>
                <w:i w:val="0"/>
                <w:color w:val="1F3864"/>
                <w:sz w:val="15"/>
              </w:rPr>
              <w:t xml:space="preserve">— Bill Eager (CEO), Q2 2026 Earnings Call, 2026-08-07 · Quartr t=243.34s </w:t>
            </w:r>
            <w:r>
              <w:rPr>
                <w:b/>
                <w:color w:val="2E548C"/>
                <w:sz w:val="12"/>
              </w:rPr>
              <w:t>[IR]</w:t>
            </w:r>
          </w:p>
        </w:tc>
      </w:tr>
    </w:tbl>
    <w:p>
      <w:pPr>
        <w:spacing w:after="40"/>
      </w:pPr>
    </w:p>
    <w:p>
      <w:pPr>
        <w:pStyle w:val="Heading2"/>
      </w:pPr>
      <w:r>
        <w:t>1.4 Key risks (detail in §15)</w:t>
      </w:r>
    </w:p>
    <w:p>
      <w:pPr>
        <w:keepNext/>
        <w:spacing w:before="80" w:after="40"/>
      </w:pPr>
      <w:r>
        <w:rPr>
          <w:b/>
          <w:i w:val="0"/>
          <w:color w:val="1F3864"/>
          <w:sz w:val="17"/>
        </w:rPr>
        <w:t>Exhibit 1.3 — Risk summary (impact / likelihood)</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880"/>
        <w:gridCol w:w="864"/>
        <w:gridCol w:w="1152"/>
        <w:gridCol w:w="4896"/>
      </w:tblGrid>
      <w:tr>
        <w:trPr>
          <w:cantSplit/>
          <w:tblHeader/>
        </w:trPr>
        <w:tc>
          <w:tcPr>
            <w:tcW w:type="dxa" w:w="2880"/>
            <w:shd w:val="clear" w:color="auto" w:fill="1F3864"/>
          </w:tcPr>
          <w:p>
            <w:pPr>
              <w:spacing w:after="0" w:line="240" w:lineRule="auto"/>
            </w:pPr>
            <w:r>
              <w:rPr>
                <w:b/>
                <w:i w:val="0"/>
                <w:color w:val="FFFFFF"/>
                <w:sz w:val="16"/>
              </w:rPr>
              <w:t>Risk</w:t>
            </w:r>
          </w:p>
        </w:tc>
        <w:tc>
          <w:tcPr>
            <w:tcW w:type="dxa" w:w="864"/>
            <w:shd w:val="clear" w:color="auto" w:fill="1F3864"/>
          </w:tcPr>
          <w:p>
            <w:pPr>
              <w:spacing w:after="0" w:line="240" w:lineRule="auto"/>
            </w:pPr>
            <w:r>
              <w:rPr>
                <w:b/>
                <w:i w:val="0"/>
                <w:color w:val="FFFFFF"/>
                <w:sz w:val="16"/>
              </w:rPr>
              <w:t>Impact</w:t>
            </w:r>
          </w:p>
        </w:tc>
        <w:tc>
          <w:tcPr>
            <w:tcW w:type="dxa" w:w="1152"/>
            <w:shd w:val="clear" w:color="auto" w:fill="1F3864"/>
          </w:tcPr>
          <w:p>
            <w:pPr>
              <w:spacing w:after="0" w:line="240" w:lineRule="auto"/>
            </w:pPr>
            <w:r>
              <w:rPr>
                <w:b/>
                <w:i w:val="0"/>
                <w:color w:val="FFFFFF"/>
                <w:sz w:val="16"/>
              </w:rPr>
              <w:t>Likelihood</w:t>
            </w:r>
          </w:p>
        </w:tc>
        <w:tc>
          <w:tcPr>
            <w:tcW w:type="dxa" w:w="4896"/>
            <w:shd w:val="clear" w:color="auto" w:fill="1F3864"/>
          </w:tcPr>
          <w:p>
            <w:pPr>
              <w:spacing w:after="0" w:line="240" w:lineRule="auto"/>
            </w:pPr>
            <w:r>
              <w:rPr>
                <w:b/>
                <w:i w:val="0"/>
                <w:color w:val="FFFFFF"/>
                <w:sz w:val="16"/>
              </w:rPr>
              <w:t>Comment</w:t>
            </w:r>
          </w:p>
        </w:tc>
      </w:tr>
      <w:tr>
        <w:trPr>
          <w:cantSplit/>
        </w:trPr>
        <w:tc>
          <w:tcPr>
            <w:tcW w:type="dxa" w:w="2880"/>
          </w:tcPr>
          <w:p>
            <w:pPr>
              <w:spacing w:after="0" w:line="240" w:lineRule="auto"/>
            </w:pPr>
            <w:r>
              <w:rPr>
                <w:b w:val="0"/>
                <w:i w:val="0"/>
                <w:sz w:val="16"/>
              </w:rPr>
              <w:t>1. Price lever wears out</w:t>
            </w:r>
          </w:p>
        </w:tc>
        <w:tc>
          <w:tcPr>
            <w:tcW w:type="dxa" w:w="864"/>
          </w:tcPr>
          <w:p>
            <w:pPr>
              <w:spacing w:after="0" w:line="240" w:lineRule="auto"/>
            </w:pPr>
            <w:r>
              <w:rPr>
                <w:b/>
                <w:i w:val="0"/>
                <w:sz w:val="16"/>
              </w:rPr>
              <w:t>H</w:t>
            </w:r>
          </w:p>
        </w:tc>
        <w:tc>
          <w:tcPr>
            <w:tcW w:type="dxa" w:w="1152"/>
          </w:tcPr>
          <w:p>
            <w:pPr>
              <w:spacing w:after="0" w:line="240" w:lineRule="auto"/>
            </w:pPr>
            <w:r>
              <w:rPr>
                <w:b/>
                <w:i w:val="0"/>
                <w:sz w:val="16"/>
              </w:rPr>
              <w:t>M</w:t>
            </w:r>
          </w:p>
        </w:tc>
        <w:tc>
          <w:tcPr>
            <w:tcW w:type="dxa" w:w="4896"/>
          </w:tcPr>
          <w:p>
            <w:pPr>
              <w:spacing w:after="0" w:line="240" w:lineRule="auto"/>
            </w:pPr>
            <w:r>
              <w:rPr>
                <w:b w:val="0"/>
                <w:i w:val="0"/>
                <w:sz w:val="16"/>
              </w:rPr>
              <w:t xml:space="preserve">Price is the largest part of growth (≈55% </w:t>
            </w:r>
            <w:r>
              <w:rPr>
                <w:b/>
                <w:color w:val="2E548C"/>
                <w:sz w:val="13"/>
              </w:rPr>
              <w:t>[C]</w:t>
            </w:r>
            <w:r>
              <w:rPr>
                <w:b w:val="0"/>
                <w:i w:val="0"/>
                <w:sz w:val="16"/>
              </w:rPr>
              <w:t>), and new business is already fading. The brand and OEM CPO mandates support price, but dealer profitability drives it.</w:t>
            </w:r>
          </w:p>
        </w:tc>
      </w:tr>
      <w:tr>
        <w:trPr>
          <w:cantSplit/>
        </w:trPr>
        <w:tc>
          <w:tcPr>
            <w:tcW w:type="dxa" w:w="2880"/>
            <w:shd w:val="clear" w:color="auto" w:fill="D9E1F2"/>
          </w:tcPr>
          <w:p>
            <w:pPr>
              <w:spacing w:after="0" w:line="240" w:lineRule="auto"/>
            </w:pPr>
            <w:r>
              <w:rPr>
                <w:b w:val="0"/>
                <w:i w:val="0"/>
                <w:sz w:val="16"/>
              </w:rPr>
              <w:t>2. Cross-sell / GTM failure</w:t>
            </w:r>
          </w:p>
        </w:tc>
        <w:tc>
          <w:tcPr>
            <w:tcW w:type="dxa" w:w="864"/>
            <w:shd w:val="clear" w:color="auto" w:fill="D9E1F2"/>
          </w:tcPr>
          <w:p>
            <w:pPr>
              <w:spacing w:after="0" w:line="240" w:lineRule="auto"/>
            </w:pPr>
            <w:r>
              <w:rPr>
                <w:b w:val="0"/>
                <w:i w:val="0"/>
                <w:sz w:val="16"/>
              </w:rPr>
              <w:t>M</w:t>
            </w:r>
          </w:p>
        </w:tc>
        <w:tc>
          <w:tcPr>
            <w:tcW w:type="dxa" w:w="1152"/>
            <w:shd w:val="clear" w:color="auto" w:fill="D9E1F2"/>
          </w:tcPr>
          <w:p>
            <w:pPr>
              <w:spacing w:after="0" w:line="240" w:lineRule="auto"/>
            </w:pPr>
            <w:r>
              <w:rPr>
                <w:b/>
                <w:i w:val="0"/>
                <w:sz w:val="16"/>
              </w:rPr>
              <w:t>H</w:t>
            </w:r>
          </w:p>
        </w:tc>
        <w:tc>
          <w:tcPr>
            <w:tcW w:type="dxa" w:w="4896"/>
            <w:shd w:val="clear" w:color="auto" w:fill="D9E1F2"/>
          </w:tcPr>
          <w:p>
            <w:pPr>
              <w:spacing w:after="0" w:line="240" w:lineRule="auto"/>
            </w:pPr>
            <w:r>
              <w:rPr>
                <w:b w:val="0"/>
                <w:i w:val="0"/>
                <w:sz w:val="16"/>
              </w:rPr>
              <w:t>Already happened once (the bundle). Integration is only halfway. The 1–2pt bucket is not yet evidenced by any revenue line.</w:t>
            </w:r>
          </w:p>
        </w:tc>
      </w:tr>
      <w:tr>
        <w:trPr>
          <w:cantSplit/>
        </w:trPr>
        <w:tc>
          <w:tcPr>
            <w:tcW w:type="dxa" w:w="2880"/>
          </w:tcPr>
          <w:p>
            <w:pPr>
              <w:spacing w:after="0" w:line="240" w:lineRule="auto"/>
            </w:pPr>
            <w:r>
              <w:rPr>
                <w:b w:val="0"/>
                <w:i w:val="0"/>
                <w:sz w:val="16"/>
              </w:rPr>
              <w:t>3. AI / search traffic disintermediation</w:t>
            </w:r>
          </w:p>
        </w:tc>
        <w:tc>
          <w:tcPr>
            <w:tcW w:type="dxa" w:w="864"/>
          </w:tcPr>
          <w:p>
            <w:pPr>
              <w:spacing w:after="0" w:line="240" w:lineRule="auto"/>
            </w:pPr>
            <w:r>
              <w:rPr>
                <w:b/>
                <w:i w:val="0"/>
                <w:sz w:val="16"/>
              </w:rPr>
              <w:t>H</w:t>
            </w:r>
          </w:p>
        </w:tc>
        <w:tc>
          <w:tcPr>
            <w:tcW w:type="dxa" w:w="1152"/>
          </w:tcPr>
          <w:p>
            <w:pPr>
              <w:spacing w:after="0" w:line="240" w:lineRule="auto"/>
            </w:pPr>
            <w:r>
              <w:rPr>
                <w:b w:val="0"/>
                <w:i w:val="0"/>
                <w:sz w:val="16"/>
              </w:rPr>
              <w:t>M</w:t>
            </w:r>
          </w:p>
        </w:tc>
        <w:tc>
          <w:tcPr>
            <w:tcW w:type="dxa" w:w="4896"/>
          </w:tcPr>
          <w:p>
            <w:pPr>
              <w:spacing w:after="0" w:line="240" w:lineRule="auto"/>
            </w:pPr>
            <w:r>
              <w:rPr>
                <w:b w:val="0"/>
                <w:i w:val="0"/>
                <w:sz w:val="16"/>
              </w:rPr>
              <w:t>Ad intensity is already rising. Management admits the risk but cannot quantify it. The data leg is safe; the traffic leg is not.</w:t>
            </w:r>
          </w:p>
        </w:tc>
      </w:tr>
      <w:tr>
        <w:trPr>
          <w:cantSplit/>
        </w:trPr>
        <w:tc>
          <w:tcPr>
            <w:tcW w:type="dxa" w:w="2880"/>
            <w:shd w:val="clear" w:color="auto" w:fill="D9E1F2"/>
          </w:tcPr>
          <w:p>
            <w:pPr>
              <w:spacing w:after="0" w:line="240" w:lineRule="auto"/>
            </w:pPr>
            <w:r>
              <w:rPr>
                <w:b w:val="0"/>
                <w:i w:val="0"/>
                <w:sz w:val="16"/>
              </w:rPr>
              <w:t>4. B2B commoditisation</w:t>
            </w:r>
          </w:p>
        </w:tc>
        <w:tc>
          <w:tcPr>
            <w:tcW w:type="dxa" w:w="864"/>
            <w:shd w:val="clear" w:color="auto" w:fill="D9E1F2"/>
          </w:tcPr>
          <w:p>
            <w:pPr>
              <w:spacing w:after="0" w:line="240" w:lineRule="auto"/>
            </w:pPr>
            <w:r>
              <w:rPr>
                <w:b w:val="0"/>
                <w:i w:val="0"/>
                <w:sz w:val="16"/>
              </w:rPr>
              <w:t>M</w:t>
            </w:r>
          </w:p>
        </w:tc>
        <w:tc>
          <w:tcPr>
            <w:tcW w:type="dxa" w:w="1152"/>
            <w:shd w:val="clear" w:color="auto" w:fill="D9E1F2"/>
          </w:tcPr>
          <w:p>
            <w:pPr>
              <w:spacing w:after="0" w:line="240" w:lineRule="auto"/>
            </w:pPr>
            <w:r>
              <w:rPr>
                <w:b/>
                <w:i w:val="0"/>
                <w:sz w:val="16"/>
              </w:rPr>
              <w:t>H</w:t>
            </w:r>
          </w:p>
        </w:tc>
        <w:tc>
          <w:tcPr>
            <w:tcW w:type="dxa" w:w="4896"/>
            <w:shd w:val="clear" w:color="auto" w:fill="D9E1F2"/>
          </w:tcPr>
          <w:p>
            <w:pPr>
              <w:spacing w:after="0" w:line="240" w:lineRule="auto"/>
            </w:pPr>
            <w:r>
              <w:rPr>
                <w:b w:val="0"/>
                <w:i w:val="0"/>
                <w:sz w:val="16"/>
              </w:rPr>
              <w:t>B2B growth has been 3–6% for two years, below the plan's high single digits. Low-cost rivals are named by management.</w:t>
            </w:r>
          </w:p>
        </w:tc>
      </w:tr>
      <w:tr>
        <w:trPr>
          <w:cantSplit/>
        </w:trPr>
        <w:tc>
          <w:tcPr>
            <w:tcW w:type="dxa" w:w="2880"/>
          </w:tcPr>
          <w:p>
            <w:pPr>
              <w:spacing w:after="0" w:line="240" w:lineRule="auto"/>
            </w:pPr>
            <w:r>
              <w:rPr>
                <w:b w:val="0"/>
                <w:i w:val="0"/>
                <w:sz w:val="16"/>
              </w:rPr>
              <w:t>5. Cyclical downturn hits transactional revenue plus price relief</w:t>
            </w:r>
          </w:p>
        </w:tc>
        <w:tc>
          <w:tcPr>
            <w:tcW w:type="dxa" w:w="864"/>
          </w:tcPr>
          <w:p>
            <w:pPr>
              <w:spacing w:after="0" w:line="240" w:lineRule="auto"/>
            </w:pPr>
            <w:r>
              <w:rPr>
                <w:b w:val="0"/>
                <w:i w:val="0"/>
                <w:sz w:val="16"/>
              </w:rPr>
              <w:t>M</w:t>
            </w:r>
          </w:p>
        </w:tc>
        <w:tc>
          <w:tcPr>
            <w:tcW w:type="dxa" w:w="1152"/>
          </w:tcPr>
          <w:p>
            <w:pPr>
              <w:spacing w:after="0" w:line="240" w:lineRule="auto"/>
            </w:pPr>
            <w:r>
              <w:rPr>
                <w:b w:val="0"/>
                <w:i w:val="0"/>
                <w:sz w:val="16"/>
              </w:rPr>
              <w:t>M</w:t>
            </w:r>
          </w:p>
        </w:tc>
        <w:tc>
          <w:tcPr>
            <w:tcW w:type="dxa" w:w="4896"/>
          </w:tcPr>
          <w:p>
            <w:pPr>
              <w:spacing w:after="0" w:line="240" w:lineRule="auto"/>
            </w:pPr>
            <w:r>
              <w:rPr>
                <w:b w:val="0"/>
                <w:i w:val="0"/>
                <w:sz w:val="16"/>
              </w:rPr>
              <w:t>2020 is the template: shallow and quickly recovered. A 2008-type shock is untested.</w:t>
            </w:r>
          </w:p>
        </w:tc>
      </w:tr>
      <w:tr>
        <w:trPr>
          <w:cantSplit/>
        </w:trPr>
        <w:tc>
          <w:tcPr>
            <w:tcW w:type="dxa" w:w="2880"/>
            <w:shd w:val="clear" w:color="auto" w:fill="D9E1F2"/>
          </w:tcPr>
          <w:p>
            <w:pPr>
              <w:spacing w:after="0" w:line="240" w:lineRule="auto"/>
            </w:pPr>
            <w:r>
              <w:rPr>
                <w:b w:val="0"/>
                <w:i w:val="0"/>
                <w:sz w:val="16"/>
              </w:rPr>
              <w:t>6. Margin target slippage / definitional generosity</w:t>
            </w:r>
          </w:p>
        </w:tc>
        <w:tc>
          <w:tcPr>
            <w:tcW w:type="dxa" w:w="864"/>
            <w:shd w:val="clear" w:color="auto" w:fill="D9E1F2"/>
          </w:tcPr>
          <w:p>
            <w:pPr>
              <w:spacing w:after="0" w:line="240" w:lineRule="auto"/>
            </w:pPr>
            <w:r>
              <w:rPr>
                <w:b w:val="0"/>
                <w:i w:val="0"/>
                <w:sz w:val="16"/>
              </w:rPr>
              <w:t>M</w:t>
            </w:r>
          </w:p>
        </w:tc>
        <w:tc>
          <w:tcPr>
            <w:tcW w:type="dxa" w:w="1152"/>
            <w:shd w:val="clear" w:color="auto" w:fill="D9E1F2"/>
          </w:tcPr>
          <w:p>
            <w:pPr>
              <w:spacing w:after="0" w:line="240" w:lineRule="auto"/>
            </w:pPr>
            <w:r>
              <w:rPr>
                <w:b/>
                <w:i w:val="0"/>
                <w:sz w:val="16"/>
              </w:rPr>
              <w:t>H</w:t>
            </w:r>
          </w:p>
        </w:tc>
        <w:tc>
          <w:tcPr>
            <w:tcW w:type="dxa" w:w="4896"/>
            <w:shd w:val="clear" w:color="auto" w:fill="D9E1F2"/>
          </w:tcPr>
          <w:p>
            <w:pPr>
              <w:spacing w:after="0" w:line="240" w:lineRule="auto"/>
            </w:pPr>
            <w:r>
              <w:rPr>
                <w:b w:val="0"/>
                <w:i w:val="0"/>
                <w:sz w:val="16"/>
              </w:rPr>
              <w:t>Three resets in four months, and a predecessor target missed while revenue was on plan.</w:t>
            </w:r>
          </w:p>
        </w:tc>
      </w:tr>
      <w:tr>
        <w:trPr>
          <w:cantSplit/>
        </w:trPr>
        <w:tc>
          <w:tcPr>
            <w:tcW w:type="dxa" w:w="2880"/>
          </w:tcPr>
          <w:p>
            <w:pPr>
              <w:spacing w:after="0" w:line="240" w:lineRule="auto"/>
            </w:pPr>
            <w:r>
              <w:rPr>
                <w:b w:val="0"/>
                <w:i w:val="0"/>
                <w:sz w:val="16"/>
              </w:rPr>
              <w:t>7. Leverage / capital-return squeeze</w:t>
            </w:r>
          </w:p>
        </w:tc>
        <w:tc>
          <w:tcPr>
            <w:tcW w:type="dxa" w:w="864"/>
          </w:tcPr>
          <w:p>
            <w:pPr>
              <w:spacing w:after="0" w:line="240" w:lineRule="auto"/>
            </w:pPr>
            <w:r>
              <w:rPr>
                <w:b w:val="0"/>
                <w:i w:val="0"/>
                <w:sz w:val="16"/>
              </w:rPr>
              <w:t>M</w:t>
            </w:r>
          </w:p>
        </w:tc>
        <w:tc>
          <w:tcPr>
            <w:tcW w:type="dxa" w:w="1152"/>
          </w:tcPr>
          <w:p>
            <w:pPr>
              <w:spacing w:after="0" w:line="240" w:lineRule="auto"/>
            </w:pPr>
            <w:r>
              <w:rPr>
                <w:b w:val="0"/>
                <w:i w:val="0"/>
                <w:sz w:val="16"/>
              </w:rPr>
              <w:t>M</w:t>
            </w:r>
          </w:p>
        </w:tc>
        <w:tc>
          <w:tcPr>
            <w:tcW w:type="dxa" w:w="4896"/>
          </w:tcPr>
          <w:p>
            <w:pPr>
              <w:spacing w:after="0" w:line="240" w:lineRule="auto"/>
            </w:pPr>
            <w:r>
              <w:rPr>
                <w:b w:val="0"/>
                <w:i w:val="0"/>
                <w:sz w:val="16"/>
              </w:rPr>
              <w:t xml:space="preserve">FCF (~$365m standalone </w:t>
            </w:r>
            <w:r>
              <w:rPr>
                <w:b/>
                <w:color w:val="2E548C"/>
                <w:sz w:val="13"/>
              </w:rPr>
              <w:t>[C]</w:t>
            </w:r>
            <w:r>
              <w:rPr>
                <w:b w:val="0"/>
                <w:i w:val="0"/>
                <w:sz w:val="16"/>
              </w:rPr>
              <w:t>) covers the dividend about 5x. The squeeze is on buybacks and deleveraging speed, not solvency.</w:t>
            </w:r>
          </w:p>
        </w:tc>
      </w:tr>
      <w:tr>
        <w:trPr>
          <w:cantSplit/>
        </w:trPr>
        <w:tc>
          <w:tcPr>
            <w:tcW w:type="dxa" w:w="2880"/>
            <w:shd w:val="clear" w:color="auto" w:fill="D9E1F2"/>
          </w:tcPr>
          <w:p>
            <w:pPr>
              <w:spacing w:after="0" w:line="240" w:lineRule="auto"/>
            </w:pPr>
            <w:r>
              <w:rPr>
                <w:b w:val="0"/>
                <w:i w:val="0"/>
                <w:sz w:val="16"/>
              </w:rPr>
              <w:t>8. Data-supply squeeze</w:t>
            </w:r>
          </w:p>
        </w:tc>
        <w:tc>
          <w:tcPr>
            <w:tcW w:type="dxa" w:w="864"/>
            <w:shd w:val="clear" w:color="auto" w:fill="D9E1F2"/>
          </w:tcPr>
          <w:p>
            <w:pPr>
              <w:spacing w:after="0" w:line="240" w:lineRule="auto"/>
            </w:pPr>
            <w:r>
              <w:rPr>
                <w:b/>
                <w:i w:val="0"/>
                <w:sz w:val="16"/>
              </w:rPr>
              <w:t>H</w:t>
            </w:r>
          </w:p>
        </w:tc>
        <w:tc>
          <w:tcPr>
            <w:tcW w:type="dxa" w:w="1152"/>
            <w:shd w:val="clear" w:color="auto" w:fill="D9E1F2"/>
          </w:tcPr>
          <w:p>
            <w:pPr>
              <w:spacing w:after="0" w:line="240" w:lineRule="auto"/>
            </w:pPr>
            <w:r>
              <w:rPr>
                <w:b w:val="0"/>
                <w:i w:val="0"/>
                <w:sz w:val="16"/>
              </w:rPr>
              <w:t>L</w:t>
            </w:r>
          </w:p>
        </w:tc>
        <w:tc>
          <w:tcPr>
            <w:tcW w:type="dxa" w:w="4896"/>
            <w:shd w:val="clear" w:color="auto" w:fill="D9E1F2"/>
          </w:tcPr>
          <w:p>
            <w:pPr>
              <w:spacing w:after="0" w:line="240" w:lineRule="auto"/>
            </w:pPr>
            <w:r>
              <w:rPr>
                <w:b w:val="0"/>
                <w:i w:val="0"/>
                <w:sz w:val="16"/>
              </w:rPr>
              <w:t>The impact would be severe if a major feed were cut. The 10/A already reports fee inflation. No dispute is disclosed.</w:t>
            </w:r>
          </w:p>
        </w:tc>
      </w:tr>
      <w:tr>
        <w:trPr>
          <w:cantSplit/>
        </w:trPr>
        <w:tc>
          <w:tcPr>
            <w:tcW w:type="dxa" w:w="2880"/>
          </w:tcPr>
          <w:p>
            <w:pPr>
              <w:spacing w:after="0" w:line="240" w:lineRule="auto"/>
            </w:pPr>
            <w:r>
              <w:rPr>
                <w:b w:val="0"/>
                <w:i w:val="0"/>
                <w:sz w:val="16"/>
              </w:rPr>
              <w:t>9. Disclosure retreat</w:t>
            </w:r>
          </w:p>
        </w:tc>
        <w:tc>
          <w:tcPr>
            <w:tcW w:type="dxa" w:w="864"/>
          </w:tcPr>
          <w:p>
            <w:pPr>
              <w:spacing w:after="0" w:line="240" w:lineRule="auto"/>
            </w:pPr>
            <w:r>
              <w:rPr>
                <w:b w:val="0"/>
                <w:i w:val="0"/>
                <w:sz w:val="16"/>
              </w:rPr>
              <w:t>M</w:t>
            </w:r>
          </w:p>
        </w:tc>
        <w:tc>
          <w:tcPr>
            <w:tcW w:type="dxa" w:w="1152"/>
          </w:tcPr>
          <w:p>
            <w:pPr>
              <w:spacing w:after="0" w:line="240" w:lineRule="auto"/>
            </w:pPr>
            <w:r>
              <w:rPr>
                <w:b/>
                <w:i w:val="0"/>
                <w:sz w:val="16"/>
              </w:rPr>
              <w:t>H</w:t>
            </w:r>
            <w:r>
              <w:rPr>
                <w:b w:val="0"/>
                <w:i w:val="0"/>
                <w:sz w:val="16"/>
              </w:rPr>
              <w:t xml:space="preserve"> (already happening)</w:t>
            </w:r>
          </w:p>
        </w:tc>
        <w:tc>
          <w:tcPr>
            <w:tcW w:type="dxa" w:w="4896"/>
          </w:tcPr>
          <w:p>
            <w:pPr>
              <w:spacing w:after="0" w:line="240" w:lineRule="auto"/>
            </w:pPr>
            <w:r>
              <w:rPr>
                <w:b w:val="0"/>
                <w:i w:val="0"/>
                <w:sz w:val="16"/>
              </w:rPr>
              <w:t>It amplifies the other risks and can re-rate the multiple without any change in fundamentals.</w:t>
            </w:r>
          </w:p>
        </w:tc>
      </w:tr>
      <w:tr>
        <w:trPr>
          <w:cantSplit/>
        </w:trPr>
        <w:tc>
          <w:tcPr>
            <w:tcW w:type="dxa" w:w="2880"/>
            <w:shd w:val="clear" w:color="auto" w:fill="D9E1F2"/>
          </w:tcPr>
          <w:p>
            <w:pPr>
              <w:spacing w:after="0" w:line="240" w:lineRule="auto"/>
            </w:pPr>
            <w:r>
              <w:rPr>
                <w:b w:val="0"/>
                <w:i w:val="0"/>
                <w:sz w:val="16"/>
              </w:rPr>
              <w:t>10. Incentive misalignment</w:t>
            </w:r>
          </w:p>
        </w:tc>
        <w:tc>
          <w:tcPr>
            <w:tcW w:type="dxa" w:w="864"/>
            <w:shd w:val="clear" w:color="auto" w:fill="D9E1F2"/>
          </w:tcPr>
          <w:p>
            <w:pPr>
              <w:spacing w:after="0" w:line="240" w:lineRule="auto"/>
            </w:pPr>
            <w:r>
              <w:rPr>
                <w:b w:val="0"/>
                <w:i w:val="0"/>
                <w:sz w:val="16"/>
              </w:rPr>
              <w:t>M</w:t>
            </w:r>
          </w:p>
        </w:tc>
        <w:tc>
          <w:tcPr>
            <w:tcW w:type="dxa" w:w="1152"/>
            <w:shd w:val="clear" w:color="auto" w:fill="D9E1F2"/>
          </w:tcPr>
          <w:p>
            <w:pPr>
              <w:spacing w:after="0" w:line="240" w:lineRule="auto"/>
            </w:pPr>
            <w:r>
              <w:rPr>
                <w:b w:val="0"/>
                <w:i w:val="0"/>
                <w:sz w:val="16"/>
              </w:rPr>
              <w:t>M</w:t>
            </w:r>
          </w:p>
        </w:tc>
        <w:tc>
          <w:tcPr>
            <w:tcW w:type="dxa" w:w="4896"/>
            <w:shd w:val="clear" w:color="auto" w:fill="D9E1F2"/>
          </w:tcPr>
          <w:p>
            <w:pPr>
              <w:spacing w:after="0" w:line="240" w:lineRule="auto"/>
            </w:pPr>
            <w:r>
              <w:rPr>
                <w:b w:val="0"/>
                <w:i w:val="0"/>
                <w:sz w:val="16"/>
              </w:rPr>
              <w:t>It is mostly about what is absent; the first proxy settles it.</w:t>
            </w:r>
          </w:p>
        </w:tc>
      </w:tr>
      <w:tr>
        <w:trPr>
          <w:cantSplit/>
        </w:trPr>
        <w:tc>
          <w:tcPr>
            <w:tcW w:type="dxa" w:w="2880"/>
          </w:tcPr>
          <w:p>
            <w:pPr>
              <w:spacing w:after="0" w:line="240" w:lineRule="auto"/>
            </w:pPr>
            <w:r>
              <w:rPr>
                <w:b w:val="0"/>
                <w:i w:val="0"/>
                <w:sz w:val="16"/>
              </w:rPr>
              <w:t>11. International / Listings drag</w:t>
            </w:r>
          </w:p>
        </w:tc>
        <w:tc>
          <w:tcPr>
            <w:tcW w:type="dxa" w:w="864"/>
          </w:tcPr>
          <w:p>
            <w:pPr>
              <w:spacing w:after="0" w:line="240" w:lineRule="auto"/>
            </w:pPr>
            <w:r>
              <w:rPr>
                <w:b w:val="0"/>
                <w:i w:val="0"/>
                <w:sz w:val="16"/>
              </w:rPr>
              <w:t>L</w:t>
            </w:r>
          </w:p>
        </w:tc>
        <w:tc>
          <w:tcPr>
            <w:tcW w:type="dxa" w:w="1152"/>
          </w:tcPr>
          <w:p>
            <w:pPr>
              <w:spacing w:after="0" w:line="240" w:lineRule="auto"/>
            </w:pPr>
            <w:r>
              <w:rPr>
                <w:b w:val="0"/>
                <w:i w:val="0"/>
                <w:sz w:val="16"/>
              </w:rPr>
              <w:t>M</w:t>
            </w:r>
          </w:p>
        </w:tc>
        <w:tc>
          <w:tcPr>
            <w:tcW w:type="dxa" w:w="4896"/>
          </w:tcPr>
          <w:p>
            <w:pPr>
              <w:spacing w:after="0" w:line="240" w:lineRule="auto"/>
            </w:pPr>
            <w:r>
              <w:rPr>
                <w:b w:val="0"/>
                <w:i w:val="0"/>
                <w:sz w:val="16"/>
              </w:rPr>
              <w:t>Small in dollars. The risk is opportunity cost and opaque losses.</w:t>
            </w:r>
          </w:p>
        </w:tc>
      </w:tr>
    </w:tbl>
    <w:p>
      <w:pPr>
        <w:spacing w:after="120"/>
      </w:pPr>
      <w:r>
        <w:rPr>
          <w:b w:val="0"/>
          <w:i/>
          <w:color w:val="595959"/>
          <w:sz w:val="15"/>
        </w:rPr>
        <w:t xml:space="preserve">Source: analysis/D11_premortem.md §2. H/M/L are analyst judgements </w:t>
      </w:r>
      <w:r>
        <w:rPr>
          <w:b/>
          <w:color w:val="2E548C"/>
          <w:sz w:val="12"/>
        </w:rPr>
        <w:t>[E]</w:t>
      </w:r>
      <w:r>
        <w:rPr>
          <w:b w:val="0"/>
          <w:i/>
          <w:color w:val="595959"/>
          <w:sz w:val="15"/>
        </w:rPr>
        <w:t>.</w:t>
      </w:r>
    </w:p>
    <w:p>
      <w:r>
        <w:rPr>
          <w:b/>
          <w:i w:val="0"/>
        </w:rPr>
        <w:t>Inference (D11):</w:t>
      </w:r>
      <w:r>
        <w:rPr>
          <w:b w:val="0"/>
          <w:i w:val="0"/>
        </w:rPr>
        <w:t xml:space="preserve"> cases 1, 2, 4 and 6 are one cluster — organic growth stays at ~6–7% and margins do not expand. The most likely way to lose is not a moat collapse; it is a slow re-rating of a 6–7% grower with ~39% margins and 2.7x leverage that is being priced as a 9–10% compounder. Whether that is priced in cannot be judged here: </w:t>
      </w:r>
      <w:r>
        <w:rPr>
          <w:b/>
          <w:color w:val="E36C09"/>
        </w:rPr>
        <w:t>[TO COLLECT #3: consensus estimates and current valuation multiple to test what growth is priced in]</w:t>
      </w:r>
      <w:r>
        <w:rPr>
          <w:b w:val="0"/>
          <w:i w:val="0"/>
        </w:rPr>
        <w:t>.</w:t>
      </w:r>
    </w:p>
    <w:p>
      <w:pPr>
        <w:pStyle w:val="Heading1"/>
        <w:pageBreakBefore/>
      </w:pPr>
      <w:r>
        <w:t>2 Business overview &amp; history</w:t>
      </w:r>
    </w:p>
    <w:p>
      <w:pPr>
        <w:pStyle w:val="Heading2"/>
      </w:pPr>
      <w:r>
        <w:t>2.1 What MBGL is</w:t>
      </w:r>
    </w:p>
    <w:p>
      <w:r>
        <w:rPr>
          <w:b w:val="0"/>
          <w:i w:val="0"/>
        </w:rPr>
        <w:t xml:space="preserve">MBGL describes itself as an automotive data, solutions and insights provider reporting two segments, CARFAX and B2B (10A p.262, 340) </w:t>
      </w:r>
      <w:r>
        <w:rPr>
          <w:b/>
          <w:color w:val="2E548C"/>
          <w:sz w:val="16"/>
        </w:rPr>
        <w:t>[D]</w:t>
      </w:r>
      <w:r>
        <w:rPr>
          <w:b w:val="0"/>
          <w:i w:val="0"/>
        </w:rPr>
        <w:t xml:space="preserve">. Scale at 12/31/25 </w:t>
      </w:r>
      <w:r>
        <w:rPr>
          <w:b/>
          <w:color w:val="2E548C"/>
          <w:sz w:val="16"/>
        </w:rPr>
        <w:t>[D]</w:t>
      </w:r>
      <w:r>
        <w:rPr>
          <w:b w:val="0"/>
          <w:i w:val="0"/>
        </w:rPr>
        <w:t>:</w:t>
      </w:r>
    </w:p>
    <w:p>
      <w:pPr>
        <w:pStyle w:val="ListBullet"/>
      </w:pPr>
      <w:r>
        <w:rPr>
          <w:b w:val="0"/>
          <w:i w:val="0"/>
        </w:rPr>
        <w:t xml:space="preserve">more than 177,000 data sources and more than 38bn vehicle-history records; more than 13bn transaction records; ~832m unique VINs; more than 2,000 attributes per vehicle </w:t>
      </w:r>
      <w:r>
        <w:rPr>
          <w:b/>
          <w:color w:val="2E548C"/>
          <w:sz w:val="16"/>
        </w:rPr>
        <w:t>[D]</w:t>
      </w:r>
      <w:r>
        <w:rPr>
          <w:b w:val="0"/>
          <w:i w:val="0"/>
        </w:rPr>
        <w:t xml:space="preserve"> (10A p.262, 268);</w:t>
      </w:r>
    </w:p>
    <w:p>
      <w:pPr>
        <w:pStyle w:val="ListBullet"/>
      </w:pPr>
      <w:r>
        <w:rPr>
          <w:b w:val="0"/>
          <w:i w:val="0"/>
        </w:rPr>
        <w:t xml:space="preserve">more than 40,000 dealer customers; the top 40 global automakers (96% of global production) are customers </w:t>
      </w:r>
      <w:r>
        <w:rPr>
          <w:b/>
          <w:color w:val="2E548C"/>
          <w:sz w:val="16"/>
        </w:rPr>
        <w:t>[D]</w:t>
      </w:r>
      <w:r>
        <w:rPr>
          <w:b w:val="0"/>
          <w:i w:val="0"/>
        </w:rPr>
        <w:t>;</w:t>
      </w:r>
    </w:p>
    <w:p>
      <w:pPr>
        <w:pStyle w:val="ListBullet"/>
      </w:pPr>
      <w:r>
        <w:rPr>
          <w:b w:val="0"/>
          <w:i w:val="0"/>
        </w:rPr>
        <w:t xml:space="preserve">Polk heritage dates to 1870, with more than 30 years of ownership data </w:t>
      </w:r>
      <w:r>
        <w:rPr>
          <w:b/>
          <w:color w:val="2E548C"/>
          <w:sz w:val="16"/>
        </w:rPr>
        <w:t>[D]</w:t>
      </w:r>
      <w:r>
        <w:rPr>
          <w:b w:val="0"/>
          <w:i w:val="0"/>
        </w:rPr>
        <w:t xml:space="preserve"> (10A p.268);</w:t>
      </w:r>
    </w:p>
    <w:p>
      <w:pPr>
        <w:pStyle w:val="ListBullet"/>
      </w:pPr>
      <w:r>
        <w:rPr>
          <w:b w:val="0"/>
          <w:i w:val="0"/>
        </w:rPr>
        <w:t xml:space="preserve">more than 3,400 FTEs at 12/31/25 and ~3,522 at 3/31/26 </w:t>
      </w:r>
      <w:r>
        <w:rPr>
          <w:b/>
          <w:color w:val="2E548C"/>
          <w:sz w:val="16"/>
        </w:rPr>
        <w:t>[D]</w:t>
      </w:r>
      <w:r>
        <w:rPr>
          <w:b w:val="0"/>
          <w:i w:val="0"/>
        </w:rPr>
        <w:t xml:space="preserve"> (10A p.268, 384); headquarters leased in Centreville, VA </w:t>
      </w:r>
      <w:r>
        <w:rPr>
          <w:b/>
          <w:color w:val="2E548C"/>
          <w:sz w:val="16"/>
        </w:rPr>
        <w:t>[D]</w:t>
      </w:r>
      <w:r>
        <w:rPr>
          <w:b w:val="0"/>
          <w:i w:val="0"/>
        </w:rPr>
        <w:t>;</w:t>
      </w:r>
    </w:p>
    <w:p>
      <w:pPr>
        <w:pStyle w:val="ListBullet"/>
      </w:pPr>
      <w:r>
        <w:rPr>
          <w:b w:val="0"/>
          <w:i w:val="0"/>
        </w:rPr>
        <w:t xml:space="preserve">FY25 revenue $1,750m (+8.5%) and net income $220m (+5.8%) </w:t>
      </w:r>
      <w:r>
        <w:rPr>
          <w:b/>
          <w:color w:val="2E548C"/>
          <w:sz w:val="16"/>
        </w:rPr>
        <w:t>[D]</w:t>
      </w:r>
      <w:r>
        <w:rPr>
          <w:b w:val="0"/>
          <w:i w:val="0"/>
        </w:rPr>
        <w:t xml:space="preserve">; Q1-26 revenue $455m (+8.1%) </w:t>
      </w:r>
      <w:r>
        <w:rPr>
          <w:b/>
          <w:color w:val="2E548C"/>
          <w:sz w:val="16"/>
        </w:rPr>
        <w:t>[D]</w:t>
      </w:r>
      <w:r>
        <w:rPr>
          <w:b w:val="0"/>
          <w:i w:val="0"/>
        </w:rPr>
        <w:t xml:space="preserve"> (10A p.262).</w:t>
      </w:r>
    </w:p>
    <w:p>
      <w:pPr>
        <w:pStyle w:val="Heading2"/>
      </w:pPr>
      <w:r>
        <w:t>2.2 Eras of ownership and reporting</w:t>
      </w:r>
    </w:p>
    <w:p>
      <w:pPr>
        <w:keepNext/>
        <w:spacing w:before="80" w:after="40"/>
      </w:pPr>
      <w:r>
        <w:rPr>
          <w:b/>
          <w:i w:val="0"/>
          <w:color w:val="1F3864"/>
          <w:sz w:val="17"/>
        </w:rPr>
        <w:t>Exhibit 2.1 — Reporting eras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958"/>
        <w:gridCol w:w="1398"/>
        <w:gridCol w:w="1538"/>
        <w:gridCol w:w="559"/>
        <w:gridCol w:w="2797"/>
        <w:gridCol w:w="1538"/>
      </w:tblGrid>
      <w:tr>
        <w:trPr>
          <w:cantSplit/>
          <w:tblHeader/>
        </w:trPr>
        <w:tc>
          <w:tcPr>
            <w:tcW w:type="dxa" w:w="1958"/>
            <w:shd w:val="clear" w:color="auto" w:fill="1F3864"/>
          </w:tcPr>
          <w:p>
            <w:pPr>
              <w:spacing w:after="0" w:line="240" w:lineRule="auto"/>
            </w:pPr>
            <w:r>
              <w:rPr>
                <w:b/>
                <w:i w:val="0"/>
                <w:color w:val="FFFFFF"/>
                <w:sz w:val="16"/>
              </w:rPr>
              <w:t>Era</w:t>
            </w:r>
          </w:p>
        </w:tc>
        <w:tc>
          <w:tcPr>
            <w:tcW w:type="dxa" w:w="1399"/>
            <w:shd w:val="clear" w:color="auto" w:fill="1F3864"/>
          </w:tcPr>
          <w:p>
            <w:pPr>
              <w:spacing w:after="0" w:line="240" w:lineRule="auto"/>
            </w:pPr>
            <w:r>
              <w:rPr>
                <w:b/>
                <w:i w:val="0"/>
                <w:color w:val="FFFFFF"/>
                <w:sz w:val="16"/>
              </w:rPr>
              <w:t>Period</w:t>
            </w:r>
          </w:p>
        </w:tc>
        <w:tc>
          <w:tcPr>
            <w:tcW w:type="dxa" w:w="1539"/>
            <w:shd w:val="clear" w:color="auto" w:fill="1F3864"/>
          </w:tcPr>
          <w:p>
            <w:pPr>
              <w:spacing w:after="0" w:line="240" w:lineRule="auto"/>
            </w:pPr>
            <w:r>
              <w:rPr>
                <w:b/>
                <w:i w:val="0"/>
                <w:color w:val="FFFFFF"/>
                <w:sz w:val="16"/>
              </w:rPr>
              <w:t>Reporting entity</w:t>
            </w:r>
          </w:p>
        </w:tc>
        <w:tc>
          <w:tcPr>
            <w:tcW w:type="dxa" w:w="560"/>
            <w:shd w:val="clear" w:color="auto" w:fill="1F3864"/>
          </w:tcPr>
          <w:p>
            <w:pPr>
              <w:spacing w:after="0" w:line="240" w:lineRule="auto"/>
            </w:pPr>
            <w:r>
              <w:rPr>
                <w:b/>
                <w:i w:val="0"/>
                <w:color w:val="FFFFFF"/>
                <w:sz w:val="16"/>
              </w:rPr>
              <w:t>FYE</w:t>
            </w:r>
          </w:p>
        </w:tc>
        <w:tc>
          <w:tcPr>
            <w:tcW w:type="dxa" w:w="2798"/>
            <w:shd w:val="clear" w:color="auto" w:fill="1F3864"/>
          </w:tcPr>
          <w:p>
            <w:pPr>
              <w:spacing w:after="0" w:line="240" w:lineRule="auto"/>
            </w:pPr>
            <w:r>
              <w:rPr>
                <w:b/>
                <w:i w:val="0"/>
                <w:color w:val="FFFFFF"/>
                <w:sz w:val="16"/>
              </w:rPr>
              <w:t>Scope notes</w:t>
            </w:r>
          </w:p>
        </w:tc>
        <w:tc>
          <w:tcPr>
            <w:tcW w:type="dxa" w:w="1539"/>
            <w:shd w:val="clear" w:color="auto" w:fill="1F3864"/>
          </w:tcPr>
          <w:p>
            <w:pPr>
              <w:spacing w:after="0" w:line="240" w:lineRule="auto"/>
            </w:pPr>
            <w:r>
              <w:rPr>
                <w:b/>
                <w:i w:val="0"/>
                <w:color w:val="FFFFFF"/>
                <w:sz w:val="16"/>
              </w:rPr>
              <w:t>Comparable to carve-out?</w:t>
            </w:r>
          </w:p>
        </w:tc>
      </w:tr>
      <w:tr>
        <w:trPr>
          <w:cantSplit/>
        </w:trPr>
        <w:tc>
          <w:tcPr>
            <w:tcW w:type="dxa" w:w="1958"/>
          </w:tcPr>
          <w:p>
            <w:pPr>
              <w:spacing w:after="0" w:line="240" w:lineRule="auto"/>
            </w:pPr>
            <w:r>
              <w:rPr>
                <w:b w:val="0"/>
                <w:i w:val="0"/>
                <w:sz w:val="16"/>
              </w:rPr>
              <w:t>Polk / CARFAX private</w:t>
            </w:r>
          </w:p>
        </w:tc>
        <w:tc>
          <w:tcPr>
            <w:tcW w:type="dxa" w:w="1399"/>
          </w:tcPr>
          <w:p>
            <w:pPr>
              <w:spacing w:after="0" w:line="240" w:lineRule="auto"/>
            </w:pPr>
            <w:r>
              <w:rPr>
                <w:b w:val="0"/>
                <w:i w:val="0"/>
                <w:sz w:val="16"/>
              </w:rPr>
              <w:t>1870 → 2013</w:t>
            </w:r>
          </w:p>
        </w:tc>
        <w:tc>
          <w:tcPr>
            <w:tcW w:type="dxa" w:w="1539"/>
          </w:tcPr>
          <w:p>
            <w:pPr>
              <w:spacing w:after="0" w:line="240" w:lineRule="auto"/>
            </w:pPr>
            <w:r>
              <w:rPr>
                <w:b w:val="0"/>
                <w:i w:val="0"/>
                <w:sz w:val="16"/>
              </w:rPr>
              <w:t>Private</w:t>
            </w:r>
          </w:p>
        </w:tc>
        <w:tc>
          <w:tcPr>
            <w:tcW w:type="dxa" w:w="560"/>
          </w:tcPr>
          <w:p>
            <w:pPr>
              <w:spacing w:after="0" w:line="240" w:lineRule="auto"/>
            </w:pPr>
            <w:r>
              <w:rPr>
                <w:b w:val="0"/>
                <w:i w:val="0"/>
                <w:sz w:val="16"/>
              </w:rPr>
              <w:t>—</w:t>
            </w:r>
          </w:p>
        </w:tc>
        <w:tc>
          <w:tcPr>
            <w:tcW w:type="dxa" w:w="2798"/>
          </w:tcPr>
          <w:p>
            <w:pPr>
              <w:spacing w:after="0" w:line="240" w:lineRule="auto"/>
            </w:pPr>
            <w:r>
              <w:rPr>
                <w:b w:val="0"/>
                <w:i w:val="0"/>
                <w:sz w:val="16"/>
              </w:rPr>
              <w:t>No financials in the source set</w:t>
            </w:r>
          </w:p>
        </w:tc>
        <w:tc>
          <w:tcPr>
            <w:tcW w:type="dxa" w:w="1539"/>
          </w:tcPr>
          <w:p>
            <w:pPr>
              <w:spacing w:after="0" w:line="240" w:lineRule="auto"/>
            </w:pPr>
            <w:r>
              <w:rPr>
                <w:b/>
                <w:color w:val="E36C09"/>
                <w:sz w:val="16"/>
              </w:rPr>
              <w:t>[TO COLLECT #4: pre-2013 CARFAX/Polk history incl. 2008–09]</w:t>
            </w:r>
          </w:p>
        </w:tc>
      </w:tr>
      <w:tr>
        <w:trPr>
          <w:cantSplit/>
        </w:trPr>
        <w:tc>
          <w:tcPr>
            <w:tcW w:type="dxa" w:w="1958"/>
            <w:shd w:val="clear" w:color="auto" w:fill="D9E1F2"/>
          </w:tcPr>
          <w:p>
            <w:pPr>
              <w:spacing w:after="0" w:line="240" w:lineRule="auto"/>
            </w:pPr>
            <w:r>
              <w:rPr>
                <w:b w:val="0"/>
                <w:i w:val="0"/>
                <w:sz w:val="16"/>
              </w:rPr>
              <w:t>IHS Inc. → IHS Markit “Transportation”</w:t>
            </w:r>
          </w:p>
        </w:tc>
        <w:tc>
          <w:tcPr>
            <w:tcW w:type="dxa" w:w="1399"/>
            <w:shd w:val="clear" w:color="auto" w:fill="D9E1F2"/>
          </w:tcPr>
          <w:p>
            <w:pPr>
              <w:spacing w:after="0" w:line="240" w:lineRule="auto"/>
            </w:pPr>
            <w:r>
              <w:rPr>
                <w:b w:val="0"/>
                <w:i w:val="0"/>
                <w:sz w:val="16"/>
              </w:rPr>
              <w:t>2013 → FY2021</w:t>
            </w:r>
          </w:p>
        </w:tc>
        <w:tc>
          <w:tcPr>
            <w:tcW w:type="dxa" w:w="1539"/>
            <w:shd w:val="clear" w:color="auto" w:fill="D9E1F2"/>
          </w:tcPr>
          <w:p>
            <w:pPr>
              <w:spacing w:after="0" w:line="240" w:lineRule="auto"/>
            </w:pPr>
            <w:r>
              <w:rPr>
                <w:b w:val="0"/>
                <w:i w:val="0"/>
                <w:sz w:val="16"/>
              </w:rPr>
              <w:t>Segment of IHS / IHS Markit</w:t>
            </w:r>
          </w:p>
        </w:tc>
        <w:tc>
          <w:tcPr>
            <w:tcW w:type="dxa" w:w="560"/>
            <w:shd w:val="clear" w:color="auto" w:fill="D9E1F2"/>
          </w:tcPr>
          <w:p>
            <w:pPr>
              <w:spacing w:after="0" w:line="240" w:lineRule="auto"/>
            </w:pPr>
            <w:r>
              <w:rPr>
                <w:b w:val="0"/>
                <w:i w:val="0"/>
                <w:sz w:val="16"/>
              </w:rPr>
              <w:t>Nov</w:t>
            </w:r>
          </w:p>
        </w:tc>
        <w:tc>
          <w:tcPr>
            <w:tcW w:type="dxa" w:w="2798"/>
            <w:shd w:val="clear" w:color="auto" w:fill="D9E1F2"/>
          </w:tcPr>
          <w:p>
            <w:pPr>
              <w:spacing w:after="0" w:line="240" w:lineRule="auto"/>
            </w:pPr>
            <w:r>
              <w:rPr>
                <w:b w:val="0"/>
                <w:i w:val="0"/>
                <w:sz w:val="16"/>
              </w:rPr>
              <w:t xml:space="preserve">Includes Maritime &amp; Trade; Aerospace &amp; Defense to Dec-2019; automotive ~80% → &gt;90% of segment </w:t>
            </w:r>
            <w:r>
              <w:rPr>
                <w:b/>
                <w:color w:val="2E548C"/>
                <w:sz w:val="13"/>
              </w:rPr>
              <w:t>[D]</w:t>
            </w:r>
          </w:p>
        </w:tc>
        <w:tc>
          <w:tcPr>
            <w:tcW w:type="dxa" w:w="1539"/>
            <w:shd w:val="clear" w:color="auto" w:fill="D9E1F2"/>
          </w:tcPr>
          <w:p>
            <w:pPr>
              <w:spacing w:after="0" w:line="240" w:lineRule="auto"/>
            </w:pPr>
            <w:r>
              <w:rPr>
                <w:b w:val="0"/>
                <w:i w:val="0"/>
                <w:sz w:val="16"/>
              </w:rPr>
              <w:t>Not comparable</w:t>
            </w:r>
          </w:p>
        </w:tc>
      </w:tr>
      <w:tr>
        <w:trPr>
          <w:cantSplit/>
        </w:trPr>
        <w:tc>
          <w:tcPr>
            <w:tcW w:type="dxa" w:w="1958"/>
          </w:tcPr>
          <w:p>
            <w:pPr>
              <w:spacing w:after="0" w:line="240" w:lineRule="auto"/>
            </w:pPr>
            <w:r>
              <w:rPr>
                <w:b w:val="0"/>
                <w:i w:val="0"/>
                <w:sz w:val="16"/>
              </w:rPr>
              <w:t>S&amp;P Global Mobility</w:t>
            </w:r>
          </w:p>
        </w:tc>
        <w:tc>
          <w:tcPr>
            <w:tcW w:type="dxa" w:w="1399"/>
          </w:tcPr>
          <w:p>
            <w:pPr>
              <w:spacing w:after="0" w:line="240" w:lineRule="auto"/>
            </w:pPr>
            <w:r>
              <w:rPr>
                <w:b w:val="0"/>
                <w:i w:val="0"/>
                <w:sz w:val="16"/>
              </w:rPr>
              <w:t>2022-02-28 → 2026-06-30</w:t>
            </w:r>
          </w:p>
        </w:tc>
        <w:tc>
          <w:tcPr>
            <w:tcW w:type="dxa" w:w="1539"/>
          </w:tcPr>
          <w:p>
            <w:pPr>
              <w:spacing w:after="0" w:line="240" w:lineRule="auto"/>
            </w:pPr>
            <w:r>
              <w:rPr>
                <w:b w:val="0"/>
                <w:i w:val="0"/>
                <w:sz w:val="16"/>
              </w:rPr>
              <w:t>SPGI segment</w:t>
            </w:r>
          </w:p>
        </w:tc>
        <w:tc>
          <w:tcPr>
            <w:tcW w:type="dxa" w:w="560"/>
          </w:tcPr>
          <w:p>
            <w:pPr>
              <w:spacing w:after="0" w:line="240" w:lineRule="auto"/>
            </w:pPr>
            <w:r>
              <w:rPr>
                <w:b w:val="0"/>
                <w:i w:val="0"/>
                <w:sz w:val="16"/>
              </w:rPr>
              <w:t>Dec</w:t>
            </w:r>
          </w:p>
        </w:tc>
        <w:tc>
          <w:tcPr>
            <w:tcW w:type="dxa" w:w="2798"/>
          </w:tcPr>
          <w:p>
            <w:pPr>
              <w:spacing w:after="0" w:line="240" w:lineRule="auto"/>
            </w:pPr>
            <w:r>
              <w:rPr>
                <w:b w:val="0"/>
                <w:i w:val="0"/>
                <w:sz w:val="16"/>
              </w:rPr>
              <w:t xml:space="preserve">FY22 is ~10 months; SPGI adjusted OP margin measure </w:t>
            </w:r>
            <w:r>
              <w:rPr>
                <w:b/>
                <w:color w:val="2E548C"/>
                <w:sz w:val="13"/>
              </w:rPr>
              <w:t>[D]</w:t>
            </w:r>
          </w:p>
        </w:tc>
        <w:tc>
          <w:tcPr>
            <w:tcW w:type="dxa" w:w="1539"/>
          </w:tcPr>
          <w:p>
            <w:pPr>
              <w:spacing w:after="0" w:line="240" w:lineRule="auto"/>
            </w:pPr>
            <w:r>
              <w:rPr>
                <w:b w:val="0"/>
                <w:i w:val="0"/>
                <w:sz w:val="16"/>
              </w:rPr>
              <w:t>Partly (D4 §12)</w:t>
            </w:r>
          </w:p>
        </w:tc>
      </w:tr>
      <w:tr>
        <w:trPr>
          <w:cantSplit/>
        </w:trPr>
        <w:tc>
          <w:tcPr>
            <w:tcW w:type="dxa" w:w="1958"/>
            <w:shd w:val="clear" w:color="auto" w:fill="D9E1F2"/>
          </w:tcPr>
          <w:p>
            <w:pPr>
              <w:spacing w:after="0" w:line="240" w:lineRule="auto"/>
            </w:pPr>
            <w:r>
              <w:rPr>
                <w:b w:val="0"/>
                <w:i w:val="0"/>
                <w:sz w:val="16"/>
              </w:rPr>
              <w:t>Carve-out combined (Form 10/A, 10-Q)</w:t>
            </w:r>
          </w:p>
        </w:tc>
        <w:tc>
          <w:tcPr>
            <w:tcW w:type="dxa" w:w="1399"/>
            <w:shd w:val="clear" w:color="auto" w:fill="D9E1F2"/>
          </w:tcPr>
          <w:p>
            <w:pPr>
              <w:spacing w:after="0" w:line="240" w:lineRule="auto"/>
            </w:pPr>
            <w:r>
              <w:rPr>
                <w:b w:val="0"/>
                <w:i w:val="0"/>
                <w:sz w:val="16"/>
              </w:rPr>
              <w:t>FY2023 → Q2-2026</w:t>
            </w:r>
          </w:p>
        </w:tc>
        <w:tc>
          <w:tcPr>
            <w:tcW w:type="dxa" w:w="1539"/>
            <w:shd w:val="clear" w:color="auto" w:fill="D9E1F2"/>
          </w:tcPr>
          <w:p>
            <w:pPr>
              <w:spacing w:after="0" w:line="240" w:lineRule="auto"/>
            </w:pPr>
            <w:r>
              <w:rPr>
                <w:b w:val="0"/>
                <w:i w:val="0"/>
                <w:sz w:val="16"/>
              </w:rPr>
              <w:t>Combined statements incl. SPGI allocations</w:t>
            </w:r>
          </w:p>
        </w:tc>
        <w:tc>
          <w:tcPr>
            <w:tcW w:type="dxa" w:w="560"/>
            <w:shd w:val="clear" w:color="auto" w:fill="D9E1F2"/>
          </w:tcPr>
          <w:p>
            <w:pPr>
              <w:spacing w:after="0" w:line="240" w:lineRule="auto"/>
            </w:pPr>
            <w:r>
              <w:rPr>
                <w:b w:val="0"/>
                <w:i w:val="0"/>
                <w:sz w:val="16"/>
              </w:rPr>
              <w:t>Dec</w:t>
            </w:r>
          </w:p>
        </w:tc>
        <w:tc>
          <w:tcPr>
            <w:tcW w:type="dxa" w:w="2798"/>
            <w:shd w:val="clear" w:color="auto" w:fill="D9E1F2"/>
          </w:tcPr>
          <w:p>
            <w:pPr>
              <w:spacing w:after="0" w:line="240" w:lineRule="auto"/>
            </w:pPr>
            <w:r>
              <w:rPr>
                <w:b w:val="0"/>
                <w:i w:val="0"/>
                <w:sz w:val="16"/>
              </w:rPr>
              <w:t xml:space="preserve">~$100m allocations </w:t>
            </w:r>
            <w:r>
              <w:rPr>
                <w:b/>
                <w:color w:val="2E548C"/>
                <w:sz w:val="13"/>
              </w:rPr>
              <w:t>[C]</w:t>
            </w:r>
            <w:r>
              <w:rPr>
                <w:b w:val="0"/>
                <w:i w:val="0"/>
                <w:sz w:val="16"/>
              </w:rPr>
              <w:t xml:space="preserve">; no standalone debt or costs </w:t>
            </w:r>
            <w:r>
              <w:rPr>
                <w:b/>
                <w:color w:val="2E548C"/>
                <w:sz w:val="13"/>
              </w:rPr>
              <w:t>[D]</w:t>
            </w:r>
          </w:p>
        </w:tc>
        <w:tc>
          <w:tcPr>
            <w:tcW w:type="dxa" w:w="1539"/>
            <w:shd w:val="clear" w:color="auto" w:fill="D9E1F2"/>
          </w:tcPr>
          <w:p>
            <w:pPr>
              <w:spacing w:after="0" w:line="240" w:lineRule="auto"/>
            </w:pPr>
            <w:r>
              <w:rPr>
                <w:b w:val="0"/>
                <w:i w:val="0"/>
                <w:sz w:val="16"/>
              </w:rPr>
              <w:t>Base for this report</w:t>
            </w:r>
          </w:p>
        </w:tc>
      </w:tr>
      <w:tr>
        <w:trPr>
          <w:cantSplit/>
        </w:trPr>
        <w:tc>
          <w:tcPr>
            <w:tcW w:type="dxa" w:w="1958"/>
          </w:tcPr>
          <w:p>
            <w:pPr>
              <w:spacing w:after="0" w:line="240" w:lineRule="auto"/>
            </w:pPr>
            <w:r>
              <w:rPr>
                <w:b w:val="0"/>
                <w:i w:val="0"/>
                <w:sz w:val="16"/>
              </w:rPr>
              <w:t>MBGL standalone</w:t>
            </w:r>
          </w:p>
        </w:tc>
        <w:tc>
          <w:tcPr>
            <w:tcW w:type="dxa" w:w="1399"/>
          </w:tcPr>
          <w:p>
            <w:pPr>
              <w:spacing w:after="0" w:line="240" w:lineRule="auto"/>
            </w:pPr>
            <w:r>
              <w:rPr>
                <w:b w:val="0"/>
                <w:i w:val="0"/>
                <w:sz w:val="16"/>
              </w:rPr>
              <w:t>from 2026-07-01</w:t>
            </w:r>
          </w:p>
        </w:tc>
        <w:tc>
          <w:tcPr>
            <w:tcW w:type="dxa" w:w="1539"/>
          </w:tcPr>
          <w:p>
            <w:pPr>
              <w:spacing w:after="0" w:line="240" w:lineRule="auto"/>
            </w:pPr>
            <w:r>
              <w:rPr>
                <w:b w:val="0"/>
                <w:i w:val="0"/>
                <w:sz w:val="16"/>
              </w:rPr>
              <w:t>Listed company</w:t>
            </w:r>
          </w:p>
        </w:tc>
        <w:tc>
          <w:tcPr>
            <w:tcW w:type="dxa" w:w="560"/>
          </w:tcPr>
          <w:p>
            <w:pPr>
              <w:spacing w:after="0" w:line="240" w:lineRule="auto"/>
            </w:pPr>
            <w:r>
              <w:rPr>
                <w:b w:val="0"/>
                <w:i w:val="0"/>
                <w:sz w:val="16"/>
              </w:rPr>
              <w:t>Dec</w:t>
            </w:r>
          </w:p>
        </w:tc>
        <w:tc>
          <w:tcPr>
            <w:tcW w:type="dxa" w:w="2798"/>
          </w:tcPr>
          <w:p>
            <w:pPr>
              <w:spacing w:after="0" w:line="240" w:lineRule="auto"/>
            </w:pPr>
            <w:r>
              <w:rPr>
                <w:b w:val="0"/>
                <w:i w:val="0"/>
                <w:sz w:val="16"/>
              </w:rPr>
              <w:t xml:space="preserve">First standalone quarter is Q3-26 </w:t>
            </w:r>
            <w:r>
              <w:rPr>
                <w:b/>
                <w:color w:val="E36C09"/>
                <w:sz w:val="16"/>
              </w:rPr>
              <w:t>[TO COLLECT #5: Q3-26 10-Q / results (first standalone quarter, adjusted NI definition)]</w:t>
            </w:r>
          </w:p>
        </w:tc>
        <w:tc>
          <w:tcPr>
            <w:tcW w:type="dxa" w:w="1539"/>
          </w:tcPr>
          <w:p>
            <w:pPr>
              <w:spacing w:after="0" w:line="240" w:lineRule="auto"/>
            </w:pPr>
            <w:r>
              <w:rPr>
                <w:b w:val="0"/>
                <w:i w:val="0"/>
                <w:sz w:val="16"/>
              </w:rPr>
              <w:t>—</w:t>
            </w:r>
          </w:p>
        </w:tc>
      </w:tr>
    </w:tbl>
    <w:p>
      <w:pPr>
        <w:spacing w:after="120"/>
      </w:pPr>
      <w:r>
        <w:rPr>
          <w:b w:val="0"/>
          <w:i/>
          <w:color w:val="595959"/>
          <w:sz w:val="15"/>
        </w:rPr>
        <w:t>Source: PART_A_SUMMARY.md structural breaks; accounting_notes.csv (BREAK rows); SYNTHESIS.md caveats.</w:t>
      </w:r>
    </w:p>
    <w:p>
      <w:pPr>
        <w:pStyle w:val="Heading2"/>
      </w:pPr>
      <w:r>
        <w:t>2.3 Corporate and deal timeline</w:t>
      </w:r>
    </w:p>
    <w:p>
      <w:pPr>
        <w:keepNext/>
        <w:spacing w:before="80" w:after="40"/>
      </w:pPr>
      <w:r>
        <w:rPr>
          <w:b/>
          <w:i w:val="0"/>
          <w:color w:val="1F3864"/>
          <w:sz w:val="17"/>
        </w:rPr>
        <w:t xml:space="preserve">Exhibit 2.2 — Corporate events timeline </w:t>
      </w:r>
      <w:r>
        <w:rPr>
          <w:b/>
          <w:color w:val="2E548C"/>
          <w:sz w:val="14"/>
        </w:rPr>
        <w:t>[D]</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296"/>
        <w:gridCol w:w="6623"/>
        <w:gridCol w:w="1872"/>
      </w:tblGrid>
      <w:tr>
        <w:trPr>
          <w:cantSplit/>
          <w:tblHeader/>
        </w:trPr>
        <w:tc>
          <w:tcPr>
            <w:tcW w:type="dxa" w:w="1296"/>
            <w:shd w:val="clear" w:color="auto" w:fill="1F3864"/>
          </w:tcPr>
          <w:p>
            <w:pPr>
              <w:spacing w:after="0" w:line="240" w:lineRule="auto"/>
            </w:pPr>
            <w:r>
              <w:rPr>
                <w:b/>
                <w:i w:val="0"/>
                <w:color w:val="FFFFFF"/>
                <w:sz w:val="16"/>
              </w:rPr>
              <w:t>Date</w:t>
            </w:r>
          </w:p>
        </w:tc>
        <w:tc>
          <w:tcPr>
            <w:tcW w:type="dxa" w:w="6624"/>
            <w:shd w:val="clear" w:color="auto" w:fill="1F3864"/>
          </w:tcPr>
          <w:p>
            <w:pPr>
              <w:spacing w:after="0" w:line="240" w:lineRule="auto"/>
            </w:pPr>
            <w:r>
              <w:rPr>
                <w:b/>
                <w:i w:val="0"/>
                <w:color w:val="FFFFFF"/>
                <w:sz w:val="16"/>
              </w:rPr>
              <w:t>Event</w:t>
            </w:r>
          </w:p>
        </w:tc>
        <w:tc>
          <w:tcPr>
            <w:tcW w:type="dxa" w:w="1872"/>
            <w:shd w:val="clear" w:color="auto" w:fill="1F3864"/>
          </w:tcPr>
          <w:p>
            <w:pPr>
              <w:spacing w:after="0" w:line="240" w:lineRule="auto"/>
            </w:pPr>
            <w:r>
              <w:rPr>
                <w:b/>
                <w:i w:val="0"/>
                <w:color w:val="FFFFFF"/>
                <w:sz w:val="16"/>
              </w:rPr>
              <w:t>Source</w:t>
            </w:r>
          </w:p>
        </w:tc>
      </w:tr>
      <w:tr>
        <w:trPr>
          <w:cantSplit/>
        </w:trPr>
        <w:tc>
          <w:tcPr>
            <w:tcW w:type="dxa" w:w="1296"/>
          </w:tcPr>
          <w:p>
            <w:pPr>
              <w:spacing w:after="0" w:line="240" w:lineRule="auto"/>
            </w:pPr>
            <w:r>
              <w:rPr>
                <w:b w:val="0"/>
                <w:i w:val="0"/>
                <w:sz w:val="16"/>
              </w:rPr>
              <w:t>1870</w:t>
            </w:r>
          </w:p>
        </w:tc>
        <w:tc>
          <w:tcPr>
            <w:tcW w:type="dxa" w:w="6624"/>
          </w:tcPr>
          <w:p>
            <w:pPr>
              <w:spacing w:after="0" w:line="240" w:lineRule="auto"/>
            </w:pPr>
            <w:r>
              <w:rPr>
                <w:b w:val="0"/>
                <w:i w:val="0"/>
                <w:sz w:val="16"/>
              </w:rPr>
              <w:t>Polk origins</w:t>
            </w:r>
          </w:p>
        </w:tc>
        <w:tc>
          <w:tcPr>
            <w:tcW w:type="dxa" w:w="1872"/>
          </w:tcPr>
          <w:p>
            <w:pPr>
              <w:spacing w:after="0" w:line="240" w:lineRule="auto"/>
            </w:pPr>
            <w:r>
              <w:rPr>
                <w:b w:val="0"/>
                <w:i w:val="0"/>
                <w:sz w:val="16"/>
              </w:rPr>
              <w:t>10A p.268</w:t>
            </w:r>
          </w:p>
        </w:tc>
      </w:tr>
      <w:tr>
        <w:trPr>
          <w:cantSplit/>
        </w:trPr>
        <w:tc>
          <w:tcPr>
            <w:tcW w:type="dxa" w:w="1296"/>
            <w:shd w:val="clear" w:color="auto" w:fill="D9E1F2"/>
          </w:tcPr>
          <w:p>
            <w:pPr>
              <w:spacing w:after="0" w:line="240" w:lineRule="auto"/>
            </w:pPr>
            <w:r>
              <w:rPr>
                <w:b w:val="0"/>
                <w:i w:val="0"/>
                <w:sz w:val="16"/>
              </w:rPr>
              <w:t>2013</w:t>
            </w:r>
          </w:p>
        </w:tc>
        <w:tc>
          <w:tcPr>
            <w:tcW w:type="dxa" w:w="6624"/>
            <w:shd w:val="clear" w:color="auto" w:fill="D9E1F2"/>
          </w:tcPr>
          <w:p>
            <w:pPr>
              <w:spacing w:after="0" w:line="240" w:lineRule="auto"/>
            </w:pPr>
            <w:r>
              <w:rPr>
                <w:b w:val="0"/>
                <w:i w:val="0"/>
                <w:sz w:val="16"/>
              </w:rPr>
              <w:t>IHS Inc. acquires R.L. Polk (including CARFAX); deal values are not available in Quartr</w:t>
            </w:r>
          </w:p>
        </w:tc>
        <w:tc>
          <w:tcPr>
            <w:tcW w:type="dxa" w:w="1872"/>
            <w:shd w:val="clear" w:color="auto" w:fill="D9E1F2"/>
          </w:tcPr>
          <w:p>
            <w:pPr>
              <w:spacing w:after="0" w:line="240" w:lineRule="auto"/>
            </w:pPr>
            <w:r>
              <w:rPr>
                <w:b w:val="0"/>
                <w:i w:val="0"/>
                <w:sz w:val="16"/>
              </w:rPr>
              <w:t>PRED</w:t>
            </w:r>
          </w:p>
        </w:tc>
      </w:tr>
      <w:tr>
        <w:trPr>
          <w:cantSplit/>
        </w:trPr>
        <w:tc>
          <w:tcPr>
            <w:tcW w:type="dxa" w:w="1296"/>
          </w:tcPr>
          <w:p>
            <w:pPr>
              <w:spacing w:after="0" w:line="240" w:lineRule="auto"/>
            </w:pPr>
            <w:r>
              <w:rPr>
                <w:b w:val="0"/>
                <w:i w:val="0"/>
                <w:sz w:val="16"/>
              </w:rPr>
              <w:t>2014</w:t>
            </w:r>
          </w:p>
        </w:tc>
        <w:tc>
          <w:tcPr>
            <w:tcW w:type="dxa" w:w="6624"/>
          </w:tcPr>
          <w:p>
            <w:pPr>
              <w:spacing w:after="0" w:line="240" w:lineRule="auto"/>
            </w:pPr>
            <w:r>
              <w:rPr>
                <w:b w:val="0"/>
                <w:i w:val="0"/>
                <w:sz w:val="16"/>
              </w:rPr>
              <w:t>Car Listings launched</w:t>
            </w:r>
          </w:p>
        </w:tc>
        <w:tc>
          <w:tcPr>
            <w:tcW w:type="dxa" w:w="1872"/>
          </w:tcPr>
          <w:p>
            <w:pPr>
              <w:spacing w:after="0" w:line="240" w:lineRule="auto"/>
            </w:pPr>
            <w:r>
              <w:rPr>
                <w:b w:val="0"/>
                <w:i w:val="0"/>
                <w:sz w:val="16"/>
              </w:rPr>
              <w:t>10A p.271</w:t>
            </w:r>
          </w:p>
        </w:tc>
      </w:tr>
      <w:tr>
        <w:trPr>
          <w:cantSplit/>
        </w:trPr>
        <w:tc>
          <w:tcPr>
            <w:tcW w:type="dxa" w:w="1296"/>
            <w:shd w:val="clear" w:color="auto" w:fill="D9E1F2"/>
          </w:tcPr>
          <w:p>
            <w:pPr>
              <w:spacing w:after="0" w:line="240" w:lineRule="auto"/>
            </w:pPr>
            <w:r>
              <w:rPr>
                <w:b w:val="0"/>
                <w:i w:val="0"/>
                <w:sz w:val="16"/>
              </w:rPr>
              <w:t>2015-12-24</w:t>
            </w:r>
          </w:p>
        </w:tc>
        <w:tc>
          <w:tcPr>
            <w:tcW w:type="dxa" w:w="6624"/>
            <w:shd w:val="clear" w:color="auto" w:fill="D9E1F2"/>
          </w:tcPr>
          <w:p>
            <w:pPr>
              <w:spacing w:after="0" w:line="240" w:lineRule="auto"/>
            </w:pPr>
            <w:r>
              <w:rPr>
                <w:b w:val="0"/>
                <w:i w:val="0"/>
                <w:sz w:val="16"/>
              </w:rPr>
              <w:t>IHS acquires CARPROOF (Canada), $459.2m net of cash</w:t>
            </w:r>
          </w:p>
        </w:tc>
        <w:tc>
          <w:tcPr>
            <w:tcW w:type="dxa" w:w="1872"/>
            <w:shd w:val="clear" w:color="auto" w:fill="D9E1F2"/>
          </w:tcPr>
          <w:p>
            <w:pPr>
              <w:spacing w:after="0" w:line="240" w:lineRule="auto"/>
            </w:pPr>
            <w:r>
              <w:rPr>
                <w:b w:val="0"/>
                <w:i w:val="0"/>
                <w:sz w:val="16"/>
              </w:rPr>
              <w:t>INFO16 p.60</w:t>
            </w:r>
          </w:p>
        </w:tc>
      </w:tr>
      <w:tr>
        <w:trPr>
          <w:cantSplit/>
        </w:trPr>
        <w:tc>
          <w:tcPr>
            <w:tcW w:type="dxa" w:w="1296"/>
          </w:tcPr>
          <w:p>
            <w:pPr>
              <w:spacing w:after="0" w:line="240" w:lineRule="auto"/>
            </w:pPr>
            <w:r>
              <w:rPr>
                <w:b w:val="0"/>
                <w:i w:val="0"/>
                <w:sz w:val="16"/>
              </w:rPr>
              <w:t>2016-07-12</w:t>
            </w:r>
          </w:p>
        </w:tc>
        <w:tc>
          <w:tcPr>
            <w:tcW w:type="dxa" w:w="6624"/>
          </w:tcPr>
          <w:p>
            <w:pPr>
              <w:spacing w:after="0" w:line="240" w:lineRule="auto"/>
            </w:pPr>
            <w:r>
              <w:rPr>
                <w:b w:val="0"/>
                <w:i w:val="0"/>
                <w:sz w:val="16"/>
              </w:rPr>
              <w:t>IHS/Markit merger</w:t>
            </w:r>
          </w:p>
        </w:tc>
        <w:tc>
          <w:tcPr>
            <w:tcW w:type="dxa" w:w="1872"/>
          </w:tcPr>
          <w:p>
            <w:pPr>
              <w:spacing w:after="0" w:line="240" w:lineRule="auto"/>
            </w:pPr>
            <w:r>
              <w:rPr>
                <w:b w:val="0"/>
                <w:i w:val="0"/>
                <w:sz w:val="16"/>
              </w:rPr>
              <w:t>INFO16 p.60</w:t>
            </w:r>
          </w:p>
        </w:tc>
      </w:tr>
      <w:tr>
        <w:trPr>
          <w:cantSplit/>
        </w:trPr>
        <w:tc>
          <w:tcPr>
            <w:tcW w:type="dxa" w:w="1296"/>
            <w:shd w:val="clear" w:color="auto" w:fill="D9E1F2"/>
          </w:tcPr>
          <w:p>
            <w:pPr>
              <w:spacing w:after="0" w:line="240" w:lineRule="auto"/>
            </w:pPr>
            <w:r>
              <w:rPr>
                <w:b w:val="0"/>
                <w:i w:val="0"/>
                <w:sz w:val="16"/>
              </w:rPr>
              <w:t>2017-09-25</w:t>
            </w:r>
          </w:p>
        </w:tc>
        <w:tc>
          <w:tcPr>
            <w:tcW w:type="dxa" w:w="6624"/>
            <w:shd w:val="clear" w:color="auto" w:fill="D9E1F2"/>
          </w:tcPr>
          <w:p>
            <w:pPr>
              <w:spacing w:after="0" w:line="240" w:lineRule="auto"/>
            </w:pPr>
            <w:r>
              <w:rPr>
                <w:b w:val="0"/>
                <w:i w:val="0"/>
                <w:sz w:val="16"/>
              </w:rPr>
              <w:t>automotiveMastermind acquired (78%)</w:t>
            </w:r>
          </w:p>
        </w:tc>
        <w:tc>
          <w:tcPr>
            <w:tcW w:type="dxa" w:w="1872"/>
            <w:shd w:val="clear" w:color="auto" w:fill="D9E1F2"/>
          </w:tcPr>
          <w:p>
            <w:pPr>
              <w:spacing w:after="0" w:line="240" w:lineRule="auto"/>
            </w:pPr>
            <w:r>
              <w:rPr>
                <w:b w:val="0"/>
                <w:i w:val="0"/>
                <w:sz w:val="16"/>
              </w:rPr>
              <w:t>INFO17 p.62</w:t>
            </w:r>
          </w:p>
        </w:tc>
      </w:tr>
      <w:tr>
        <w:trPr>
          <w:cantSplit/>
        </w:trPr>
        <w:tc>
          <w:tcPr>
            <w:tcW w:type="dxa" w:w="1296"/>
          </w:tcPr>
          <w:p>
            <w:pPr>
              <w:spacing w:after="0" w:line="240" w:lineRule="auto"/>
            </w:pPr>
            <w:r>
              <w:rPr>
                <w:b w:val="0"/>
                <w:i w:val="0"/>
                <w:sz w:val="16"/>
              </w:rPr>
              <w:t>2018-10-01</w:t>
            </w:r>
          </w:p>
        </w:tc>
        <w:tc>
          <w:tcPr>
            <w:tcW w:type="dxa" w:w="6624"/>
          </w:tcPr>
          <w:p>
            <w:pPr>
              <w:spacing w:after="0" w:line="240" w:lineRule="auto"/>
            </w:pPr>
            <w:r>
              <w:rPr>
                <w:b w:val="0"/>
                <w:i w:val="0"/>
                <w:sz w:val="16"/>
              </w:rPr>
              <w:t>Canada Carfax Loan (CAD 403m) from IHS Canada</w:t>
            </w:r>
          </w:p>
        </w:tc>
        <w:tc>
          <w:tcPr>
            <w:tcW w:type="dxa" w:w="1872"/>
          </w:tcPr>
          <w:p>
            <w:pPr>
              <w:spacing w:after="0" w:line="240" w:lineRule="auto"/>
            </w:pPr>
            <w:r>
              <w:rPr>
                <w:b w:val="0"/>
                <w:i w:val="0"/>
                <w:sz w:val="16"/>
              </w:rPr>
              <w:t>10A p.362–363</w:t>
            </w:r>
          </w:p>
        </w:tc>
      </w:tr>
      <w:tr>
        <w:trPr>
          <w:cantSplit/>
        </w:trPr>
        <w:tc>
          <w:tcPr>
            <w:tcW w:type="dxa" w:w="1296"/>
            <w:shd w:val="clear" w:color="auto" w:fill="D9E1F2"/>
          </w:tcPr>
          <w:p>
            <w:pPr>
              <w:spacing w:after="0" w:line="240" w:lineRule="auto"/>
            </w:pPr>
            <w:r>
              <w:rPr>
                <w:b w:val="0"/>
                <w:i w:val="0"/>
                <w:sz w:val="16"/>
              </w:rPr>
              <w:t>2019</w:t>
            </w:r>
          </w:p>
        </w:tc>
        <w:tc>
          <w:tcPr>
            <w:tcW w:type="dxa" w:w="6624"/>
            <w:shd w:val="clear" w:color="auto" w:fill="D9E1F2"/>
          </w:tcPr>
          <w:p>
            <w:pPr>
              <w:spacing w:after="0" w:line="240" w:lineRule="auto"/>
            </w:pPr>
            <w:r>
              <w:rPr>
                <w:b w:val="0"/>
                <w:i w:val="0"/>
                <w:sz w:val="16"/>
              </w:rPr>
              <w:t>CARFAX For Life launched</w:t>
            </w:r>
          </w:p>
        </w:tc>
        <w:tc>
          <w:tcPr>
            <w:tcW w:type="dxa" w:w="1872"/>
            <w:shd w:val="clear" w:color="auto" w:fill="D9E1F2"/>
          </w:tcPr>
          <w:p>
            <w:pPr>
              <w:spacing w:after="0" w:line="240" w:lineRule="auto"/>
            </w:pPr>
            <w:r>
              <w:rPr>
                <w:b w:val="0"/>
                <w:i w:val="0"/>
                <w:sz w:val="16"/>
              </w:rPr>
              <w:t>10A p.271</w:t>
            </w:r>
          </w:p>
        </w:tc>
      </w:tr>
      <w:tr>
        <w:trPr>
          <w:cantSplit/>
        </w:trPr>
        <w:tc>
          <w:tcPr>
            <w:tcW w:type="dxa" w:w="1296"/>
          </w:tcPr>
          <w:p>
            <w:pPr>
              <w:spacing w:after="0" w:line="240" w:lineRule="auto"/>
            </w:pPr>
            <w:r>
              <w:rPr>
                <w:b w:val="0"/>
                <w:i w:val="0"/>
                <w:sz w:val="16"/>
              </w:rPr>
              <w:t>2019-12-02</w:t>
            </w:r>
          </w:p>
        </w:tc>
        <w:tc>
          <w:tcPr>
            <w:tcW w:type="dxa" w:w="6624"/>
          </w:tcPr>
          <w:p>
            <w:pPr>
              <w:spacing w:after="0" w:line="240" w:lineRule="auto"/>
            </w:pPr>
            <w:r>
              <w:rPr>
                <w:b w:val="0"/>
                <w:i w:val="0"/>
                <w:sz w:val="16"/>
              </w:rPr>
              <w:t>Aerospace &amp; Defense sold to Montagu (Transportation segment; not Mobility)</w:t>
            </w:r>
          </w:p>
        </w:tc>
        <w:tc>
          <w:tcPr>
            <w:tcW w:type="dxa" w:w="1872"/>
          </w:tcPr>
          <w:p>
            <w:pPr>
              <w:spacing w:after="0" w:line="240" w:lineRule="auto"/>
            </w:pPr>
            <w:r>
              <w:rPr>
                <w:b w:val="0"/>
                <w:i w:val="0"/>
                <w:sz w:val="16"/>
              </w:rPr>
              <w:t>PRED</w:t>
            </w:r>
          </w:p>
        </w:tc>
      </w:tr>
      <w:tr>
        <w:trPr>
          <w:cantSplit/>
        </w:trPr>
        <w:tc>
          <w:tcPr>
            <w:tcW w:type="dxa" w:w="1296"/>
            <w:shd w:val="clear" w:color="auto" w:fill="D9E1F2"/>
          </w:tcPr>
          <w:p>
            <w:pPr>
              <w:spacing w:after="0" w:line="240" w:lineRule="auto"/>
            </w:pPr>
            <w:r>
              <w:rPr>
                <w:b w:val="0"/>
                <w:i w:val="0"/>
                <w:sz w:val="16"/>
              </w:rPr>
              <w:t>2021-02-21</w:t>
            </w:r>
          </w:p>
        </w:tc>
        <w:tc>
          <w:tcPr>
            <w:tcW w:type="dxa" w:w="6624"/>
            <w:shd w:val="clear" w:color="auto" w:fill="D9E1F2"/>
          </w:tcPr>
          <w:p>
            <w:pPr>
              <w:spacing w:after="0" w:line="240" w:lineRule="auto"/>
            </w:pPr>
            <w:r>
              <w:rPr>
                <w:b w:val="0"/>
                <w:i w:val="0"/>
                <w:sz w:val="16"/>
              </w:rPr>
              <w:t>Europe Carfax Loan (up to EUR 10m to IHS Group Holdings)</w:t>
            </w:r>
          </w:p>
        </w:tc>
        <w:tc>
          <w:tcPr>
            <w:tcW w:type="dxa" w:w="1872"/>
            <w:shd w:val="clear" w:color="auto" w:fill="D9E1F2"/>
          </w:tcPr>
          <w:p>
            <w:pPr>
              <w:spacing w:after="0" w:line="240" w:lineRule="auto"/>
            </w:pPr>
            <w:r>
              <w:rPr>
                <w:b w:val="0"/>
                <w:i w:val="0"/>
                <w:sz w:val="16"/>
              </w:rPr>
              <w:t>10A p.363</w:t>
            </w:r>
          </w:p>
        </w:tc>
      </w:tr>
      <w:tr>
        <w:trPr>
          <w:cantSplit/>
        </w:trPr>
        <w:tc>
          <w:tcPr>
            <w:tcW w:type="dxa" w:w="1296"/>
          </w:tcPr>
          <w:p>
            <w:pPr>
              <w:spacing w:after="0" w:line="240" w:lineRule="auto"/>
            </w:pPr>
            <w:r>
              <w:rPr>
                <w:b w:val="0"/>
                <w:i w:val="0"/>
                <w:sz w:val="16"/>
              </w:rPr>
              <w:t>2021</w:t>
            </w:r>
          </w:p>
        </w:tc>
        <w:tc>
          <w:tcPr>
            <w:tcW w:type="dxa" w:w="6624"/>
          </w:tcPr>
          <w:p>
            <w:pPr>
              <w:spacing w:after="0" w:line="240" w:lineRule="auto"/>
            </w:pPr>
            <w:r>
              <w:rPr>
                <w:b w:val="0"/>
                <w:i w:val="0"/>
                <w:sz w:val="16"/>
              </w:rPr>
              <w:t>EEQ launched</w:t>
            </w:r>
          </w:p>
        </w:tc>
        <w:tc>
          <w:tcPr>
            <w:tcW w:type="dxa" w:w="1872"/>
          </w:tcPr>
          <w:p>
            <w:pPr>
              <w:spacing w:after="0" w:line="240" w:lineRule="auto"/>
            </w:pPr>
            <w:r>
              <w:rPr>
                <w:b w:val="0"/>
                <w:i w:val="0"/>
                <w:sz w:val="16"/>
              </w:rPr>
              <w:t>10A p.271</w:t>
            </w:r>
          </w:p>
        </w:tc>
      </w:tr>
      <w:tr>
        <w:trPr>
          <w:cantSplit/>
        </w:trPr>
        <w:tc>
          <w:tcPr>
            <w:tcW w:type="dxa" w:w="1296"/>
            <w:shd w:val="clear" w:color="auto" w:fill="D9E1F2"/>
          </w:tcPr>
          <w:p>
            <w:pPr>
              <w:spacing w:after="0" w:line="240" w:lineRule="auto"/>
            </w:pPr>
            <w:r>
              <w:rPr>
                <w:b w:val="0"/>
                <w:i w:val="0"/>
                <w:sz w:val="16"/>
              </w:rPr>
              <w:t>2022-02-28</w:t>
            </w:r>
          </w:p>
        </w:tc>
        <w:tc>
          <w:tcPr>
            <w:tcW w:type="dxa" w:w="6624"/>
            <w:shd w:val="clear" w:color="auto" w:fill="D9E1F2"/>
          </w:tcPr>
          <w:p>
            <w:pPr>
              <w:spacing w:after="0" w:line="240" w:lineRule="auto"/>
            </w:pPr>
            <w:r>
              <w:rPr>
                <w:b w:val="0"/>
                <w:i w:val="0"/>
                <w:sz w:val="16"/>
              </w:rPr>
              <w:t>S&amp;P Global/IHS Markit merger; Mobility becomes an SPGI segment (exchange ratio 0.2838)</w:t>
            </w:r>
          </w:p>
        </w:tc>
        <w:tc>
          <w:tcPr>
            <w:tcW w:type="dxa" w:w="1872"/>
            <w:shd w:val="clear" w:color="auto" w:fill="D9E1F2"/>
          </w:tcPr>
          <w:p>
            <w:pPr>
              <w:spacing w:after="0" w:line="240" w:lineRule="auto"/>
            </w:pPr>
            <w:r>
              <w:rPr>
                <w:b w:val="0"/>
                <w:i w:val="0"/>
                <w:sz w:val="16"/>
              </w:rPr>
              <w:t>10A p.445, 459</w:t>
            </w:r>
          </w:p>
        </w:tc>
      </w:tr>
      <w:tr>
        <w:trPr>
          <w:cantSplit/>
        </w:trPr>
        <w:tc>
          <w:tcPr>
            <w:tcW w:type="dxa" w:w="1296"/>
          </w:tcPr>
          <w:p>
            <w:pPr>
              <w:spacing w:after="0" w:line="240" w:lineRule="auto"/>
            </w:pPr>
            <w:r>
              <w:rPr>
                <w:b w:val="0"/>
                <w:i w:val="0"/>
                <w:sz w:val="16"/>
              </w:rPr>
              <w:t>2023-02-16</w:t>
            </w:r>
          </w:p>
        </w:tc>
        <w:tc>
          <w:tcPr>
            <w:tcW w:type="dxa" w:w="6624"/>
          </w:tcPr>
          <w:p>
            <w:pPr>
              <w:spacing w:after="0" w:line="240" w:lineRule="auto"/>
            </w:pPr>
            <w:r>
              <w:rPr>
                <w:b w:val="0"/>
                <w:i w:val="0"/>
                <w:sz w:val="16"/>
              </w:rPr>
              <w:t>Market Scan acquired ($223m)</w:t>
            </w:r>
          </w:p>
        </w:tc>
        <w:tc>
          <w:tcPr>
            <w:tcW w:type="dxa" w:w="1872"/>
          </w:tcPr>
          <w:p>
            <w:pPr>
              <w:spacing w:after="0" w:line="240" w:lineRule="auto"/>
            </w:pPr>
            <w:r>
              <w:rPr>
                <w:b w:val="0"/>
                <w:i w:val="0"/>
                <w:sz w:val="16"/>
              </w:rPr>
              <w:t>10A p.452</w:t>
            </w:r>
          </w:p>
        </w:tc>
      </w:tr>
      <w:tr>
        <w:trPr>
          <w:cantSplit/>
        </w:trPr>
        <w:tc>
          <w:tcPr>
            <w:tcW w:type="dxa" w:w="1296"/>
            <w:shd w:val="clear" w:color="auto" w:fill="D9E1F2"/>
          </w:tcPr>
          <w:p>
            <w:pPr>
              <w:spacing w:after="0" w:line="240" w:lineRule="auto"/>
            </w:pPr>
            <w:r>
              <w:rPr>
                <w:b w:val="0"/>
                <w:i w:val="0"/>
                <w:sz w:val="16"/>
              </w:rPr>
              <w:t>2023-08</w:t>
            </w:r>
          </w:p>
        </w:tc>
        <w:tc>
          <w:tcPr>
            <w:tcW w:type="dxa" w:w="6624"/>
            <w:shd w:val="clear" w:color="auto" w:fill="D9E1F2"/>
          </w:tcPr>
          <w:p>
            <w:pPr>
              <w:spacing w:after="0" w:line="240" w:lineRule="auto"/>
            </w:pPr>
            <w:r>
              <w:rPr>
                <w:b w:val="0"/>
                <w:i w:val="0"/>
                <w:sz w:val="16"/>
              </w:rPr>
              <w:t>Catalyst for Aftersales disposed</w:t>
            </w:r>
          </w:p>
        </w:tc>
        <w:tc>
          <w:tcPr>
            <w:tcW w:type="dxa" w:w="1872"/>
            <w:shd w:val="clear" w:color="auto" w:fill="D9E1F2"/>
          </w:tcPr>
          <w:p>
            <w:pPr>
              <w:spacing w:after="0" w:line="240" w:lineRule="auto"/>
            </w:pPr>
            <w:r>
              <w:rPr>
                <w:b w:val="0"/>
                <w:i w:val="0"/>
                <w:sz w:val="16"/>
              </w:rPr>
              <w:t>10A p.350</w:t>
            </w:r>
          </w:p>
        </w:tc>
      </w:tr>
      <w:tr>
        <w:trPr>
          <w:cantSplit/>
        </w:trPr>
        <w:tc>
          <w:tcPr>
            <w:tcW w:type="dxa" w:w="1296"/>
          </w:tcPr>
          <w:p>
            <w:pPr>
              <w:spacing w:after="0" w:line="240" w:lineRule="auto"/>
            </w:pPr>
            <w:r>
              <w:rPr>
                <w:b w:val="0"/>
                <w:i w:val="0"/>
                <w:sz w:val="16"/>
              </w:rPr>
              <w:t>2025-04-29</w:t>
            </w:r>
          </w:p>
        </w:tc>
        <w:tc>
          <w:tcPr>
            <w:tcW w:type="dxa" w:w="6624"/>
          </w:tcPr>
          <w:p>
            <w:pPr>
              <w:spacing w:after="0" w:line="240" w:lineRule="auto"/>
            </w:pPr>
            <w:r>
              <w:rPr>
                <w:b w:val="0"/>
                <w:i w:val="0"/>
                <w:sz w:val="16"/>
              </w:rPr>
              <w:t>Separation announced</w:t>
            </w:r>
          </w:p>
        </w:tc>
        <w:tc>
          <w:tcPr>
            <w:tcW w:type="dxa" w:w="1872"/>
          </w:tcPr>
          <w:p>
            <w:pPr>
              <w:spacing w:after="0" w:line="240" w:lineRule="auto"/>
            </w:pPr>
            <w:r>
              <w:rPr>
                <w:b w:val="0"/>
                <w:i w:val="0"/>
                <w:sz w:val="16"/>
              </w:rPr>
              <w:t>10A p.272</w:t>
            </w:r>
          </w:p>
        </w:tc>
      </w:tr>
      <w:tr>
        <w:trPr>
          <w:cantSplit/>
        </w:trPr>
        <w:tc>
          <w:tcPr>
            <w:tcW w:type="dxa" w:w="1296"/>
            <w:shd w:val="clear" w:color="auto" w:fill="D9E1F2"/>
          </w:tcPr>
          <w:p>
            <w:pPr>
              <w:spacing w:after="0" w:line="240" w:lineRule="auto"/>
            </w:pPr>
            <w:r>
              <w:rPr>
                <w:b w:val="0"/>
                <w:i w:val="0"/>
                <w:sz w:val="16"/>
              </w:rPr>
              <w:t>2025-07-28</w:t>
            </w:r>
          </w:p>
        </w:tc>
        <w:tc>
          <w:tcPr>
            <w:tcW w:type="dxa" w:w="6624"/>
            <w:shd w:val="clear" w:color="auto" w:fill="D9E1F2"/>
          </w:tcPr>
          <w:p>
            <w:pPr>
              <w:spacing w:after="0" w:line="240" w:lineRule="auto"/>
            </w:pPr>
            <w:r>
              <w:rPr>
                <w:b w:val="0"/>
                <w:i w:val="0"/>
                <w:sz w:val="16"/>
              </w:rPr>
              <w:t>CEO William W. Eager offer letter</w:t>
            </w:r>
          </w:p>
        </w:tc>
        <w:tc>
          <w:tcPr>
            <w:tcW w:type="dxa" w:w="1872"/>
            <w:shd w:val="clear" w:color="auto" w:fill="D9E1F2"/>
          </w:tcPr>
          <w:p>
            <w:pPr>
              <w:spacing w:after="0" w:line="240" w:lineRule="auto"/>
            </w:pPr>
            <w:r>
              <w:rPr>
                <w:b w:val="0"/>
                <w:i w:val="0"/>
                <w:sz w:val="16"/>
              </w:rPr>
              <w:t>10A p.4</w:t>
            </w:r>
          </w:p>
        </w:tc>
      </w:tr>
      <w:tr>
        <w:trPr>
          <w:cantSplit/>
        </w:trPr>
        <w:tc>
          <w:tcPr>
            <w:tcW w:type="dxa" w:w="1296"/>
          </w:tcPr>
          <w:p>
            <w:pPr>
              <w:spacing w:after="0" w:line="240" w:lineRule="auto"/>
            </w:pPr>
            <w:r>
              <w:rPr>
                <w:b w:val="0"/>
                <w:i w:val="0"/>
                <w:sz w:val="16"/>
              </w:rPr>
              <w:t>2025-09-26</w:t>
            </w:r>
          </w:p>
        </w:tc>
        <w:tc>
          <w:tcPr>
            <w:tcW w:type="dxa" w:w="6624"/>
          </w:tcPr>
          <w:p>
            <w:pPr>
              <w:spacing w:after="0" w:line="240" w:lineRule="auto"/>
            </w:pPr>
            <w:r>
              <w:rPr>
                <w:b w:val="0"/>
                <w:i w:val="0"/>
                <w:sz w:val="16"/>
              </w:rPr>
              <w:t>SpinCo incorporated</w:t>
            </w:r>
          </w:p>
        </w:tc>
        <w:tc>
          <w:tcPr>
            <w:tcW w:type="dxa" w:w="1872"/>
          </w:tcPr>
          <w:p>
            <w:pPr>
              <w:spacing w:after="0" w:line="240" w:lineRule="auto"/>
            </w:pPr>
            <w:r>
              <w:rPr>
                <w:b w:val="0"/>
                <w:i w:val="0"/>
                <w:sz w:val="16"/>
              </w:rPr>
              <w:t>10A p.274</w:t>
            </w:r>
          </w:p>
        </w:tc>
      </w:tr>
      <w:tr>
        <w:trPr>
          <w:cantSplit/>
        </w:trPr>
        <w:tc>
          <w:tcPr>
            <w:tcW w:type="dxa" w:w="1296"/>
            <w:shd w:val="clear" w:color="auto" w:fill="D9E1F2"/>
          </w:tcPr>
          <w:p>
            <w:pPr>
              <w:spacing w:after="0" w:line="240" w:lineRule="auto"/>
            </w:pPr>
            <w:r>
              <w:rPr>
                <w:b w:val="0"/>
                <w:i w:val="0"/>
                <w:sz w:val="16"/>
              </w:rPr>
              <w:t>2025-11-30</w:t>
            </w:r>
          </w:p>
        </w:tc>
        <w:tc>
          <w:tcPr>
            <w:tcW w:type="dxa" w:w="6624"/>
            <w:shd w:val="clear" w:color="auto" w:fill="D9E1F2"/>
          </w:tcPr>
          <w:p>
            <w:pPr>
              <w:spacing w:after="0" w:line="240" w:lineRule="auto"/>
            </w:pPr>
            <w:r>
              <w:rPr>
                <w:b w:val="0"/>
                <w:i w:val="0"/>
                <w:sz w:val="16"/>
              </w:rPr>
              <w:t>Europe Carfax Loan repaid in full</w:t>
            </w:r>
          </w:p>
        </w:tc>
        <w:tc>
          <w:tcPr>
            <w:tcW w:type="dxa" w:w="1872"/>
            <w:shd w:val="clear" w:color="auto" w:fill="D9E1F2"/>
          </w:tcPr>
          <w:p>
            <w:pPr>
              <w:spacing w:after="0" w:line="240" w:lineRule="auto"/>
            </w:pPr>
            <w:r>
              <w:rPr>
                <w:b w:val="0"/>
                <w:i w:val="0"/>
                <w:sz w:val="16"/>
              </w:rPr>
              <w:t>10A p.363</w:t>
            </w:r>
          </w:p>
        </w:tc>
      </w:tr>
      <w:tr>
        <w:trPr>
          <w:cantSplit/>
        </w:trPr>
        <w:tc>
          <w:tcPr>
            <w:tcW w:type="dxa" w:w="1296"/>
          </w:tcPr>
          <w:p>
            <w:pPr>
              <w:spacing w:after="0" w:line="240" w:lineRule="auto"/>
            </w:pPr>
            <w:r>
              <w:rPr>
                <w:b w:val="0"/>
                <w:i w:val="0"/>
                <w:sz w:val="16"/>
              </w:rPr>
              <w:t>2026-01-05</w:t>
            </w:r>
          </w:p>
        </w:tc>
        <w:tc>
          <w:tcPr>
            <w:tcW w:type="dxa" w:w="6624"/>
          </w:tcPr>
          <w:p>
            <w:pPr>
              <w:spacing w:after="0" w:line="240" w:lineRule="auto"/>
            </w:pPr>
            <w:r>
              <w:rPr>
                <w:b w:val="0"/>
                <w:i w:val="0"/>
                <w:sz w:val="16"/>
              </w:rPr>
              <w:t>OECD guidance on U.S.-parented Pillar Two exclusion</w:t>
            </w:r>
          </w:p>
        </w:tc>
        <w:tc>
          <w:tcPr>
            <w:tcW w:type="dxa" w:w="1872"/>
          </w:tcPr>
          <w:p>
            <w:pPr>
              <w:spacing w:after="0" w:line="240" w:lineRule="auto"/>
            </w:pPr>
            <w:r>
              <w:rPr>
                <w:b w:val="0"/>
                <w:i w:val="0"/>
                <w:sz w:val="16"/>
              </w:rPr>
              <w:t>10A p.349</w:t>
            </w:r>
          </w:p>
        </w:tc>
      </w:tr>
      <w:tr>
        <w:trPr>
          <w:cantSplit/>
        </w:trPr>
        <w:tc>
          <w:tcPr>
            <w:tcW w:type="dxa" w:w="1296"/>
            <w:shd w:val="clear" w:color="auto" w:fill="D9E1F2"/>
          </w:tcPr>
          <w:p>
            <w:pPr>
              <w:spacing w:after="0" w:line="240" w:lineRule="auto"/>
            </w:pPr>
            <w:r>
              <w:rPr>
                <w:b w:val="0"/>
                <w:i w:val="0"/>
                <w:sz w:val="16"/>
              </w:rPr>
              <w:t>2026-02-05</w:t>
            </w:r>
          </w:p>
        </w:tc>
        <w:tc>
          <w:tcPr>
            <w:tcW w:type="dxa" w:w="6624"/>
            <w:shd w:val="clear" w:color="auto" w:fill="D9E1F2"/>
          </w:tcPr>
          <w:p>
            <w:pPr>
              <w:spacing w:after="0" w:line="240" w:lineRule="auto"/>
            </w:pPr>
            <w:r>
              <w:rPr>
                <w:b w:val="0"/>
                <w:i w:val="0"/>
                <w:sz w:val="16"/>
              </w:rPr>
              <w:t>Renamed Mobility Global Inc.</w:t>
            </w:r>
          </w:p>
        </w:tc>
        <w:tc>
          <w:tcPr>
            <w:tcW w:type="dxa" w:w="1872"/>
            <w:shd w:val="clear" w:color="auto" w:fill="D9E1F2"/>
          </w:tcPr>
          <w:p>
            <w:pPr>
              <w:spacing w:after="0" w:line="240" w:lineRule="auto"/>
            </w:pPr>
            <w:r>
              <w:rPr>
                <w:b w:val="0"/>
                <w:i w:val="0"/>
                <w:sz w:val="16"/>
              </w:rPr>
              <w:t>10A p.274</w:t>
            </w:r>
          </w:p>
        </w:tc>
      </w:tr>
      <w:tr>
        <w:trPr>
          <w:cantSplit/>
        </w:trPr>
        <w:tc>
          <w:tcPr>
            <w:tcW w:type="dxa" w:w="1296"/>
          </w:tcPr>
          <w:p>
            <w:pPr>
              <w:spacing w:after="0" w:line="240" w:lineRule="auto"/>
            </w:pPr>
            <w:r>
              <w:rPr>
                <w:b w:val="0"/>
                <w:i w:val="0"/>
                <w:sz w:val="16"/>
              </w:rPr>
              <w:t>Q1-2026</w:t>
            </w:r>
          </w:p>
        </w:tc>
        <w:tc>
          <w:tcPr>
            <w:tcW w:type="dxa" w:w="6624"/>
          </w:tcPr>
          <w:p>
            <w:pPr>
              <w:spacing w:after="0" w:line="240" w:lineRule="auto"/>
            </w:pPr>
            <w:r>
              <w:rPr>
                <w:b w:val="0"/>
                <w:i w:val="0"/>
                <w:sz w:val="16"/>
              </w:rPr>
              <w:t>Exits SPGI cash pooling</w:t>
            </w:r>
          </w:p>
        </w:tc>
        <w:tc>
          <w:tcPr>
            <w:tcW w:type="dxa" w:w="1872"/>
          </w:tcPr>
          <w:p>
            <w:pPr>
              <w:spacing w:after="0" w:line="240" w:lineRule="auto"/>
            </w:pPr>
            <w:r>
              <w:rPr>
                <w:b w:val="0"/>
                <w:i w:val="0"/>
                <w:sz w:val="16"/>
              </w:rPr>
              <w:t>10A p.345; 10Q p.10</w:t>
            </w:r>
          </w:p>
        </w:tc>
      </w:tr>
      <w:tr>
        <w:trPr>
          <w:cantSplit/>
        </w:trPr>
        <w:tc>
          <w:tcPr>
            <w:tcW w:type="dxa" w:w="1296"/>
            <w:shd w:val="clear" w:color="auto" w:fill="D9E1F2"/>
          </w:tcPr>
          <w:p>
            <w:pPr>
              <w:spacing w:after="0" w:line="240" w:lineRule="auto"/>
            </w:pPr>
            <w:r>
              <w:rPr>
                <w:b w:val="0"/>
                <w:i w:val="0"/>
                <w:sz w:val="16"/>
              </w:rPr>
              <w:t>2026-05-06</w:t>
            </w:r>
          </w:p>
        </w:tc>
        <w:tc>
          <w:tcPr>
            <w:tcW w:type="dxa" w:w="6624"/>
            <w:shd w:val="clear" w:color="auto" w:fill="D9E1F2"/>
          </w:tcPr>
          <w:p>
            <w:pPr>
              <w:spacing w:after="0" w:line="240" w:lineRule="auto"/>
            </w:pPr>
            <w:r>
              <w:rPr>
                <w:b w:val="0"/>
                <w:i w:val="0"/>
                <w:sz w:val="16"/>
              </w:rPr>
              <w:t>$500m revolver signed</w:t>
            </w:r>
          </w:p>
        </w:tc>
        <w:tc>
          <w:tcPr>
            <w:tcW w:type="dxa" w:w="1872"/>
            <w:shd w:val="clear" w:color="auto" w:fill="D9E1F2"/>
          </w:tcPr>
          <w:p>
            <w:pPr>
              <w:spacing w:after="0" w:line="240" w:lineRule="auto"/>
            </w:pPr>
            <w:r>
              <w:rPr>
                <w:b w:val="0"/>
                <w:i w:val="0"/>
                <w:sz w:val="16"/>
              </w:rPr>
              <w:t>10A p.363</w:t>
            </w:r>
          </w:p>
        </w:tc>
      </w:tr>
      <w:tr>
        <w:trPr>
          <w:cantSplit/>
        </w:trPr>
        <w:tc>
          <w:tcPr>
            <w:tcW w:type="dxa" w:w="1296"/>
          </w:tcPr>
          <w:p>
            <w:pPr>
              <w:spacing w:after="0" w:line="240" w:lineRule="auto"/>
            </w:pPr>
            <w:r>
              <w:rPr>
                <w:b w:val="0"/>
                <w:i w:val="0"/>
                <w:sz w:val="16"/>
              </w:rPr>
              <w:t>2026-05-07</w:t>
            </w:r>
          </w:p>
        </w:tc>
        <w:tc>
          <w:tcPr>
            <w:tcW w:type="dxa" w:w="6624"/>
          </w:tcPr>
          <w:p>
            <w:pPr>
              <w:spacing w:after="0" w:line="240" w:lineRule="auto"/>
            </w:pPr>
            <w:r>
              <w:rPr>
                <w:b w:val="0"/>
                <w:i w:val="0"/>
                <w:sz w:val="16"/>
              </w:rPr>
              <w:t>Form 10 filed</w:t>
            </w:r>
          </w:p>
        </w:tc>
        <w:tc>
          <w:tcPr>
            <w:tcW w:type="dxa" w:w="1872"/>
          </w:tcPr>
          <w:p>
            <w:pPr>
              <w:spacing w:after="0" w:line="240" w:lineRule="auto"/>
            </w:pPr>
            <w:r>
              <w:rPr>
                <w:b w:val="0"/>
                <w:i w:val="0"/>
                <w:sz w:val="16"/>
              </w:rPr>
              <w:t>F10 p.335</w:t>
            </w:r>
          </w:p>
        </w:tc>
      </w:tr>
      <w:tr>
        <w:trPr>
          <w:cantSplit/>
        </w:trPr>
        <w:tc>
          <w:tcPr>
            <w:tcW w:type="dxa" w:w="1296"/>
            <w:shd w:val="clear" w:color="auto" w:fill="D9E1F2"/>
          </w:tcPr>
          <w:p>
            <w:pPr>
              <w:spacing w:after="0" w:line="240" w:lineRule="auto"/>
            </w:pPr>
            <w:r>
              <w:rPr>
                <w:b w:val="0"/>
                <w:i w:val="0"/>
                <w:sz w:val="16"/>
              </w:rPr>
              <w:t>2026-05-27</w:t>
            </w:r>
          </w:p>
        </w:tc>
        <w:tc>
          <w:tcPr>
            <w:tcW w:type="dxa" w:w="6624"/>
            <w:shd w:val="clear" w:color="auto" w:fill="D9E1F2"/>
          </w:tcPr>
          <w:p>
            <w:pPr>
              <w:spacing w:after="0" w:line="240" w:lineRule="auto"/>
            </w:pPr>
            <w:r>
              <w:rPr>
                <w:b w:val="0"/>
                <w:i w:val="0"/>
                <w:sz w:val="16"/>
              </w:rPr>
              <w:t>Form 10/A filed</w:t>
            </w:r>
          </w:p>
        </w:tc>
        <w:tc>
          <w:tcPr>
            <w:tcW w:type="dxa" w:w="1872"/>
            <w:shd w:val="clear" w:color="auto" w:fill="D9E1F2"/>
          </w:tcPr>
          <w:p>
            <w:pPr>
              <w:spacing w:after="0" w:line="240" w:lineRule="auto"/>
            </w:pPr>
            <w:r>
              <w:rPr>
                <w:b w:val="0"/>
                <w:i w:val="0"/>
                <w:sz w:val="16"/>
              </w:rPr>
              <w:t>10A p.1</w:t>
            </w:r>
          </w:p>
        </w:tc>
      </w:tr>
      <w:tr>
        <w:trPr>
          <w:cantSplit/>
        </w:trPr>
        <w:tc>
          <w:tcPr>
            <w:tcW w:type="dxa" w:w="1296"/>
          </w:tcPr>
          <w:p>
            <w:pPr>
              <w:spacing w:after="0" w:line="240" w:lineRule="auto"/>
            </w:pPr>
            <w:r>
              <w:rPr>
                <w:b w:val="0"/>
                <w:i w:val="0"/>
                <w:sz w:val="16"/>
              </w:rPr>
              <w:t>2026-05-29</w:t>
            </w:r>
          </w:p>
        </w:tc>
        <w:tc>
          <w:tcPr>
            <w:tcW w:type="dxa" w:w="6624"/>
          </w:tcPr>
          <w:p>
            <w:pPr>
              <w:spacing w:after="0" w:line="240" w:lineRule="auto"/>
            </w:pPr>
            <w:r>
              <w:rPr>
                <w:b w:val="0"/>
                <w:i w:val="0"/>
                <w:sz w:val="16"/>
              </w:rPr>
              <w:t>$2.0bn senior notes issued (into escrow)</w:t>
            </w:r>
          </w:p>
        </w:tc>
        <w:tc>
          <w:tcPr>
            <w:tcW w:type="dxa" w:w="1872"/>
          </w:tcPr>
          <w:p>
            <w:pPr>
              <w:spacing w:after="0" w:line="240" w:lineRule="auto"/>
            </w:pPr>
            <w:r>
              <w:rPr>
                <w:b w:val="0"/>
                <w:i w:val="0"/>
                <w:sz w:val="16"/>
              </w:rPr>
              <w:t>10Q p.11</w:t>
            </w:r>
          </w:p>
        </w:tc>
      </w:tr>
      <w:tr>
        <w:trPr>
          <w:cantSplit/>
        </w:trPr>
        <w:tc>
          <w:tcPr>
            <w:tcW w:type="dxa" w:w="1296"/>
            <w:shd w:val="clear" w:color="auto" w:fill="D9E1F2"/>
          </w:tcPr>
          <w:p>
            <w:pPr>
              <w:spacing w:after="0" w:line="240" w:lineRule="auto"/>
            </w:pPr>
            <w:r>
              <w:rPr>
                <w:b w:val="0"/>
                <w:i w:val="0"/>
                <w:sz w:val="16"/>
              </w:rPr>
              <w:t>2026-06-15</w:t>
            </w:r>
          </w:p>
        </w:tc>
        <w:tc>
          <w:tcPr>
            <w:tcW w:type="dxa" w:w="6624"/>
            <w:shd w:val="clear" w:color="auto" w:fill="D9E1F2"/>
          </w:tcPr>
          <w:p>
            <w:pPr>
              <w:spacing w:after="0" w:line="240" w:lineRule="auto"/>
            </w:pPr>
            <w:r>
              <w:rPr>
                <w:b w:val="0"/>
                <w:i w:val="0"/>
                <w:sz w:val="16"/>
              </w:rPr>
              <w:t>Record date</w:t>
            </w:r>
          </w:p>
        </w:tc>
        <w:tc>
          <w:tcPr>
            <w:tcW w:type="dxa" w:w="1872"/>
            <w:shd w:val="clear" w:color="auto" w:fill="D9E1F2"/>
          </w:tcPr>
          <w:p>
            <w:pPr>
              <w:spacing w:after="0" w:line="240" w:lineRule="auto"/>
            </w:pPr>
            <w:r>
              <w:rPr>
                <w:b w:val="0"/>
                <w:i w:val="0"/>
                <w:sz w:val="16"/>
              </w:rPr>
              <w:t>10Q p.2</w:t>
            </w:r>
          </w:p>
        </w:tc>
      </w:tr>
      <w:tr>
        <w:trPr>
          <w:cantSplit/>
        </w:trPr>
        <w:tc>
          <w:tcPr>
            <w:tcW w:type="dxa" w:w="1296"/>
          </w:tcPr>
          <w:p>
            <w:pPr>
              <w:spacing w:after="0" w:line="240" w:lineRule="auto"/>
            </w:pPr>
            <w:r>
              <w:rPr>
                <w:b w:val="0"/>
                <w:i w:val="0"/>
                <w:sz w:val="16"/>
              </w:rPr>
              <w:t>2026-06-24</w:t>
            </w:r>
          </w:p>
        </w:tc>
        <w:tc>
          <w:tcPr>
            <w:tcW w:type="dxa" w:w="6624"/>
          </w:tcPr>
          <w:p>
            <w:pPr>
              <w:spacing w:after="0" w:line="240" w:lineRule="auto"/>
            </w:pPr>
            <w:r>
              <w:rPr>
                <w:b w:val="0"/>
                <w:i w:val="0"/>
                <w:sz w:val="16"/>
              </w:rPr>
              <w:t>Annual Incentive Plan adopted</w:t>
            </w:r>
          </w:p>
        </w:tc>
        <w:tc>
          <w:tcPr>
            <w:tcW w:type="dxa" w:w="1872"/>
          </w:tcPr>
          <w:p>
            <w:pPr>
              <w:spacing w:after="0" w:line="240" w:lineRule="auto"/>
            </w:pPr>
            <w:r>
              <w:rPr>
                <w:b w:val="0"/>
                <w:i w:val="0"/>
                <w:sz w:val="16"/>
              </w:rPr>
              <w:t>10Q p.33</w:t>
            </w:r>
          </w:p>
        </w:tc>
      </w:tr>
      <w:tr>
        <w:trPr>
          <w:cantSplit/>
        </w:trPr>
        <w:tc>
          <w:tcPr>
            <w:tcW w:type="dxa" w:w="1296"/>
            <w:shd w:val="clear" w:color="auto" w:fill="D9E1F2"/>
          </w:tcPr>
          <w:p>
            <w:pPr>
              <w:spacing w:after="0" w:line="240" w:lineRule="auto"/>
            </w:pPr>
            <w:r>
              <w:rPr>
                <w:b w:val="0"/>
                <w:i w:val="0"/>
                <w:sz w:val="16"/>
              </w:rPr>
              <w:t>2026-06-25</w:t>
            </w:r>
          </w:p>
        </w:tc>
        <w:tc>
          <w:tcPr>
            <w:tcW w:type="dxa" w:w="6624"/>
            <w:shd w:val="clear" w:color="auto" w:fill="D9E1F2"/>
          </w:tcPr>
          <w:p>
            <w:pPr>
              <w:spacing w:after="0" w:line="240" w:lineRule="auto"/>
            </w:pPr>
            <w:r>
              <w:rPr>
                <w:b w:val="0"/>
                <w:i w:val="0"/>
                <w:sz w:val="16"/>
              </w:rPr>
              <w:t>Canada Carfax Loan contributed to MBGL</w:t>
            </w:r>
          </w:p>
        </w:tc>
        <w:tc>
          <w:tcPr>
            <w:tcW w:type="dxa" w:w="1872"/>
            <w:shd w:val="clear" w:color="auto" w:fill="D9E1F2"/>
          </w:tcPr>
          <w:p>
            <w:pPr>
              <w:spacing w:after="0" w:line="240" w:lineRule="auto"/>
            </w:pPr>
            <w:r>
              <w:rPr>
                <w:b w:val="0"/>
                <w:i w:val="0"/>
                <w:sz w:val="16"/>
              </w:rPr>
              <w:t>10Q p.17</w:t>
            </w:r>
          </w:p>
        </w:tc>
      </w:tr>
      <w:tr>
        <w:trPr>
          <w:cantSplit/>
        </w:trPr>
        <w:tc>
          <w:tcPr>
            <w:tcW w:type="dxa" w:w="1296"/>
          </w:tcPr>
          <w:p>
            <w:pPr>
              <w:spacing w:after="0" w:line="240" w:lineRule="auto"/>
            </w:pPr>
            <w:r>
              <w:rPr>
                <w:b w:val="0"/>
                <w:i w:val="0"/>
                <w:sz w:val="16"/>
              </w:rPr>
              <w:t>2026-06-26</w:t>
            </w:r>
          </w:p>
        </w:tc>
        <w:tc>
          <w:tcPr>
            <w:tcW w:type="dxa" w:w="6624"/>
          </w:tcPr>
          <w:p>
            <w:pPr>
              <w:spacing w:after="0" w:line="240" w:lineRule="auto"/>
            </w:pPr>
            <w:r>
              <w:rPr>
                <w:b w:val="0"/>
                <w:i w:val="0"/>
                <w:sz w:val="16"/>
              </w:rPr>
              <w:t>Restructuring Transactions completed; when-issued trading begins</w:t>
            </w:r>
          </w:p>
        </w:tc>
        <w:tc>
          <w:tcPr>
            <w:tcW w:type="dxa" w:w="1872"/>
          </w:tcPr>
          <w:p>
            <w:pPr>
              <w:spacing w:after="0" w:line="240" w:lineRule="auto"/>
            </w:pPr>
            <w:r>
              <w:rPr>
                <w:b w:val="0"/>
                <w:i w:val="0"/>
                <w:sz w:val="16"/>
              </w:rPr>
              <w:t>10Q p.9; 10A p.256</w:t>
            </w:r>
          </w:p>
        </w:tc>
      </w:tr>
      <w:tr>
        <w:trPr>
          <w:cantSplit/>
        </w:trPr>
        <w:tc>
          <w:tcPr>
            <w:tcW w:type="dxa" w:w="1296"/>
            <w:shd w:val="clear" w:color="auto" w:fill="D9E1F2"/>
          </w:tcPr>
          <w:p>
            <w:pPr>
              <w:spacing w:after="0" w:line="240" w:lineRule="auto"/>
            </w:pPr>
            <w:r>
              <w:rPr>
                <w:b w:val="0"/>
                <w:i w:val="0"/>
                <w:sz w:val="16"/>
              </w:rPr>
              <w:t>2026-06-30</w:t>
            </w:r>
          </w:p>
        </w:tc>
        <w:tc>
          <w:tcPr>
            <w:tcW w:type="dxa" w:w="6624"/>
            <w:shd w:val="clear" w:color="auto" w:fill="D9E1F2"/>
          </w:tcPr>
          <w:p>
            <w:pPr>
              <w:spacing w:after="0" w:line="240" w:lineRule="auto"/>
            </w:pPr>
            <w:r>
              <w:rPr>
                <w:b w:val="0"/>
                <w:i w:val="0"/>
                <w:sz w:val="16"/>
              </w:rPr>
              <w:t>Notes escrow released</w:t>
            </w:r>
          </w:p>
        </w:tc>
        <w:tc>
          <w:tcPr>
            <w:tcW w:type="dxa" w:w="1872"/>
            <w:shd w:val="clear" w:color="auto" w:fill="D9E1F2"/>
          </w:tcPr>
          <w:p>
            <w:pPr>
              <w:spacing w:after="0" w:line="240" w:lineRule="auto"/>
            </w:pPr>
            <w:r>
              <w:rPr>
                <w:b w:val="0"/>
                <w:i w:val="0"/>
                <w:sz w:val="16"/>
              </w:rPr>
              <w:t>10Q p.11</w:t>
            </w:r>
          </w:p>
        </w:tc>
      </w:tr>
      <w:tr>
        <w:trPr>
          <w:cantSplit/>
        </w:trPr>
        <w:tc>
          <w:tcPr>
            <w:tcW w:type="dxa" w:w="1296"/>
          </w:tcPr>
          <w:p>
            <w:pPr>
              <w:spacing w:after="0" w:line="240" w:lineRule="auto"/>
            </w:pPr>
            <w:r>
              <w:rPr>
                <w:b w:val="0"/>
                <w:i w:val="0"/>
                <w:sz w:val="16"/>
              </w:rPr>
              <w:t>2026-07-01</w:t>
            </w:r>
          </w:p>
        </w:tc>
        <w:tc>
          <w:tcPr>
            <w:tcW w:type="dxa" w:w="6624"/>
          </w:tcPr>
          <w:p>
            <w:pPr>
              <w:spacing w:after="0" w:line="240" w:lineRule="auto"/>
            </w:pPr>
            <w:r>
              <w:rPr>
                <w:b w:val="0"/>
                <w:i w:val="0"/>
                <w:sz w:val="16"/>
              </w:rPr>
              <w:t>Distribution; NYSE "MBGL" listing; revolver available; Executive Severance Plan effective; S-8 and 8-K filed; USD/CAD forward entered</w:t>
            </w:r>
          </w:p>
        </w:tc>
        <w:tc>
          <w:tcPr>
            <w:tcW w:type="dxa" w:w="1872"/>
          </w:tcPr>
          <w:p>
            <w:pPr>
              <w:spacing w:after="0" w:line="240" w:lineRule="auto"/>
            </w:pPr>
            <w:r>
              <w:rPr>
                <w:b w:val="0"/>
                <w:i w:val="0"/>
                <w:sz w:val="16"/>
              </w:rPr>
              <w:t>10Q p.10, 12, 31–33</w:t>
            </w:r>
          </w:p>
        </w:tc>
      </w:tr>
      <w:tr>
        <w:trPr>
          <w:cantSplit/>
        </w:trPr>
        <w:tc>
          <w:tcPr>
            <w:tcW w:type="dxa" w:w="1296"/>
            <w:shd w:val="clear" w:color="auto" w:fill="D9E1F2"/>
          </w:tcPr>
          <w:p>
            <w:pPr>
              <w:spacing w:after="0" w:line="240" w:lineRule="auto"/>
            </w:pPr>
            <w:r>
              <w:rPr>
                <w:b w:val="0"/>
                <w:i w:val="0"/>
                <w:sz w:val="16"/>
              </w:rPr>
              <w:t>2026-08</w:t>
            </w:r>
          </w:p>
        </w:tc>
        <w:tc>
          <w:tcPr>
            <w:tcW w:type="dxa" w:w="6624"/>
            <w:shd w:val="clear" w:color="auto" w:fill="D9E1F2"/>
          </w:tcPr>
          <w:p>
            <w:pPr>
              <w:spacing w:after="0" w:line="240" w:lineRule="auto"/>
            </w:pPr>
            <w:r>
              <w:rPr>
                <w:b w:val="0"/>
                <w:i w:val="0"/>
                <w:sz w:val="16"/>
              </w:rPr>
              <w:t>$0.06 dividend declared (record 08-27, paid 09-10)</w:t>
            </w:r>
          </w:p>
        </w:tc>
        <w:tc>
          <w:tcPr>
            <w:tcW w:type="dxa" w:w="1872"/>
            <w:shd w:val="clear" w:color="auto" w:fill="D9E1F2"/>
          </w:tcPr>
          <w:p>
            <w:pPr>
              <w:spacing w:after="0" w:line="240" w:lineRule="auto"/>
            </w:pPr>
            <w:r>
              <w:rPr>
                <w:b w:val="0"/>
                <w:i w:val="0"/>
                <w:sz w:val="16"/>
              </w:rPr>
              <w:t>10Q p.18</w:t>
            </w:r>
          </w:p>
        </w:tc>
      </w:tr>
      <w:tr>
        <w:trPr>
          <w:cantSplit/>
        </w:trPr>
        <w:tc>
          <w:tcPr>
            <w:tcW w:type="dxa" w:w="1296"/>
          </w:tcPr>
          <w:p>
            <w:pPr>
              <w:spacing w:after="0" w:line="240" w:lineRule="auto"/>
            </w:pPr>
            <w:r>
              <w:rPr>
                <w:b w:val="0"/>
                <w:i w:val="0"/>
                <w:sz w:val="16"/>
              </w:rPr>
              <w:t>2026-12-15</w:t>
            </w:r>
          </w:p>
        </w:tc>
        <w:tc>
          <w:tcPr>
            <w:tcW w:type="dxa" w:w="6624"/>
          </w:tcPr>
          <w:p>
            <w:pPr>
              <w:spacing w:after="0" w:line="240" w:lineRule="auto"/>
            </w:pPr>
            <w:r>
              <w:rPr>
                <w:b w:val="0"/>
                <w:i w:val="0"/>
                <w:sz w:val="16"/>
              </w:rPr>
              <w:t>First notes coupon</w:t>
            </w:r>
          </w:p>
        </w:tc>
        <w:tc>
          <w:tcPr>
            <w:tcW w:type="dxa" w:w="1872"/>
          </w:tcPr>
          <w:p>
            <w:pPr>
              <w:spacing w:after="0" w:line="240" w:lineRule="auto"/>
            </w:pPr>
            <w:r>
              <w:rPr>
                <w:b w:val="0"/>
                <w:i w:val="0"/>
                <w:sz w:val="16"/>
              </w:rPr>
              <w:t>10Q p.11</w:t>
            </w:r>
          </w:p>
        </w:tc>
      </w:tr>
      <w:tr>
        <w:trPr>
          <w:cantSplit/>
        </w:trPr>
        <w:tc>
          <w:tcPr>
            <w:tcW w:type="dxa" w:w="1296"/>
            <w:shd w:val="clear" w:color="auto" w:fill="D9E1F2"/>
          </w:tcPr>
          <w:p>
            <w:pPr>
              <w:spacing w:after="0" w:line="240" w:lineRule="auto"/>
            </w:pPr>
            <w:r>
              <w:rPr>
                <w:b w:val="0"/>
                <w:i w:val="0"/>
                <w:sz w:val="16"/>
              </w:rPr>
              <w:t>2027-10-05</w:t>
            </w:r>
          </w:p>
        </w:tc>
        <w:tc>
          <w:tcPr>
            <w:tcW w:type="dxa" w:w="6624"/>
            <w:shd w:val="clear" w:color="auto" w:fill="D9E1F2"/>
          </w:tcPr>
          <w:p>
            <w:pPr>
              <w:spacing w:after="0" w:line="240" w:lineRule="auto"/>
            </w:pPr>
            <w:r>
              <w:rPr>
                <w:b w:val="0"/>
                <w:i w:val="0"/>
                <w:sz w:val="16"/>
              </w:rPr>
              <w:t>Stated maturity of the Canada Carfax Loan (intercompany since 2026-06-25)</w:t>
            </w:r>
          </w:p>
        </w:tc>
        <w:tc>
          <w:tcPr>
            <w:tcW w:type="dxa" w:w="1872"/>
            <w:shd w:val="clear" w:color="auto" w:fill="D9E1F2"/>
          </w:tcPr>
          <w:p>
            <w:pPr>
              <w:spacing w:after="0" w:line="240" w:lineRule="auto"/>
            </w:pPr>
            <w:r>
              <w:rPr>
                <w:b w:val="0"/>
                <w:i w:val="0"/>
                <w:sz w:val="16"/>
              </w:rPr>
              <w:t>10A p.363; 10Q p.17</w:t>
            </w:r>
          </w:p>
        </w:tc>
      </w:tr>
    </w:tbl>
    <w:p>
      <w:pPr>
        <w:spacing w:after="120"/>
      </w:pPr>
      <w:r>
        <w:rPr>
          <w:b w:val="0"/>
          <w:i/>
          <w:color w:val="595959"/>
          <w:sz w:val="15"/>
        </w:rPr>
        <w:t>Source: analysis/QUALITATIVE.md §11 (Form 10/A, 10-Q, IHS 10-Ks). Deal values for the 2013 IHS–Polk transaction are not available in Quartr.</w:t>
      </w:r>
    </w:p>
    <w:p>
      <w:r>
        <w:rPr>
          <w:b w:val="0"/>
          <w:i w:val="0"/>
        </w:rPr>
        <w:t xml:space="preserve">Acquisition values disclosed </w:t>
      </w:r>
      <w:r>
        <w:rPr>
          <w:b/>
          <w:color w:val="2E548C"/>
          <w:sz w:val="16"/>
        </w:rPr>
        <w:t>[D]</w:t>
      </w:r>
      <w:r>
        <w:rPr>
          <w:b w:val="0"/>
          <w:i w:val="0"/>
        </w:rPr>
        <w:t xml:space="preserve">: CARPROOF $459.2m net of cash (2015-12-24); automotiveMastermind 78% for ~$432–433m (2017-09-25; the remaining 22% treated as compensation); Market Scan $223m (2023-02-16). Catalyst for Aftersales was sold in Aug-2023 at a loss under $1m </w:t>
      </w:r>
      <w:r>
        <w:rPr>
          <w:b/>
          <w:color w:val="2E548C"/>
          <w:sz w:val="16"/>
        </w:rPr>
        <w:t>[D]</w:t>
      </w:r>
      <w:r>
        <w:rPr>
          <w:b w:val="0"/>
          <w:i w:val="0"/>
        </w:rPr>
        <w:t xml:space="preserve">. </w:t>
      </w:r>
      <w:r>
        <w:rPr>
          <w:b/>
          <w:color w:val="E36C09"/>
        </w:rPr>
        <w:t>[TO COLLECT #6: 2013 IHS–R.L. Polk purchase price and CARFAX allocation]</w:t>
      </w:r>
      <w:r>
        <w:rPr>
          <w:b w:val="0"/>
          <w:i w:val="0"/>
        </w:rPr>
        <w:t xml:space="preserve">; </w:t>
      </w:r>
      <w:r>
        <w:rPr>
          <w:b/>
          <w:color w:val="E36C09"/>
        </w:rPr>
        <w:t>[TO COLLECT #7: outcome of the 2017 dealer antitrust re-filing against CARFAX]</w:t>
      </w:r>
      <w:r>
        <w:rPr>
          <w:b w:val="0"/>
          <w:i w:val="0"/>
        </w:rPr>
        <w:t>.</w:t>
      </w:r>
    </w:p>
    <w:tbl>
      <w:tblPr>
        <w:tblW w:type="auto" w:w="0"/>
        <w:jc w:val="center"/>
        <w:tblLook w:firstColumn="1" w:firstRow="1" w:lastColumn="0" w:lastRow="0" w:noHBand="0" w:noVBand="1" w:val="04A0"/>
        <w:tblBorders>
          <w:top w:val="nil" w:sz="0" w:space="0" w:color="auto"/>
          <w:left w:val="single" w:sz="24" w:space="0" w:color="1F3864"/>
          <w:bottom w:val="nil" w:sz="0" w:space="0" w:color="auto"/>
          <w:right w:val="nil" w:sz="0" w:space="0" w:color="auto"/>
          <w:insideH w:val="nil" w:sz="0" w:space="0" w:color="auto"/>
          <w:insideV w:val="nil" w:sz="0" w:space="0" w:color="auto"/>
        </w:tblBorders>
        <w:tblCellMar>
          <w:top w:w="90" w:type="dxa"/>
          <w:left w:w="160" w:type="dxa"/>
          <w:bottom w:w="90" w:type="dxa"/>
          <w:right w:w="120" w:type="dxa"/>
        </w:tblCellMar>
      </w:tblPr>
      <w:tblGrid>
        <w:gridCol w:w="8928"/>
      </w:tblGrid>
      <w:tr>
        <w:trPr>
          <w:cantSplit/>
        </w:trPr>
        <w:tc>
          <w:tcPr>
            <w:tcW w:type="dxa" w:w="8928"/>
            <w:shd w:val="clear" w:color="auto" w:fill="EEF2F9"/>
          </w:tcPr>
          <w:p>
            <w:pPr>
              <w:spacing w:after="60"/>
            </w:pPr>
            <w:r>
              <w:rPr>
                <w:i/>
                <w:color w:val="262626"/>
                <w:sz w:val="19"/>
              </w:rPr>
              <w:t>“But when it came to competing for resources, a lot of the investments that S&amp;P Global Inc. made over that period of time were geared toward their core divisions”</w:t>
            </w:r>
          </w:p>
          <w:p>
            <w:pPr>
              <w:spacing w:after="0"/>
            </w:pPr>
            <w:r>
              <w:rPr>
                <w:b w:val="0"/>
                <w:i w:val="0"/>
                <w:color w:val="1F3864"/>
                <w:sz w:val="15"/>
              </w:rPr>
              <w:t xml:space="preserve">— Bill Eager (CEO), Goldman Sachs Communacopia + Technology Conference 2026, 2026-09-10 · Quartr t=168.1s </w:t>
            </w:r>
            <w:r>
              <w:rPr>
                <w:b/>
                <w:color w:val="2E548C"/>
                <w:sz w:val="12"/>
              </w:rPr>
              <w:t>[IR]</w:t>
            </w:r>
          </w:p>
        </w:tc>
      </w:tr>
    </w:tbl>
    <w:p>
      <w:pPr>
        <w:spacing w:after="40"/>
      </w:pPr>
    </w:p>
    <w:p>
      <w:pPr>
        <w:pStyle w:val="Heading2"/>
      </w:pPr>
      <w:r>
        <w:t>2.4 Separation mechanics</w:t>
      </w:r>
    </w:p>
    <w:p>
      <w:pPr>
        <w:keepNext/>
        <w:spacing w:before="80" w:after="40"/>
      </w:pPr>
      <w:r>
        <w:rPr>
          <w:b/>
          <w:i w:val="0"/>
          <w:color w:val="1F3864"/>
          <w:sz w:val="17"/>
        </w:rPr>
        <w:t xml:space="preserve">Exhibit 2.3 — Separation mechanics </w:t>
      </w:r>
      <w:r>
        <w:rPr>
          <w:b/>
          <w:color w:val="2E548C"/>
          <w:sz w:val="14"/>
        </w:rPr>
        <w:t>[D]</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872"/>
        <w:gridCol w:w="6192"/>
        <w:gridCol w:w="1728"/>
      </w:tblGrid>
      <w:tr>
        <w:trPr>
          <w:cantSplit/>
          <w:tblHeader/>
        </w:trPr>
        <w:tc>
          <w:tcPr>
            <w:tcW w:type="dxa" w:w="1872"/>
            <w:shd w:val="clear" w:color="auto" w:fill="1F3864"/>
          </w:tcPr>
          <w:p>
            <w:pPr>
              <w:spacing w:after="0" w:line="240" w:lineRule="auto"/>
            </w:pPr>
            <w:r>
              <w:rPr>
                <w:b/>
                <w:i w:val="0"/>
                <w:color w:val="FFFFFF"/>
                <w:sz w:val="16"/>
              </w:rPr>
              <w:t>Item</w:t>
            </w:r>
          </w:p>
        </w:tc>
        <w:tc>
          <w:tcPr>
            <w:tcW w:type="dxa" w:w="6192"/>
            <w:shd w:val="clear" w:color="auto" w:fill="1F3864"/>
          </w:tcPr>
          <w:p>
            <w:pPr>
              <w:spacing w:after="0" w:line="240" w:lineRule="auto"/>
            </w:pPr>
            <w:r>
              <w:rPr>
                <w:b/>
                <w:i w:val="0"/>
                <w:color w:val="FFFFFF"/>
                <w:sz w:val="16"/>
              </w:rPr>
              <w:t>Fact</w:t>
            </w:r>
          </w:p>
        </w:tc>
        <w:tc>
          <w:tcPr>
            <w:tcW w:type="dxa" w:w="1728"/>
            <w:shd w:val="clear" w:color="auto" w:fill="1F3864"/>
          </w:tcPr>
          <w:p>
            <w:pPr>
              <w:spacing w:after="0" w:line="240" w:lineRule="auto"/>
            </w:pPr>
            <w:r>
              <w:rPr>
                <w:b/>
                <w:i w:val="0"/>
                <w:color w:val="FFFFFF"/>
                <w:sz w:val="16"/>
              </w:rPr>
              <w:t>Source</w:t>
            </w:r>
          </w:p>
        </w:tc>
      </w:tr>
      <w:tr>
        <w:trPr>
          <w:cantSplit/>
        </w:trPr>
        <w:tc>
          <w:tcPr>
            <w:tcW w:type="dxa" w:w="1872"/>
          </w:tcPr>
          <w:p>
            <w:pPr>
              <w:spacing w:after="0" w:line="240" w:lineRule="auto"/>
            </w:pPr>
            <w:r>
              <w:rPr>
                <w:b w:val="0"/>
                <w:i w:val="0"/>
                <w:sz w:val="16"/>
              </w:rPr>
              <w:t>Announcement</w:t>
            </w:r>
          </w:p>
        </w:tc>
        <w:tc>
          <w:tcPr>
            <w:tcW w:type="dxa" w:w="6192"/>
          </w:tcPr>
          <w:p>
            <w:pPr>
              <w:spacing w:after="0" w:line="240" w:lineRule="auto"/>
            </w:pPr>
            <w:r>
              <w:rPr>
                <w:b w:val="0"/>
                <w:i w:val="0"/>
                <w:sz w:val="16"/>
              </w:rPr>
              <w:t>S&amp;P Global announced on 2025-04-29</w:t>
            </w:r>
          </w:p>
        </w:tc>
        <w:tc>
          <w:tcPr>
            <w:tcW w:type="dxa" w:w="1728"/>
          </w:tcPr>
          <w:p>
            <w:pPr>
              <w:spacing w:after="0" w:line="240" w:lineRule="auto"/>
            </w:pPr>
            <w:r>
              <w:rPr>
                <w:b w:val="0"/>
                <w:i w:val="0"/>
                <w:sz w:val="16"/>
              </w:rPr>
              <w:t>10A p.272; PRED</w:t>
            </w:r>
          </w:p>
        </w:tc>
      </w:tr>
      <w:tr>
        <w:trPr>
          <w:cantSplit/>
        </w:trPr>
        <w:tc>
          <w:tcPr>
            <w:tcW w:type="dxa" w:w="1872"/>
            <w:shd w:val="clear" w:color="auto" w:fill="D9E1F2"/>
          </w:tcPr>
          <w:p>
            <w:pPr>
              <w:spacing w:after="0" w:line="240" w:lineRule="auto"/>
            </w:pPr>
            <w:r>
              <w:rPr>
                <w:b w:val="0"/>
                <w:i w:val="0"/>
                <w:sz w:val="16"/>
              </w:rPr>
              <w:t>Incorporation</w:t>
            </w:r>
          </w:p>
        </w:tc>
        <w:tc>
          <w:tcPr>
            <w:tcW w:type="dxa" w:w="6192"/>
            <w:shd w:val="clear" w:color="auto" w:fill="D9E1F2"/>
          </w:tcPr>
          <w:p>
            <w:pPr>
              <w:spacing w:after="0" w:line="240" w:lineRule="auto"/>
            </w:pPr>
            <w:r>
              <w:rPr>
                <w:b w:val="0"/>
                <w:i w:val="0"/>
                <w:sz w:val="16"/>
              </w:rPr>
              <w:t>"S&amp;P Global Mobility Holding Company", Delaware, 2025-09-26; renamed Mobility Global Inc. 2026-02-05</w:t>
            </w:r>
          </w:p>
        </w:tc>
        <w:tc>
          <w:tcPr>
            <w:tcW w:type="dxa" w:w="1728"/>
            <w:shd w:val="clear" w:color="auto" w:fill="D9E1F2"/>
          </w:tcPr>
          <w:p>
            <w:pPr>
              <w:spacing w:after="0" w:line="240" w:lineRule="auto"/>
            </w:pPr>
            <w:r>
              <w:rPr>
                <w:b w:val="0"/>
                <w:i w:val="0"/>
                <w:sz w:val="16"/>
              </w:rPr>
              <w:t>10A p.274</w:t>
            </w:r>
          </w:p>
        </w:tc>
      </w:tr>
      <w:tr>
        <w:trPr>
          <w:cantSplit/>
        </w:trPr>
        <w:tc>
          <w:tcPr>
            <w:tcW w:type="dxa" w:w="1872"/>
          </w:tcPr>
          <w:p>
            <w:pPr>
              <w:spacing w:after="0" w:line="240" w:lineRule="auto"/>
            </w:pPr>
            <w:r>
              <w:rPr>
                <w:b w:val="0"/>
                <w:i w:val="0"/>
                <w:sz w:val="16"/>
              </w:rPr>
              <w:t>Record date</w:t>
            </w:r>
          </w:p>
        </w:tc>
        <w:tc>
          <w:tcPr>
            <w:tcW w:type="dxa" w:w="6192"/>
          </w:tcPr>
          <w:p>
            <w:pPr>
              <w:spacing w:after="0" w:line="240" w:lineRule="auto"/>
            </w:pPr>
            <w:r>
              <w:rPr>
                <w:b w:val="0"/>
                <w:i w:val="0"/>
                <w:sz w:val="16"/>
              </w:rPr>
              <w:t>2026-06-15 (close of business)</w:t>
            </w:r>
          </w:p>
        </w:tc>
        <w:tc>
          <w:tcPr>
            <w:tcW w:type="dxa" w:w="1728"/>
          </w:tcPr>
          <w:p>
            <w:pPr>
              <w:spacing w:after="0" w:line="240" w:lineRule="auto"/>
            </w:pPr>
            <w:r>
              <w:rPr>
                <w:b w:val="0"/>
                <w:i w:val="0"/>
                <w:sz w:val="16"/>
              </w:rPr>
              <w:t>10A p.256</w:t>
            </w:r>
          </w:p>
        </w:tc>
      </w:tr>
      <w:tr>
        <w:trPr>
          <w:cantSplit/>
        </w:trPr>
        <w:tc>
          <w:tcPr>
            <w:tcW w:type="dxa" w:w="1872"/>
            <w:shd w:val="clear" w:color="auto" w:fill="D9E1F2"/>
          </w:tcPr>
          <w:p>
            <w:pPr>
              <w:spacing w:after="0" w:line="240" w:lineRule="auto"/>
            </w:pPr>
            <w:r>
              <w:rPr>
                <w:b w:val="0"/>
                <w:i w:val="0"/>
                <w:sz w:val="16"/>
              </w:rPr>
              <w:t>Ratio</w:t>
            </w:r>
          </w:p>
        </w:tc>
        <w:tc>
          <w:tcPr>
            <w:tcW w:type="dxa" w:w="6192"/>
            <w:shd w:val="clear" w:color="auto" w:fill="D9E1F2"/>
          </w:tcPr>
          <w:p>
            <w:pPr>
              <w:spacing w:after="0" w:line="240" w:lineRule="auto"/>
            </w:pPr>
            <w:r>
              <w:rPr>
                <w:b w:val="0"/>
                <w:i w:val="0"/>
                <w:sz w:val="16"/>
              </w:rPr>
              <w:t>1 MBGL share for each SPGI share; 100% distributed pro rata</w:t>
            </w:r>
          </w:p>
        </w:tc>
        <w:tc>
          <w:tcPr>
            <w:tcW w:type="dxa" w:w="1728"/>
            <w:shd w:val="clear" w:color="auto" w:fill="D9E1F2"/>
          </w:tcPr>
          <w:p>
            <w:pPr>
              <w:spacing w:after="0" w:line="240" w:lineRule="auto"/>
            </w:pPr>
            <w:r>
              <w:rPr>
                <w:b w:val="0"/>
                <w:i w:val="0"/>
                <w:sz w:val="16"/>
              </w:rPr>
              <w:t>10A p.256, 280</w:t>
            </w:r>
          </w:p>
        </w:tc>
      </w:tr>
      <w:tr>
        <w:trPr>
          <w:cantSplit/>
        </w:trPr>
        <w:tc>
          <w:tcPr>
            <w:tcW w:type="dxa" w:w="1872"/>
          </w:tcPr>
          <w:p>
            <w:pPr>
              <w:spacing w:after="0" w:line="240" w:lineRule="auto"/>
            </w:pPr>
            <w:r>
              <w:rPr>
                <w:b w:val="0"/>
                <w:i w:val="0"/>
                <w:sz w:val="16"/>
              </w:rPr>
              <w:t>Distribution date</w:t>
            </w:r>
          </w:p>
        </w:tc>
        <w:tc>
          <w:tcPr>
            <w:tcW w:type="dxa" w:w="6192"/>
          </w:tcPr>
          <w:p>
            <w:pPr>
              <w:spacing w:after="0" w:line="240" w:lineRule="auto"/>
            </w:pPr>
            <w:r>
              <w:rPr>
                <w:b w:val="0"/>
                <w:i w:val="0"/>
                <w:sz w:val="16"/>
              </w:rPr>
              <w:t>2026-07-01, before NYSE open (F10 said "after NYSE market close"; date, ratio and record date were blank in F10)</w:t>
            </w:r>
          </w:p>
        </w:tc>
        <w:tc>
          <w:tcPr>
            <w:tcW w:type="dxa" w:w="1728"/>
          </w:tcPr>
          <w:p>
            <w:pPr>
              <w:spacing w:after="0" w:line="240" w:lineRule="auto"/>
            </w:pPr>
            <w:r>
              <w:rPr>
                <w:b w:val="0"/>
                <w:i w:val="0"/>
                <w:sz w:val="16"/>
              </w:rPr>
              <w:t>10A p.256; F10 p.335</w:t>
            </w:r>
          </w:p>
        </w:tc>
      </w:tr>
      <w:tr>
        <w:trPr>
          <w:cantSplit/>
        </w:trPr>
        <w:tc>
          <w:tcPr>
            <w:tcW w:type="dxa" w:w="1872"/>
            <w:shd w:val="clear" w:color="auto" w:fill="D9E1F2"/>
          </w:tcPr>
          <w:p>
            <w:pPr>
              <w:spacing w:after="0" w:line="240" w:lineRule="auto"/>
            </w:pPr>
            <w:r>
              <w:rPr>
                <w:b w:val="0"/>
                <w:i w:val="0"/>
                <w:sz w:val="16"/>
              </w:rPr>
              <w:t>When-issued</w:t>
            </w:r>
          </w:p>
        </w:tc>
        <w:tc>
          <w:tcPr>
            <w:tcW w:type="dxa" w:w="6192"/>
            <w:shd w:val="clear" w:color="auto" w:fill="D9E1F2"/>
          </w:tcPr>
          <w:p>
            <w:pPr>
              <w:spacing w:after="0" w:line="240" w:lineRule="auto"/>
            </w:pPr>
            <w:r>
              <w:rPr>
                <w:b w:val="0"/>
                <w:i w:val="0"/>
                <w:sz w:val="16"/>
              </w:rPr>
              <w:t>"MBGL WI", 2026-06-26 to 06-30</w:t>
            </w:r>
          </w:p>
        </w:tc>
        <w:tc>
          <w:tcPr>
            <w:tcW w:type="dxa" w:w="1728"/>
            <w:shd w:val="clear" w:color="auto" w:fill="D9E1F2"/>
          </w:tcPr>
          <w:p>
            <w:pPr>
              <w:spacing w:after="0" w:line="240" w:lineRule="auto"/>
            </w:pPr>
            <w:r>
              <w:rPr>
                <w:b w:val="0"/>
                <w:i w:val="0"/>
                <w:sz w:val="16"/>
              </w:rPr>
              <w:t>10A p.256</w:t>
            </w:r>
          </w:p>
        </w:tc>
      </w:tr>
      <w:tr>
        <w:trPr>
          <w:cantSplit/>
        </w:trPr>
        <w:tc>
          <w:tcPr>
            <w:tcW w:type="dxa" w:w="1872"/>
          </w:tcPr>
          <w:p>
            <w:pPr>
              <w:spacing w:after="0" w:line="240" w:lineRule="auto"/>
            </w:pPr>
            <w:r>
              <w:rPr>
                <w:b w:val="0"/>
                <w:i w:val="0"/>
                <w:sz w:val="16"/>
              </w:rPr>
              <w:t>Shares</w:t>
            </w:r>
          </w:p>
        </w:tc>
        <w:tc>
          <w:tcPr>
            <w:tcW w:type="dxa" w:w="6192"/>
          </w:tcPr>
          <w:p>
            <w:pPr>
              <w:spacing w:after="0" w:line="240" w:lineRule="auto"/>
            </w:pPr>
            <w:r>
              <w:rPr>
                <w:b w:val="0"/>
                <w:i w:val="0"/>
                <w:sz w:val="16"/>
              </w:rPr>
              <w:t xml:space="preserve">~295,077,160 expected (May-15 basis) vs </w:t>
            </w:r>
            <w:r>
              <w:rPr>
                <w:b/>
                <w:i w:val="0"/>
                <w:sz w:val="16"/>
              </w:rPr>
              <w:t>294,821,320</w:t>
            </w:r>
            <w:r>
              <w:rPr>
                <w:b w:val="0"/>
                <w:i w:val="0"/>
                <w:sz w:val="16"/>
              </w:rPr>
              <w:t xml:space="preserve"> actual (Jun-15 basis)</w:t>
            </w:r>
          </w:p>
        </w:tc>
        <w:tc>
          <w:tcPr>
            <w:tcW w:type="dxa" w:w="1728"/>
          </w:tcPr>
          <w:p>
            <w:pPr>
              <w:spacing w:after="0" w:line="240" w:lineRule="auto"/>
            </w:pPr>
            <w:r>
              <w:rPr>
                <w:b w:val="0"/>
                <w:i w:val="0"/>
                <w:sz w:val="16"/>
              </w:rPr>
              <w:t>10A p.280; 10Q p.1, 11</w:t>
            </w:r>
          </w:p>
        </w:tc>
      </w:tr>
      <w:tr>
        <w:trPr>
          <w:cantSplit/>
        </w:trPr>
        <w:tc>
          <w:tcPr>
            <w:tcW w:type="dxa" w:w="1872"/>
            <w:shd w:val="clear" w:color="auto" w:fill="D9E1F2"/>
          </w:tcPr>
          <w:p>
            <w:pPr>
              <w:spacing w:after="0" w:line="240" w:lineRule="auto"/>
            </w:pPr>
            <w:r>
              <w:rPr>
                <w:b w:val="0"/>
                <w:i w:val="0"/>
                <w:sz w:val="16"/>
              </w:rPr>
              <w:t>Holders of record</w:t>
            </w:r>
          </w:p>
        </w:tc>
        <w:tc>
          <w:tcPr>
            <w:tcW w:type="dxa" w:w="6192"/>
            <w:shd w:val="clear" w:color="auto" w:fill="D9E1F2"/>
          </w:tcPr>
          <w:p>
            <w:pPr>
              <w:spacing w:after="0" w:line="240" w:lineRule="auto"/>
            </w:pPr>
            <w:r>
              <w:rPr>
                <w:b w:val="0"/>
                <w:i w:val="0"/>
                <w:sz w:val="16"/>
              </w:rPr>
              <w:t>~2,554</w:t>
            </w:r>
          </w:p>
        </w:tc>
        <w:tc>
          <w:tcPr>
            <w:tcW w:type="dxa" w:w="1728"/>
            <w:shd w:val="clear" w:color="auto" w:fill="D9E1F2"/>
          </w:tcPr>
          <w:p>
            <w:pPr>
              <w:spacing w:after="0" w:line="240" w:lineRule="auto"/>
            </w:pPr>
            <w:r>
              <w:rPr>
                <w:b w:val="0"/>
                <w:i w:val="0"/>
                <w:sz w:val="16"/>
              </w:rPr>
              <w:t>10A p.320</w:t>
            </w:r>
          </w:p>
        </w:tc>
      </w:tr>
      <w:tr>
        <w:trPr>
          <w:cantSplit/>
        </w:trPr>
        <w:tc>
          <w:tcPr>
            <w:tcW w:type="dxa" w:w="1872"/>
          </w:tcPr>
          <w:p>
            <w:pPr>
              <w:spacing w:after="0" w:line="240" w:lineRule="auto"/>
            </w:pPr>
            <w:r>
              <w:rPr>
                <w:b w:val="0"/>
                <w:i w:val="0"/>
                <w:sz w:val="16"/>
              </w:rPr>
              <w:t>Retained SPGI stake</w:t>
            </w:r>
          </w:p>
        </w:tc>
        <w:tc>
          <w:tcPr>
            <w:tcW w:type="dxa" w:w="6192"/>
          </w:tcPr>
          <w:p>
            <w:pPr>
              <w:spacing w:after="0" w:line="240" w:lineRule="auto"/>
            </w:pPr>
            <w:r>
              <w:rPr>
                <w:b/>
                <w:i w:val="0"/>
                <w:sz w:val="16"/>
              </w:rPr>
              <w:t>None</w:t>
            </w:r>
            <w:r>
              <w:rPr>
                <w:b w:val="0"/>
                <w:i w:val="0"/>
                <w:sz w:val="16"/>
              </w:rPr>
              <w:t>: "S&amp;P Global retained no ownership interest"</w:t>
            </w:r>
          </w:p>
        </w:tc>
        <w:tc>
          <w:tcPr>
            <w:tcW w:type="dxa" w:w="1728"/>
          </w:tcPr>
          <w:p>
            <w:pPr>
              <w:spacing w:after="0" w:line="240" w:lineRule="auto"/>
            </w:pPr>
            <w:r>
              <w:rPr>
                <w:b w:val="0"/>
                <w:i w:val="0"/>
                <w:sz w:val="16"/>
              </w:rPr>
              <w:t>10A p.275; 10Q p.18</w:t>
            </w:r>
          </w:p>
        </w:tc>
      </w:tr>
      <w:tr>
        <w:trPr>
          <w:cantSplit/>
        </w:trPr>
        <w:tc>
          <w:tcPr>
            <w:tcW w:type="dxa" w:w="1872"/>
            <w:shd w:val="clear" w:color="auto" w:fill="D9E1F2"/>
          </w:tcPr>
          <w:p>
            <w:pPr>
              <w:spacing w:after="0" w:line="240" w:lineRule="auto"/>
            </w:pPr>
            <w:r>
              <w:rPr>
                <w:b w:val="0"/>
                <w:i w:val="0"/>
                <w:sz w:val="16"/>
              </w:rPr>
              <w:t>Tax</w:t>
            </w:r>
          </w:p>
        </w:tc>
        <w:tc>
          <w:tcPr>
            <w:tcW w:type="dxa" w:w="6192"/>
            <w:shd w:val="clear" w:color="auto" w:fill="D9E1F2"/>
          </w:tcPr>
          <w:p>
            <w:pPr>
              <w:spacing w:after="0" w:line="240" w:lineRule="auto"/>
            </w:pPr>
            <w:r>
              <w:rPr>
                <w:b w:val="0"/>
                <w:i w:val="0"/>
                <w:sz w:val="16"/>
              </w:rPr>
              <w:t>Intended to qualify under §368(a)(1)(D) and §355; Davis Polk opinion; 2-year Tax Matters Agreement (TMA) restrictions (buybacks capped below 20% open-market)</w:t>
            </w:r>
          </w:p>
        </w:tc>
        <w:tc>
          <w:tcPr>
            <w:tcW w:type="dxa" w:w="1728"/>
            <w:shd w:val="clear" w:color="auto" w:fill="D9E1F2"/>
          </w:tcPr>
          <w:p>
            <w:pPr>
              <w:spacing w:after="0" w:line="240" w:lineRule="auto"/>
            </w:pPr>
            <w:r>
              <w:rPr>
                <w:b w:val="0"/>
                <w:i w:val="0"/>
                <w:sz w:val="16"/>
              </w:rPr>
              <w:t>10A p.276, 294, 327</w:t>
            </w:r>
          </w:p>
        </w:tc>
      </w:tr>
      <w:tr>
        <w:trPr>
          <w:cantSplit/>
        </w:trPr>
        <w:tc>
          <w:tcPr>
            <w:tcW w:type="dxa" w:w="1872"/>
          </w:tcPr>
          <w:p>
            <w:pPr>
              <w:spacing w:after="0" w:line="240" w:lineRule="auto"/>
            </w:pPr>
            <w:r>
              <w:rPr>
                <w:b w:val="0"/>
                <w:i w:val="0"/>
                <w:sz w:val="16"/>
              </w:rPr>
              <w:t>Debt raised</w:t>
            </w:r>
          </w:p>
        </w:tc>
        <w:tc>
          <w:tcPr>
            <w:tcW w:type="dxa" w:w="6192"/>
          </w:tcPr>
          <w:p>
            <w:pPr>
              <w:spacing w:after="0" w:line="240" w:lineRule="auto"/>
            </w:pPr>
            <w:r>
              <w:rPr>
                <w:b w:val="0"/>
                <w:i w:val="0"/>
                <w:sz w:val="16"/>
              </w:rPr>
              <w:t>Senior notes issued 2026-05-29: $650m 5.050% 2029, $650m 5.450% 2031, $700m 6.050% 2036; held in escrow, released 2026-06-30; carrying value $1,981m net of $(19)m; about $16.0m issuance costs</w:t>
            </w:r>
          </w:p>
        </w:tc>
        <w:tc>
          <w:tcPr>
            <w:tcW w:type="dxa" w:w="1728"/>
          </w:tcPr>
          <w:p>
            <w:pPr>
              <w:spacing w:after="0" w:line="240" w:lineRule="auto"/>
            </w:pPr>
            <w:r>
              <w:rPr>
                <w:b w:val="0"/>
                <w:i w:val="0"/>
                <w:sz w:val="16"/>
              </w:rPr>
              <w:t>10Q p.11–12</w:t>
            </w:r>
          </w:p>
        </w:tc>
      </w:tr>
      <w:tr>
        <w:trPr>
          <w:cantSplit/>
        </w:trPr>
        <w:tc>
          <w:tcPr>
            <w:tcW w:type="dxa" w:w="1872"/>
            <w:shd w:val="clear" w:color="auto" w:fill="D9E1F2"/>
          </w:tcPr>
          <w:p>
            <w:pPr>
              <w:spacing w:after="0" w:line="240" w:lineRule="auto"/>
            </w:pPr>
            <w:r>
              <w:rPr>
                <w:b w:val="0"/>
                <w:i w:val="0"/>
                <w:sz w:val="16"/>
              </w:rPr>
              <w:t>Revolver</w:t>
            </w:r>
          </w:p>
        </w:tc>
        <w:tc>
          <w:tcPr>
            <w:tcW w:type="dxa" w:w="6192"/>
            <w:shd w:val="clear" w:color="auto" w:fill="D9E1F2"/>
          </w:tcPr>
          <w:p>
            <w:pPr>
              <w:spacing w:after="0" w:line="240" w:lineRule="auto"/>
            </w:pPr>
            <w:r>
              <w:rPr>
                <w:b w:val="0"/>
                <w:i w:val="0"/>
                <w:sz w:val="16"/>
              </w:rPr>
              <w:t>$500m, signed 2026-05-06, available 2026-07-01, matures 2031-07-01, +$250m accordion; maximum net leverage 3.50x (4.00x step-up); undrawn at 6/30/26</w:t>
            </w:r>
          </w:p>
        </w:tc>
        <w:tc>
          <w:tcPr>
            <w:tcW w:type="dxa" w:w="1728"/>
            <w:shd w:val="clear" w:color="auto" w:fill="D9E1F2"/>
          </w:tcPr>
          <w:p>
            <w:pPr>
              <w:spacing w:after="0" w:line="240" w:lineRule="auto"/>
            </w:pPr>
            <w:r>
              <w:rPr>
                <w:b w:val="0"/>
                <w:i w:val="0"/>
                <w:sz w:val="16"/>
              </w:rPr>
              <w:t>10A p.363–364; 10Q p.12–13</w:t>
            </w:r>
          </w:p>
        </w:tc>
      </w:tr>
      <w:tr>
        <w:trPr>
          <w:cantSplit/>
        </w:trPr>
        <w:tc>
          <w:tcPr>
            <w:tcW w:type="dxa" w:w="1872"/>
          </w:tcPr>
          <w:p>
            <w:pPr>
              <w:spacing w:after="0" w:line="240" w:lineRule="auto"/>
            </w:pPr>
            <w:r>
              <w:rPr>
                <w:b w:val="0"/>
                <w:i w:val="0"/>
                <w:sz w:val="16"/>
              </w:rPr>
              <w:t>Payment to parent</w:t>
            </w:r>
          </w:p>
        </w:tc>
        <w:tc>
          <w:tcPr>
            <w:tcW w:type="dxa" w:w="6192"/>
          </w:tcPr>
          <w:p>
            <w:pPr>
              <w:spacing w:after="0" w:line="240" w:lineRule="auto"/>
            </w:pPr>
            <w:r>
              <w:rPr>
                <w:b w:val="0"/>
                <w:i w:val="0"/>
                <w:sz w:val="16"/>
              </w:rPr>
              <w:t xml:space="preserve">10/A: "approximately $1.9 billion" cash payment, plus about $200m retained cash. 10-Q: </w:t>
            </w:r>
            <w:r>
              <w:rPr>
                <w:b/>
                <w:i w:val="0"/>
                <w:sz w:val="16"/>
              </w:rPr>
              <w:t>$2.0 billion dividend</w:t>
            </w:r>
            <w:r>
              <w:rPr>
                <w:b w:val="0"/>
                <w:i w:val="0"/>
                <w:sz w:val="16"/>
              </w:rPr>
              <w:t xml:space="preserve"> to S&amp;P Global as consideration </w:t>
            </w:r>
            <w:r>
              <w:rPr>
                <w:b/>
                <w:color w:val="2E548C"/>
                <w:sz w:val="13"/>
              </w:rPr>
              <w:t>[D-flag: amount differs]</w:t>
            </w:r>
          </w:p>
        </w:tc>
        <w:tc>
          <w:tcPr>
            <w:tcW w:type="dxa" w:w="1728"/>
          </w:tcPr>
          <w:p>
            <w:pPr>
              <w:spacing w:after="0" w:line="240" w:lineRule="auto"/>
            </w:pPr>
            <w:r>
              <w:rPr>
                <w:b w:val="0"/>
                <w:i w:val="0"/>
                <w:sz w:val="16"/>
              </w:rPr>
              <w:t>10A p.278, 321; 10Q p.12, 18</w:t>
            </w:r>
          </w:p>
        </w:tc>
      </w:tr>
      <w:tr>
        <w:trPr>
          <w:cantSplit/>
        </w:trPr>
        <w:tc>
          <w:tcPr>
            <w:tcW w:type="dxa" w:w="1872"/>
            <w:shd w:val="clear" w:color="auto" w:fill="D9E1F2"/>
          </w:tcPr>
          <w:p>
            <w:pPr>
              <w:spacing w:after="0" w:line="240" w:lineRule="auto"/>
            </w:pPr>
            <w:r>
              <w:rPr>
                <w:b w:val="0"/>
                <w:i w:val="0"/>
                <w:sz w:val="16"/>
              </w:rPr>
              <w:t>Pro forma cap table (3/31/26)</w:t>
            </w:r>
          </w:p>
        </w:tc>
        <w:tc>
          <w:tcPr>
            <w:tcW w:type="dxa" w:w="6192"/>
            <w:shd w:val="clear" w:color="auto" w:fill="D9E1F2"/>
          </w:tcPr>
          <w:p>
            <w:pPr>
              <w:spacing w:after="0" w:line="240" w:lineRule="auto"/>
            </w:pPr>
            <w:r>
              <w:rPr>
                <w:b w:val="0"/>
                <w:i w:val="0"/>
                <w:sz w:val="16"/>
              </w:rPr>
              <w:t>Cash $122m → $200m; long-term debt $1,981m; related-party loan of $227m removed; 1bn authorized shares</w:t>
            </w:r>
          </w:p>
        </w:tc>
        <w:tc>
          <w:tcPr>
            <w:tcW w:type="dxa" w:w="1728"/>
            <w:shd w:val="clear" w:color="auto" w:fill="D9E1F2"/>
          </w:tcPr>
          <w:p>
            <w:pPr>
              <w:spacing w:after="0" w:line="240" w:lineRule="auto"/>
            </w:pPr>
            <w:r>
              <w:rPr>
                <w:b w:val="0"/>
                <w:i w:val="0"/>
                <w:sz w:val="16"/>
              </w:rPr>
              <w:t>10A p.331</w:t>
            </w:r>
          </w:p>
        </w:tc>
      </w:tr>
      <w:tr>
        <w:trPr>
          <w:cantSplit/>
        </w:trPr>
        <w:tc>
          <w:tcPr>
            <w:tcW w:type="dxa" w:w="1872"/>
          </w:tcPr>
          <w:p>
            <w:pPr>
              <w:spacing w:after="0" w:line="240" w:lineRule="auto"/>
            </w:pPr>
            <w:r>
              <w:rPr>
                <w:b w:val="0"/>
                <w:i w:val="0"/>
                <w:sz w:val="16"/>
              </w:rPr>
              <w:t>Canada Carfax Loan</w:t>
            </w:r>
          </w:p>
        </w:tc>
        <w:tc>
          <w:tcPr>
            <w:tcW w:type="dxa" w:w="6192"/>
          </w:tcPr>
          <w:p>
            <w:pPr>
              <w:spacing w:after="0" w:line="240" w:lineRule="auto"/>
            </w:pPr>
            <w:r>
              <w:rPr>
                <w:b w:val="0"/>
                <w:i w:val="0"/>
                <w:sz w:val="16"/>
              </w:rPr>
              <w:t>CAD 403m at 6.0%; $230m at 12/31/25; contributed by SPGI on 2026-06-25 and eliminated</w:t>
            </w:r>
          </w:p>
        </w:tc>
        <w:tc>
          <w:tcPr>
            <w:tcW w:type="dxa" w:w="1728"/>
          </w:tcPr>
          <w:p>
            <w:pPr>
              <w:spacing w:after="0" w:line="240" w:lineRule="auto"/>
            </w:pPr>
            <w:r>
              <w:rPr>
                <w:b w:val="0"/>
                <w:i w:val="0"/>
                <w:sz w:val="16"/>
              </w:rPr>
              <w:t>10A p.363; 10Q p.17</w:t>
            </w:r>
          </w:p>
        </w:tc>
      </w:tr>
      <w:tr>
        <w:trPr>
          <w:cantSplit/>
        </w:trPr>
        <w:tc>
          <w:tcPr>
            <w:tcW w:type="dxa" w:w="1872"/>
            <w:shd w:val="clear" w:color="auto" w:fill="D9E1F2"/>
          </w:tcPr>
          <w:p>
            <w:pPr>
              <w:spacing w:after="0" w:line="240" w:lineRule="auto"/>
            </w:pPr>
            <w:r>
              <w:rPr>
                <w:b w:val="0"/>
                <w:i w:val="0"/>
                <w:sz w:val="16"/>
              </w:rPr>
              <w:t>Restructuring Transactions</w:t>
            </w:r>
          </w:p>
        </w:tc>
        <w:tc>
          <w:tcPr>
            <w:tcW w:type="dxa" w:w="6192"/>
            <w:shd w:val="clear" w:color="auto" w:fill="D9E1F2"/>
          </w:tcPr>
          <w:p>
            <w:pPr>
              <w:spacing w:after="0" w:line="240" w:lineRule="auto"/>
            </w:pPr>
            <w:r>
              <w:rPr>
                <w:b w:val="0"/>
                <w:i w:val="0"/>
                <w:sz w:val="16"/>
              </w:rPr>
              <w:t>Completed 2026-06-26</w:t>
            </w:r>
          </w:p>
        </w:tc>
        <w:tc>
          <w:tcPr>
            <w:tcW w:type="dxa" w:w="1728"/>
            <w:shd w:val="clear" w:color="auto" w:fill="D9E1F2"/>
          </w:tcPr>
          <w:p>
            <w:pPr>
              <w:spacing w:after="0" w:line="240" w:lineRule="auto"/>
            </w:pPr>
            <w:r>
              <w:rPr>
                <w:b w:val="0"/>
                <w:i w:val="0"/>
                <w:sz w:val="16"/>
              </w:rPr>
              <w:t>10Q p.9</w:t>
            </w:r>
          </w:p>
        </w:tc>
      </w:tr>
      <w:tr>
        <w:trPr>
          <w:cantSplit/>
        </w:trPr>
        <w:tc>
          <w:tcPr>
            <w:tcW w:type="dxa" w:w="1872"/>
          </w:tcPr>
          <w:p>
            <w:pPr>
              <w:spacing w:after="0" w:line="240" w:lineRule="auto"/>
            </w:pPr>
            <w:r>
              <w:rPr>
                <w:b w:val="0"/>
                <w:i w:val="0"/>
                <w:sz w:val="16"/>
              </w:rPr>
              <w:t>Transition Services Agreement (TSA)</w:t>
            </w:r>
          </w:p>
        </w:tc>
        <w:tc>
          <w:tcPr>
            <w:tcW w:type="dxa" w:w="6192"/>
          </w:tcPr>
          <w:p>
            <w:pPr>
              <w:spacing w:after="0" w:line="240" w:lineRule="auto"/>
            </w:pPr>
            <w:r>
              <w:rPr>
                <w:b w:val="0"/>
                <w:i w:val="0"/>
                <w:sz w:val="16"/>
              </w:rPr>
              <w:t>IT, finance and HR, generally up to 18 months; fees at SPGI fully-loaded cost; liability capped at fees paid; pro forma incremental cost &lt;$1m (Q1-26) and $3m (FY25)</w:t>
            </w:r>
          </w:p>
        </w:tc>
        <w:tc>
          <w:tcPr>
            <w:tcW w:type="dxa" w:w="1728"/>
          </w:tcPr>
          <w:p>
            <w:pPr>
              <w:spacing w:after="0" w:line="240" w:lineRule="auto"/>
            </w:pPr>
            <w:r>
              <w:rPr>
                <w:b w:val="0"/>
                <w:i w:val="0"/>
                <w:sz w:val="16"/>
              </w:rPr>
              <w:t>10A p.327–328, 339</w:t>
            </w:r>
          </w:p>
        </w:tc>
      </w:tr>
      <w:tr>
        <w:trPr>
          <w:cantSplit/>
        </w:trPr>
        <w:tc>
          <w:tcPr>
            <w:tcW w:type="dxa" w:w="1872"/>
            <w:shd w:val="clear" w:color="auto" w:fill="D9E1F2"/>
          </w:tcPr>
          <w:p>
            <w:pPr>
              <w:spacing w:after="0" w:line="240" w:lineRule="auto"/>
            </w:pPr>
            <w:r>
              <w:rPr>
                <w:b w:val="0"/>
                <w:i w:val="0"/>
                <w:sz w:val="16"/>
              </w:rPr>
              <w:t>Other agreements</w:t>
            </w:r>
          </w:p>
        </w:tc>
        <w:tc>
          <w:tcPr>
            <w:tcW w:type="dxa" w:w="6192"/>
            <w:shd w:val="clear" w:color="auto" w:fill="D9E1F2"/>
          </w:tcPr>
          <w:p>
            <w:pPr>
              <w:spacing w:after="0" w:line="240" w:lineRule="auto"/>
            </w:pPr>
            <w:r>
              <w:rPr>
                <w:b w:val="0"/>
                <w:i w:val="0"/>
                <w:sz w:val="16"/>
              </w:rPr>
              <w:t>Separation and Distribution Agreement (SDA; uncapped cross-indemnities, non-exclusive IP cross-licences), TMA, Employee Matters Agreement (EMA); all filed via 8-K 2026-07-01</w:t>
            </w:r>
          </w:p>
        </w:tc>
        <w:tc>
          <w:tcPr>
            <w:tcW w:type="dxa" w:w="1728"/>
            <w:shd w:val="clear" w:color="auto" w:fill="D9E1F2"/>
          </w:tcPr>
          <w:p>
            <w:pPr>
              <w:spacing w:after="0" w:line="240" w:lineRule="auto"/>
            </w:pPr>
            <w:r>
              <w:rPr>
                <w:b w:val="0"/>
                <w:i w:val="0"/>
                <w:sz w:val="16"/>
              </w:rPr>
              <w:t>10A p.326; 10Q p.32</w:t>
            </w:r>
          </w:p>
        </w:tc>
      </w:tr>
      <w:tr>
        <w:trPr>
          <w:cantSplit/>
        </w:trPr>
        <w:tc>
          <w:tcPr>
            <w:tcW w:type="dxa" w:w="1872"/>
          </w:tcPr>
          <w:p>
            <w:pPr>
              <w:spacing w:after="0" w:line="240" w:lineRule="auto"/>
            </w:pPr>
            <w:r>
              <w:rPr>
                <w:b w:val="0"/>
                <w:i w:val="0"/>
                <w:sz w:val="16"/>
              </w:rPr>
              <w:t>Separation costs</w:t>
            </w:r>
          </w:p>
        </w:tc>
        <w:tc>
          <w:tcPr>
            <w:tcW w:type="dxa" w:w="6192"/>
          </w:tcPr>
          <w:p>
            <w:pPr>
              <w:spacing w:after="0" w:line="240" w:lineRule="auto"/>
            </w:pPr>
            <w:r>
              <w:rPr>
                <w:b w:val="0"/>
                <w:i w:val="0"/>
                <w:sz w:val="16"/>
              </w:rPr>
              <w:t>Pre-close costs borne by SPGI, post-close by MBGL. Stand-up transaction costs: $21m in FY25 (9 B2B + 12 Corporate), $21m in Q1-26, $57m in 6M-26</w:t>
            </w:r>
          </w:p>
        </w:tc>
        <w:tc>
          <w:tcPr>
            <w:tcW w:type="dxa" w:w="1728"/>
          </w:tcPr>
          <w:p>
            <w:pPr>
              <w:spacing w:after="0" w:line="240" w:lineRule="auto"/>
            </w:pPr>
            <w:r>
              <w:rPr>
                <w:b w:val="0"/>
                <w:i w:val="0"/>
                <w:sz w:val="16"/>
              </w:rPr>
              <w:t>10A p.333, 350, 347; 10Q p.17</w:t>
            </w:r>
          </w:p>
        </w:tc>
      </w:tr>
      <w:tr>
        <w:trPr>
          <w:cantSplit/>
        </w:trPr>
        <w:tc>
          <w:tcPr>
            <w:tcW w:type="dxa" w:w="1872"/>
            <w:shd w:val="clear" w:color="auto" w:fill="D9E1F2"/>
          </w:tcPr>
          <w:p>
            <w:pPr>
              <w:spacing w:after="0" w:line="240" w:lineRule="auto"/>
            </w:pPr>
            <w:r>
              <w:rPr>
                <w:b w:val="0"/>
                <w:i w:val="0"/>
                <w:sz w:val="16"/>
              </w:rPr>
              <w:t>Dividend policy</w:t>
            </w:r>
          </w:p>
        </w:tc>
        <w:tc>
          <w:tcPr>
            <w:tcW w:type="dxa" w:w="6192"/>
            <w:shd w:val="clear" w:color="auto" w:fill="D9E1F2"/>
          </w:tcPr>
          <w:p>
            <w:pPr>
              <w:spacing w:after="0" w:line="240" w:lineRule="auto"/>
            </w:pPr>
            <w:r>
              <w:rPr>
                <w:b w:val="0"/>
                <w:i w:val="0"/>
                <w:sz w:val="16"/>
              </w:rPr>
              <w:t>$0.06/quarter; first declared Aug-2026, record 2026-08-27, paid 2026-09-10</w:t>
            </w:r>
          </w:p>
        </w:tc>
        <w:tc>
          <w:tcPr>
            <w:tcW w:type="dxa" w:w="1728"/>
            <w:shd w:val="clear" w:color="auto" w:fill="D9E1F2"/>
          </w:tcPr>
          <w:p>
            <w:pPr>
              <w:spacing w:after="0" w:line="240" w:lineRule="auto"/>
            </w:pPr>
            <w:r>
              <w:rPr>
                <w:b w:val="0"/>
                <w:i w:val="0"/>
                <w:sz w:val="16"/>
              </w:rPr>
              <w:t>10Q p.18, 30</w:t>
            </w:r>
          </w:p>
        </w:tc>
      </w:tr>
      <w:tr>
        <w:trPr>
          <w:cantSplit/>
        </w:trPr>
        <w:tc>
          <w:tcPr>
            <w:tcW w:type="dxa" w:w="1872"/>
          </w:tcPr>
          <w:p>
            <w:pPr>
              <w:spacing w:after="0" w:line="240" w:lineRule="auto"/>
            </w:pPr>
            <w:r>
              <w:rPr>
                <w:b w:val="0"/>
                <w:i w:val="0"/>
                <w:sz w:val="16"/>
              </w:rPr>
              <w:t>Equity awards</w:t>
            </w:r>
          </w:p>
        </w:tc>
        <w:tc>
          <w:tcPr>
            <w:tcW w:type="dxa" w:w="6192"/>
          </w:tcPr>
          <w:p>
            <w:pPr>
              <w:spacing w:after="0" w:line="240" w:lineRule="auto"/>
            </w:pPr>
            <w:r>
              <w:rPr>
                <w:b w:val="0"/>
                <w:i w:val="0"/>
                <w:sz w:val="16"/>
              </w:rPr>
              <w:t>SPGI awards converted under the 2026 Long Term Incentive Plan (LTIP), filed on S-8 2026-07-01</w:t>
            </w:r>
          </w:p>
        </w:tc>
        <w:tc>
          <w:tcPr>
            <w:tcW w:type="dxa" w:w="1728"/>
          </w:tcPr>
          <w:p>
            <w:pPr>
              <w:spacing w:after="0" w:line="240" w:lineRule="auto"/>
            </w:pPr>
            <w:r>
              <w:rPr>
                <w:b w:val="0"/>
                <w:i w:val="0"/>
                <w:sz w:val="16"/>
              </w:rPr>
              <w:t>10Q p.18, 33</w:t>
            </w:r>
          </w:p>
        </w:tc>
      </w:tr>
    </w:tbl>
    <w:p>
      <w:pPr>
        <w:spacing w:after="120"/>
      </w:pPr>
      <w:r>
        <w:rPr>
          <w:b w:val="0"/>
          <w:i/>
          <w:color w:val="595959"/>
          <w:sz w:val="15"/>
        </w:rPr>
        <w:t>Source: analysis/QUALITATIVE.md §9.</w:t>
      </w:r>
    </w:p>
    <w:p>
      <w:r>
        <w:rPr>
          <w:b w:val="0"/>
          <w:i w:val="0"/>
        </w:rPr>
        <w:t xml:space="preserve">Open items: </w:t>
      </w:r>
      <w:r>
        <w:rPr>
          <w:b/>
          <w:color w:val="E36C09"/>
        </w:rPr>
        <w:t>[TO COLLECT #8: TSA fee amounts by service and exit timetable]</w:t>
      </w:r>
      <w:r>
        <w:rPr>
          <w:b w:val="0"/>
          <w:i w:val="0"/>
        </w:rPr>
        <w:t xml:space="preserve">; </w:t>
      </w:r>
      <w:r>
        <w:rPr>
          <w:b/>
          <w:color w:val="E36C09"/>
        </w:rPr>
        <w:t>[TO COLLECT #9: Employee Matters Agreement schedules and Form S-8 Ex.99.1 (LTIP full text)]</w:t>
      </w:r>
      <w:r>
        <w:rPr>
          <w:b w:val="0"/>
          <w:i w:val="0"/>
        </w:rPr>
        <w:t>.</w:t>
      </w:r>
    </w:p>
    <w:p>
      <w:pPr>
        <w:pStyle w:val="Heading1"/>
        <w:pageBreakBefore/>
      </w:pPr>
      <w:r>
        <w:t>3 Segments &amp; revenue model</w:t>
      </w:r>
    </w:p>
    <w:p>
      <w:pPr>
        <w:pStyle w:val="Heading2"/>
      </w:pPr>
      <w:r>
        <w:t>3.1 Segment revenue and profitability</w:t>
      </w:r>
    </w:p>
    <w:p>
      <w:pPr>
        <w:keepNext/>
        <w:spacing w:before="80" w:after="40"/>
      </w:pPr>
      <w:r>
        <w:rPr>
          <w:b/>
          <w:i w:val="0"/>
          <w:color w:val="1F3864"/>
          <w:sz w:val="17"/>
        </w:rPr>
        <w:t>Exhibit 3.1 — Segment revenue and profit ($m)</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3456"/>
        <w:gridCol w:w="1152"/>
        <w:gridCol w:w="1152"/>
        <w:gridCol w:w="1152"/>
        <w:gridCol w:w="2880"/>
      </w:tblGrid>
      <w:tr>
        <w:trPr>
          <w:cantSplit/>
          <w:tblHeader/>
        </w:trPr>
        <w:tc>
          <w:tcPr>
            <w:tcW w:type="dxa" w:w="3456"/>
            <w:shd w:val="clear" w:color="auto" w:fill="1F3864"/>
          </w:tcPr>
          <w:p>
            <w:pPr>
              <w:spacing w:after="0" w:line="240" w:lineRule="auto"/>
            </w:pPr>
          </w:p>
        </w:tc>
        <w:tc>
          <w:tcPr>
            <w:tcW w:type="dxa" w:w="1152"/>
            <w:shd w:val="clear" w:color="auto" w:fill="1F3864"/>
          </w:tcPr>
          <w:p>
            <w:pPr>
              <w:spacing w:after="0" w:line="240" w:lineRule="auto"/>
              <w:jc w:val="right"/>
            </w:pPr>
            <w:r>
              <w:rPr>
                <w:b/>
                <w:i w:val="0"/>
                <w:color w:val="FFFFFF"/>
                <w:sz w:val="16"/>
              </w:rPr>
              <w:t>FY2023</w:t>
            </w:r>
          </w:p>
        </w:tc>
        <w:tc>
          <w:tcPr>
            <w:tcW w:type="dxa" w:w="1152"/>
            <w:shd w:val="clear" w:color="auto" w:fill="1F3864"/>
          </w:tcPr>
          <w:p>
            <w:pPr>
              <w:spacing w:after="0" w:line="240" w:lineRule="auto"/>
              <w:jc w:val="right"/>
            </w:pPr>
            <w:r>
              <w:rPr>
                <w:b/>
                <w:i w:val="0"/>
                <w:color w:val="FFFFFF"/>
                <w:sz w:val="16"/>
              </w:rPr>
              <w:t>FY2024</w:t>
            </w:r>
          </w:p>
        </w:tc>
        <w:tc>
          <w:tcPr>
            <w:tcW w:type="dxa" w:w="1152"/>
            <w:shd w:val="clear" w:color="auto" w:fill="1F3864"/>
          </w:tcPr>
          <w:p>
            <w:pPr>
              <w:spacing w:after="0" w:line="240" w:lineRule="auto"/>
              <w:jc w:val="right"/>
            </w:pPr>
            <w:r>
              <w:rPr>
                <w:b/>
                <w:i w:val="0"/>
                <w:color w:val="FFFFFF"/>
                <w:sz w:val="16"/>
              </w:rPr>
              <w:t>FY2025</w:t>
            </w:r>
          </w:p>
        </w:tc>
        <w:tc>
          <w:tcPr>
            <w:tcW w:type="dxa" w:w="2880"/>
            <w:shd w:val="clear" w:color="auto" w:fill="1F3864"/>
          </w:tcPr>
          <w:p>
            <w:pPr>
              <w:spacing w:after="0" w:line="240" w:lineRule="auto"/>
            </w:pPr>
            <w:r>
              <w:rPr>
                <w:b/>
                <w:i w:val="0"/>
                <w:color w:val="FFFFFF"/>
                <w:sz w:val="16"/>
              </w:rPr>
              <w:t>Growth / margin</w:t>
            </w:r>
          </w:p>
        </w:tc>
      </w:tr>
      <w:tr>
        <w:trPr>
          <w:cantSplit/>
        </w:trPr>
        <w:tc>
          <w:tcPr>
            <w:tcW w:type="dxa" w:w="3456"/>
          </w:tcPr>
          <w:p>
            <w:pPr>
              <w:spacing w:after="0" w:line="240" w:lineRule="auto"/>
            </w:pPr>
            <w:r>
              <w:rPr>
                <w:b w:val="0"/>
                <w:i w:val="0"/>
                <w:sz w:val="16"/>
              </w:rPr>
              <w:t xml:space="preserve">CARFAX revenue, $m </w:t>
            </w:r>
            <w:r>
              <w:rPr>
                <w:b/>
                <w:color w:val="2E548C"/>
                <w:sz w:val="13"/>
              </w:rPr>
              <w:t>[D]</w:t>
            </w:r>
          </w:p>
        </w:tc>
        <w:tc>
          <w:tcPr>
            <w:tcW w:type="dxa" w:w="1152"/>
          </w:tcPr>
          <w:p>
            <w:pPr>
              <w:spacing w:after="0" w:line="240" w:lineRule="auto"/>
              <w:jc w:val="right"/>
            </w:pPr>
            <w:r>
              <w:rPr>
                <w:b w:val="0"/>
                <w:i w:val="0"/>
                <w:sz w:val="16"/>
              </w:rPr>
              <w:t>928</w:t>
            </w:r>
          </w:p>
        </w:tc>
        <w:tc>
          <w:tcPr>
            <w:tcW w:type="dxa" w:w="1152"/>
          </w:tcPr>
          <w:p>
            <w:pPr>
              <w:spacing w:after="0" w:line="240" w:lineRule="auto"/>
              <w:jc w:val="right"/>
            </w:pPr>
            <w:r>
              <w:rPr>
                <w:b w:val="0"/>
                <w:i w:val="0"/>
                <w:sz w:val="16"/>
              </w:rPr>
              <w:t>1,039</w:t>
            </w:r>
          </w:p>
        </w:tc>
        <w:tc>
          <w:tcPr>
            <w:tcW w:type="dxa" w:w="1152"/>
          </w:tcPr>
          <w:p>
            <w:pPr>
              <w:spacing w:after="0" w:line="240" w:lineRule="auto"/>
              <w:jc w:val="right"/>
            </w:pPr>
            <w:r>
              <w:rPr>
                <w:b w:val="0"/>
                <w:i w:val="0"/>
                <w:sz w:val="16"/>
              </w:rPr>
              <w:t>1,142</w:t>
            </w:r>
          </w:p>
        </w:tc>
        <w:tc>
          <w:tcPr>
            <w:tcW w:type="dxa" w:w="2880"/>
          </w:tcPr>
          <w:p>
            <w:pPr>
              <w:spacing w:after="0" w:line="240" w:lineRule="auto"/>
            </w:pPr>
            <w:r>
              <w:rPr>
                <w:b w:val="0"/>
                <w:i w:val="0"/>
                <w:sz w:val="16"/>
              </w:rPr>
              <w:t xml:space="preserve">+12.0% / +9.9% </w:t>
            </w:r>
            <w:r>
              <w:rPr>
                <w:b/>
                <w:color w:val="2E548C"/>
                <w:sz w:val="13"/>
              </w:rPr>
              <w:t>[C]</w:t>
            </w:r>
          </w:p>
        </w:tc>
      </w:tr>
      <w:tr>
        <w:trPr>
          <w:cantSplit/>
        </w:trPr>
        <w:tc>
          <w:tcPr>
            <w:tcW w:type="dxa" w:w="3456"/>
            <w:shd w:val="clear" w:color="auto" w:fill="D9E1F2"/>
          </w:tcPr>
          <w:p>
            <w:pPr>
              <w:spacing w:after="0" w:line="240" w:lineRule="auto"/>
            </w:pPr>
            <w:r>
              <w:rPr>
                <w:b w:val="0"/>
                <w:i w:val="0"/>
                <w:sz w:val="16"/>
              </w:rPr>
              <w:t xml:space="preserve">B2B revenue, $m </w:t>
            </w:r>
            <w:r>
              <w:rPr>
                <w:b/>
                <w:color w:val="2E548C"/>
                <w:sz w:val="13"/>
              </w:rPr>
              <w:t>[D]</w:t>
            </w:r>
          </w:p>
        </w:tc>
        <w:tc>
          <w:tcPr>
            <w:tcW w:type="dxa" w:w="1152"/>
            <w:shd w:val="clear" w:color="auto" w:fill="D9E1F2"/>
          </w:tcPr>
          <w:p>
            <w:pPr>
              <w:spacing w:after="0" w:line="240" w:lineRule="auto"/>
              <w:jc w:val="right"/>
            </w:pPr>
            <w:r>
              <w:rPr>
                <w:b w:val="0"/>
                <w:i w:val="0"/>
                <w:sz w:val="16"/>
              </w:rPr>
              <w:t>557</w:t>
            </w:r>
          </w:p>
        </w:tc>
        <w:tc>
          <w:tcPr>
            <w:tcW w:type="dxa" w:w="1152"/>
            <w:shd w:val="clear" w:color="auto" w:fill="D9E1F2"/>
          </w:tcPr>
          <w:p>
            <w:pPr>
              <w:spacing w:after="0" w:line="240" w:lineRule="auto"/>
              <w:jc w:val="right"/>
            </w:pPr>
            <w:r>
              <w:rPr>
                <w:b w:val="0"/>
                <w:i w:val="0"/>
                <w:sz w:val="16"/>
              </w:rPr>
              <w:t>574</w:t>
            </w:r>
          </w:p>
        </w:tc>
        <w:tc>
          <w:tcPr>
            <w:tcW w:type="dxa" w:w="1152"/>
            <w:shd w:val="clear" w:color="auto" w:fill="D9E1F2"/>
          </w:tcPr>
          <w:p>
            <w:pPr>
              <w:spacing w:after="0" w:line="240" w:lineRule="auto"/>
              <w:jc w:val="right"/>
            </w:pPr>
            <w:r>
              <w:rPr>
                <w:b w:val="0"/>
                <w:i w:val="0"/>
                <w:sz w:val="16"/>
              </w:rPr>
              <w:t>608</w:t>
            </w:r>
          </w:p>
        </w:tc>
        <w:tc>
          <w:tcPr>
            <w:tcW w:type="dxa" w:w="2880"/>
            <w:shd w:val="clear" w:color="auto" w:fill="D9E1F2"/>
          </w:tcPr>
          <w:p>
            <w:pPr>
              <w:spacing w:after="0" w:line="240" w:lineRule="auto"/>
            </w:pPr>
            <w:r>
              <w:rPr>
                <w:b w:val="0"/>
                <w:i w:val="0"/>
                <w:sz w:val="16"/>
              </w:rPr>
              <w:t xml:space="preserve">+3.1% / +5.9% </w:t>
            </w:r>
            <w:r>
              <w:rPr>
                <w:b/>
                <w:color w:val="2E548C"/>
                <w:sz w:val="13"/>
              </w:rPr>
              <w:t>[C]</w:t>
            </w:r>
          </w:p>
        </w:tc>
      </w:tr>
      <w:tr>
        <w:trPr>
          <w:cantSplit/>
        </w:trPr>
        <w:tc>
          <w:tcPr>
            <w:tcW w:type="dxa" w:w="3456"/>
          </w:tcPr>
          <w:p>
            <w:pPr>
              <w:spacing w:after="0" w:line="240" w:lineRule="auto"/>
            </w:pPr>
            <w:r>
              <w:rPr>
                <w:b w:val="0"/>
                <w:i w:val="0"/>
                <w:sz w:val="16"/>
              </w:rPr>
              <w:t xml:space="preserve">CARFAX Adj. EBITDA, $m </w:t>
            </w:r>
            <w:r>
              <w:rPr>
                <w:b/>
                <w:color w:val="2E548C"/>
                <w:sz w:val="13"/>
              </w:rPr>
              <w:t>[D]</w:t>
            </w:r>
          </w:p>
        </w:tc>
        <w:tc>
          <w:tcPr>
            <w:tcW w:type="dxa" w:w="1152"/>
          </w:tcPr>
          <w:p>
            <w:pPr>
              <w:spacing w:after="0" w:line="240" w:lineRule="auto"/>
              <w:jc w:val="right"/>
            </w:pPr>
            <w:r>
              <w:rPr>
                <w:b w:val="0"/>
                <w:i w:val="0"/>
                <w:sz w:val="16"/>
              </w:rPr>
              <w:t>422</w:t>
            </w:r>
          </w:p>
        </w:tc>
        <w:tc>
          <w:tcPr>
            <w:tcW w:type="dxa" w:w="1152"/>
          </w:tcPr>
          <w:p>
            <w:pPr>
              <w:spacing w:after="0" w:line="240" w:lineRule="auto"/>
              <w:jc w:val="right"/>
            </w:pPr>
            <w:r>
              <w:rPr>
                <w:b w:val="0"/>
                <w:i w:val="0"/>
                <w:sz w:val="16"/>
              </w:rPr>
              <w:t>476</w:t>
            </w:r>
          </w:p>
        </w:tc>
        <w:tc>
          <w:tcPr>
            <w:tcW w:type="dxa" w:w="1152"/>
          </w:tcPr>
          <w:p>
            <w:pPr>
              <w:spacing w:after="0" w:line="240" w:lineRule="auto"/>
              <w:jc w:val="right"/>
            </w:pPr>
            <w:r>
              <w:rPr>
                <w:b w:val="0"/>
                <w:i w:val="0"/>
                <w:sz w:val="16"/>
              </w:rPr>
              <w:t>536</w:t>
            </w:r>
          </w:p>
        </w:tc>
        <w:tc>
          <w:tcPr>
            <w:tcW w:type="dxa" w:w="2880"/>
          </w:tcPr>
          <w:p>
            <w:pPr>
              <w:spacing w:after="0" w:line="240" w:lineRule="auto"/>
            </w:pPr>
            <w:r>
              <w:rPr>
                <w:b w:val="0"/>
                <w:i w:val="0"/>
                <w:sz w:val="16"/>
              </w:rPr>
              <w:t xml:space="preserve">margin 45.5% / 45.8% / 46.9% </w:t>
            </w:r>
            <w:r>
              <w:rPr>
                <w:b/>
                <w:color w:val="2E548C"/>
                <w:sz w:val="13"/>
              </w:rPr>
              <w:t>[C]</w:t>
            </w:r>
          </w:p>
        </w:tc>
      </w:tr>
      <w:tr>
        <w:trPr>
          <w:cantSplit/>
        </w:trPr>
        <w:tc>
          <w:tcPr>
            <w:tcW w:type="dxa" w:w="3456"/>
            <w:shd w:val="clear" w:color="auto" w:fill="D9E1F2"/>
          </w:tcPr>
          <w:p>
            <w:pPr>
              <w:spacing w:after="0" w:line="240" w:lineRule="auto"/>
            </w:pPr>
            <w:r>
              <w:rPr>
                <w:b w:val="0"/>
                <w:i w:val="0"/>
                <w:sz w:val="16"/>
              </w:rPr>
              <w:t xml:space="preserve">B2B Adj. EBITDA, $m </w:t>
            </w:r>
            <w:r>
              <w:rPr>
                <w:b/>
                <w:color w:val="2E548C"/>
                <w:sz w:val="13"/>
              </w:rPr>
              <w:t>[D]</w:t>
            </w:r>
          </w:p>
        </w:tc>
        <w:tc>
          <w:tcPr>
            <w:tcW w:type="dxa" w:w="1152"/>
            <w:shd w:val="clear" w:color="auto" w:fill="D9E1F2"/>
          </w:tcPr>
          <w:p>
            <w:pPr>
              <w:spacing w:after="0" w:line="240" w:lineRule="auto"/>
              <w:jc w:val="right"/>
            </w:pPr>
            <w:r>
              <w:rPr>
                <w:b w:val="0"/>
                <w:i w:val="0"/>
                <w:sz w:val="16"/>
              </w:rPr>
              <w:t>191</w:t>
            </w:r>
          </w:p>
        </w:tc>
        <w:tc>
          <w:tcPr>
            <w:tcW w:type="dxa" w:w="1152"/>
            <w:shd w:val="clear" w:color="auto" w:fill="D9E1F2"/>
          </w:tcPr>
          <w:p>
            <w:pPr>
              <w:spacing w:after="0" w:line="240" w:lineRule="auto"/>
              <w:jc w:val="right"/>
            </w:pPr>
            <w:r>
              <w:rPr>
                <w:b w:val="0"/>
                <w:i w:val="0"/>
                <w:sz w:val="16"/>
              </w:rPr>
              <w:t>203</w:t>
            </w:r>
          </w:p>
        </w:tc>
        <w:tc>
          <w:tcPr>
            <w:tcW w:type="dxa" w:w="1152"/>
            <w:shd w:val="clear" w:color="auto" w:fill="D9E1F2"/>
          </w:tcPr>
          <w:p>
            <w:pPr>
              <w:spacing w:after="0" w:line="240" w:lineRule="auto"/>
              <w:jc w:val="right"/>
            </w:pPr>
            <w:r>
              <w:rPr>
                <w:b w:val="0"/>
                <w:i w:val="0"/>
                <w:sz w:val="16"/>
              </w:rPr>
              <w:t>197</w:t>
            </w:r>
          </w:p>
        </w:tc>
        <w:tc>
          <w:tcPr>
            <w:tcW w:type="dxa" w:w="2880"/>
            <w:shd w:val="clear" w:color="auto" w:fill="D9E1F2"/>
          </w:tcPr>
          <w:p>
            <w:pPr>
              <w:spacing w:after="0" w:line="240" w:lineRule="auto"/>
            </w:pPr>
            <w:r>
              <w:rPr>
                <w:b w:val="0"/>
                <w:i w:val="0"/>
                <w:sz w:val="16"/>
              </w:rPr>
              <w:t xml:space="preserve">margin 34.3% / 35.4% / 32.4% </w:t>
            </w:r>
            <w:r>
              <w:rPr>
                <w:b/>
                <w:color w:val="2E548C"/>
                <w:sz w:val="13"/>
              </w:rPr>
              <w:t>[C]</w:t>
            </w:r>
          </w:p>
        </w:tc>
      </w:tr>
      <w:tr>
        <w:trPr>
          <w:cantSplit/>
        </w:trPr>
        <w:tc>
          <w:tcPr>
            <w:tcW w:type="dxa" w:w="3456"/>
          </w:tcPr>
          <w:p>
            <w:pPr>
              <w:spacing w:after="0" w:line="240" w:lineRule="auto"/>
            </w:pPr>
            <w:r>
              <w:rPr>
                <w:b w:val="0"/>
                <w:i w:val="0"/>
                <w:sz w:val="16"/>
              </w:rPr>
              <w:t xml:space="preserve">Corporate Adj. EBITDA, $m </w:t>
            </w:r>
            <w:r>
              <w:rPr>
                <w:b/>
                <w:color w:val="2E548C"/>
                <w:sz w:val="13"/>
              </w:rPr>
              <w:t>[D]</w:t>
            </w:r>
          </w:p>
        </w:tc>
        <w:tc>
          <w:tcPr>
            <w:tcW w:type="dxa" w:w="1152"/>
          </w:tcPr>
          <w:p>
            <w:pPr>
              <w:spacing w:after="0" w:line="240" w:lineRule="auto"/>
              <w:jc w:val="right"/>
            </w:pPr>
            <w:r>
              <w:rPr>
                <w:b w:val="0"/>
                <w:i w:val="0"/>
                <w:sz w:val="16"/>
              </w:rPr>
              <w:t>(16)</w:t>
            </w:r>
          </w:p>
        </w:tc>
        <w:tc>
          <w:tcPr>
            <w:tcW w:type="dxa" w:w="1152"/>
          </w:tcPr>
          <w:p>
            <w:pPr>
              <w:spacing w:after="0" w:line="240" w:lineRule="auto"/>
              <w:jc w:val="right"/>
            </w:pPr>
            <w:r>
              <w:rPr>
                <w:b w:val="0"/>
                <w:i w:val="0"/>
                <w:sz w:val="16"/>
              </w:rPr>
              <w:t>(20)</w:t>
            </w:r>
          </w:p>
        </w:tc>
        <w:tc>
          <w:tcPr>
            <w:tcW w:type="dxa" w:w="1152"/>
          </w:tcPr>
          <w:p>
            <w:pPr>
              <w:spacing w:after="0" w:line="240" w:lineRule="auto"/>
              <w:jc w:val="right"/>
            </w:pPr>
            <w:r>
              <w:rPr>
                <w:b w:val="0"/>
                <w:i w:val="0"/>
                <w:sz w:val="16"/>
              </w:rPr>
              <w:t>(22)</w:t>
            </w:r>
          </w:p>
        </w:tc>
        <w:tc>
          <w:tcPr>
            <w:tcW w:type="dxa" w:w="2880"/>
          </w:tcPr>
          <w:p>
            <w:pPr>
              <w:spacing w:after="0" w:line="240" w:lineRule="auto"/>
            </w:pPr>
            <w:r>
              <w:rPr>
                <w:b w:val="0"/>
                <w:i w:val="0"/>
                <w:sz w:val="16"/>
              </w:rPr>
              <w:t xml:space="preserve">1.1% / 1.2% / 1.3% of revenue </w:t>
            </w:r>
            <w:r>
              <w:rPr>
                <w:b/>
                <w:color w:val="2E548C"/>
                <w:sz w:val="13"/>
              </w:rPr>
              <w:t>[C]</w:t>
            </w:r>
          </w:p>
        </w:tc>
      </w:tr>
      <w:tr>
        <w:trPr>
          <w:cantSplit/>
        </w:trPr>
        <w:tc>
          <w:tcPr>
            <w:tcW w:type="dxa" w:w="3456"/>
            <w:shd w:val="clear" w:color="auto" w:fill="D9E1F2"/>
          </w:tcPr>
          <w:p>
            <w:pPr>
              <w:spacing w:after="0" w:line="240" w:lineRule="auto"/>
            </w:pPr>
            <w:r>
              <w:rPr>
                <w:b w:val="0"/>
                <w:i w:val="0"/>
                <w:sz w:val="16"/>
              </w:rPr>
              <w:t xml:space="preserve">CARFAX segment OP (after amortization), $m </w:t>
            </w:r>
            <w:r>
              <w:rPr>
                <w:b/>
                <w:color w:val="2E548C"/>
                <w:sz w:val="13"/>
              </w:rPr>
              <w:t>[D]</w:t>
            </w:r>
          </w:p>
        </w:tc>
        <w:tc>
          <w:tcPr>
            <w:tcW w:type="dxa" w:w="1152"/>
            <w:shd w:val="clear" w:color="auto" w:fill="D9E1F2"/>
          </w:tcPr>
          <w:p>
            <w:pPr>
              <w:spacing w:after="0" w:line="240" w:lineRule="auto"/>
              <w:jc w:val="right"/>
            </w:pPr>
            <w:r>
              <w:rPr>
                <w:b w:val="0"/>
                <w:i w:val="0"/>
                <w:sz w:val="16"/>
              </w:rPr>
              <w:t>210</w:t>
            </w:r>
          </w:p>
        </w:tc>
        <w:tc>
          <w:tcPr>
            <w:tcW w:type="dxa" w:w="1152"/>
            <w:shd w:val="clear" w:color="auto" w:fill="D9E1F2"/>
          </w:tcPr>
          <w:p>
            <w:pPr>
              <w:spacing w:after="0" w:line="240" w:lineRule="auto"/>
              <w:jc w:val="right"/>
            </w:pPr>
            <w:r>
              <w:rPr>
                <w:b w:val="0"/>
                <w:i w:val="0"/>
                <w:sz w:val="16"/>
              </w:rPr>
              <w:t>259</w:t>
            </w:r>
          </w:p>
        </w:tc>
        <w:tc>
          <w:tcPr>
            <w:tcW w:type="dxa" w:w="1152"/>
            <w:shd w:val="clear" w:color="auto" w:fill="D9E1F2"/>
          </w:tcPr>
          <w:p>
            <w:pPr>
              <w:spacing w:after="0" w:line="240" w:lineRule="auto"/>
              <w:jc w:val="right"/>
            </w:pPr>
            <w:r>
              <w:rPr>
                <w:b w:val="0"/>
                <w:i w:val="0"/>
                <w:sz w:val="16"/>
              </w:rPr>
              <w:t>322</w:t>
            </w:r>
          </w:p>
        </w:tc>
        <w:tc>
          <w:tcPr>
            <w:tcW w:type="dxa" w:w="2880"/>
            <w:shd w:val="clear" w:color="auto" w:fill="D9E1F2"/>
          </w:tcPr>
          <w:p>
            <w:pPr>
              <w:spacing w:after="0" w:line="240" w:lineRule="auto"/>
            </w:pPr>
            <w:r>
              <w:rPr>
                <w:b w:val="0"/>
                <w:i w:val="0"/>
                <w:sz w:val="16"/>
              </w:rPr>
              <w:t xml:space="preserve">OP margin 23% → 25% → 28% </w:t>
            </w:r>
            <w:r>
              <w:rPr>
                <w:b/>
                <w:color w:val="2E548C"/>
                <w:sz w:val="13"/>
              </w:rPr>
              <w:t>[D/C]</w:t>
            </w:r>
          </w:p>
        </w:tc>
      </w:tr>
      <w:tr>
        <w:trPr>
          <w:cantSplit/>
        </w:trPr>
        <w:tc>
          <w:tcPr>
            <w:tcW w:type="dxa" w:w="3456"/>
          </w:tcPr>
          <w:p>
            <w:pPr>
              <w:spacing w:after="0" w:line="240" w:lineRule="auto"/>
            </w:pPr>
            <w:r>
              <w:rPr>
                <w:b w:val="0"/>
                <w:i w:val="0"/>
                <w:sz w:val="16"/>
              </w:rPr>
              <w:t xml:space="preserve">B2B segment OP (after amortization), $m </w:t>
            </w:r>
            <w:r>
              <w:rPr>
                <w:b/>
                <w:color w:val="2E548C"/>
                <w:sz w:val="13"/>
              </w:rPr>
              <w:t>[D]</w:t>
            </w:r>
          </w:p>
        </w:tc>
        <w:tc>
          <w:tcPr>
            <w:tcW w:type="dxa" w:w="1152"/>
          </w:tcPr>
          <w:p>
            <w:pPr>
              <w:spacing w:after="0" w:line="240" w:lineRule="auto"/>
              <w:jc w:val="right"/>
            </w:pPr>
            <w:r>
              <w:rPr>
                <w:b w:val="0"/>
                <w:i w:val="0"/>
                <w:sz w:val="16"/>
              </w:rPr>
              <w:t>61</w:t>
            </w:r>
          </w:p>
        </w:tc>
        <w:tc>
          <w:tcPr>
            <w:tcW w:type="dxa" w:w="1152"/>
          </w:tcPr>
          <w:p>
            <w:pPr>
              <w:spacing w:after="0" w:line="240" w:lineRule="auto"/>
              <w:jc w:val="right"/>
            </w:pPr>
            <w:r>
              <w:rPr>
                <w:b w:val="0"/>
                <w:i w:val="0"/>
                <w:sz w:val="16"/>
              </w:rPr>
              <w:t>69</w:t>
            </w:r>
          </w:p>
        </w:tc>
        <w:tc>
          <w:tcPr>
            <w:tcW w:type="dxa" w:w="1152"/>
          </w:tcPr>
          <w:p>
            <w:pPr>
              <w:spacing w:after="0" w:line="240" w:lineRule="auto"/>
              <w:jc w:val="right"/>
            </w:pPr>
            <w:r>
              <w:rPr>
                <w:b w:val="0"/>
                <w:i w:val="0"/>
                <w:sz w:val="16"/>
              </w:rPr>
              <w:t>62</w:t>
            </w:r>
          </w:p>
        </w:tc>
        <w:tc>
          <w:tcPr>
            <w:tcW w:type="dxa" w:w="2880"/>
          </w:tcPr>
          <w:p>
            <w:pPr>
              <w:spacing w:after="0" w:line="240" w:lineRule="auto"/>
            </w:pPr>
            <w:r>
              <w:rPr>
                <w:b w:val="0"/>
                <w:i w:val="0"/>
                <w:sz w:val="16"/>
              </w:rPr>
              <w:t xml:space="preserve">B2B carries ~$107m/yr amortization </w:t>
            </w:r>
            <w:r>
              <w:rPr>
                <w:b/>
                <w:color w:val="2E548C"/>
                <w:sz w:val="13"/>
              </w:rPr>
              <w:t>[D]</w:t>
            </w:r>
          </w:p>
        </w:tc>
      </w:tr>
    </w:tbl>
    <w:p>
      <w:pPr>
        <w:spacing w:after="120"/>
      </w:pPr>
      <w:r>
        <w:rPr>
          <w:b w:val="0"/>
          <w:i/>
          <w:color w:val="595959"/>
          <w:sz w:val="15"/>
        </w:rPr>
        <w:t xml:space="preserve">Source: analysis/K_session_tables.md (D6, D3); D2 (d). Segment Adj. EBITDA margins </w:t>
      </w:r>
      <w:r>
        <w:rPr>
          <w:b/>
          <w:color w:val="2E548C"/>
          <w:sz w:val="12"/>
        </w:rPr>
        <w:t>[C]</w:t>
      </w:r>
      <w:r>
        <w:rPr>
          <w:b w:val="0"/>
          <w:i/>
          <w:color w:val="595959"/>
          <w:sz w:val="15"/>
        </w:rPr>
        <w:t xml:space="preserve"> from printed $. B2B revenue = total − CARFAX.</w:t>
      </w:r>
    </w:p>
    <w:p>
      <w:r>
        <w:rPr>
          <w:b w:val="0"/>
          <w:i w:val="0"/>
        </w:rPr>
        <w:t xml:space="preserve">1H-26 </w:t>
      </w:r>
      <w:r>
        <w:rPr>
          <w:b/>
          <w:color w:val="2E548C"/>
          <w:sz w:val="16"/>
        </w:rPr>
        <w:t>[D]</w:t>
      </w:r>
      <w:r>
        <w:rPr>
          <w:b w:val="0"/>
          <w:i w:val="0"/>
        </w:rPr>
        <w:t xml:space="preserve">: CARFAX revenue $610m (+8%) and B2B +6%; Q2-26 CARFAX +8%, B2B +4% </w:t>
      </w:r>
      <w:r>
        <w:rPr>
          <w:b/>
          <w:color w:val="2E548C"/>
          <w:sz w:val="16"/>
        </w:rPr>
        <w:t>[D]</w:t>
      </w:r>
      <w:r>
        <w:rPr>
          <w:b w:val="0"/>
          <w:i w:val="0"/>
        </w:rPr>
        <w:t xml:space="preserve">. CARFAX Adj. EBITDA margin 48.0% (6M-26) </w:t>
      </w:r>
      <w:r>
        <w:rPr>
          <w:b/>
          <w:color w:val="2E548C"/>
          <w:sz w:val="16"/>
        </w:rPr>
        <w:t>[C]</w:t>
      </w:r>
      <w:r>
        <w:rPr>
          <w:b w:val="0"/>
          <w:i w:val="0"/>
        </w:rPr>
        <w:t xml:space="preserve">; B2B 32.6% </w:t>
      </w:r>
      <w:r>
        <w:rPr>
          <w:b/>
          <w:color w:val="2E548C"/>
          <w:sz w:val="16"/>
        </w:rPr>
        <w:t>[C]</w:t>
      </w:r>
      <w:r>
        <w:rPr>
          <w:b w:val="0"/>
          <w:i w:val="0"/>
        </w:rPr>
        <w:t xml:space="preserve"> (D3 §1, D10 §3).</w:t>
      </w:r>
    </w:p>
    <w:p>
      <w:pPr>
        <w:pStyle w:val="Heading2"/>
      </w:pPr>
      <w:r>
        <w:t>3.2 Brands and products</w:t>
      </w:r>
    </w:p>
    <w:p>
      <w:pPr>
        <w:keepNext/>
        <w:spacing w:before="80" w:after="40"/>
      </w:pPr>
      <w:r>
        <w:rPr>
          <w:b/>
          <w:i w:val="0"/>
          <w:color w:val="1F3864"/>
          <w:sz w:val="17"/>
        </w:rPr>
        <w:t>Exhibit 3.2 — Product map</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728"/>
        <w:gridCol w:w="3600"/>
        <w:gridCol w:w="4463"/>
      </w:tblGrid>
      <w:tr>
        <w:trPr>
          <w:cantSplit/>
          <w:tblHeader/>
        </w:trPr>
        <w:tc>
          <w:tcPr>
            <w:tcW w:type="dxa" w:w="1728"/>
            <w:shd w:val="clear" w:color="auto" w:fill="1F3864"/>
          </w:tcPr>
          <w:p>
            <w:pPr>
              <w:spacing w:after="0" w:line="240" w:lineRule="auto"/>
            </w:pPr>
            <w:r>
              <w:rPr>
                <w:b/>
                <w:i w:val="0"/>
                <w:color w:val="FFFFFF"/>
                <w:sz w:val="16"/>
              </w:rPr>
              <w:t>Segment</w:t>
            </w:r>
          </w:p>
        </w:tc>
        <w:tc>
          <w:tcPr>
            <w:tcW w:type="dxa" w:w="3600"/>
            <w:shd w:val="clear" w:color="auto" w:fill="1F3864"/>
          </w:tcPr>
          <w:p>
            <w:pPr>
              <w:spacing w:after="0" w:line="240" w:lineRule="auto"/>
            </w:pPr>
            <w:r>
              <w:rPr>
                <w:b/>
                <w:i w:val="0"/>
                <w:color w:val="FFFFFF"/>
                <w:sz w:val="16"/>
              </w:rPr>
              <w:t>Brand / product</w:t>
            </w:r>
          </w:p>
        </w:tc>
        <w:tc>
          <w:tcPr>
            <w:tcW w:type="dxa" w:w="4464"/>
            <w:shd w:val="clear" w:color="auto" w:fill="1F3864"/>
          </w:tcPr>
          <w:p>
            <w:pPr>
              <w:spacing w:after="0" w:line="240" w:lineRule="auto"/>
            </w:pPr>
            <w:r>
              <w:rPr>
                <w:b/>
                <w:i w:val="0"/>
                <w:color w:val="FFFFFF"/>
                <w:sz w:val="16"/>
              </w:rPr>
              <w:t>Disclosed anchors</w:t>
            </w:r>
          </w:p>
        </w:tc>
      </w:tr>
      <w:tr>
        <w:trPr>
          <w:cantSplit/>
        </w:trPr>
        <w:tc>
          <w:tcPr>
            <w:tcW w:type="dxa" w:w="1728"/>
          </w:tcPr>
          <w:p>
            <w:pPr>
              <w:spacing w:after="0" w:line="240" w:lineRule="auto"/>
            </w:pPr>
            <w:r>
              <w:rPr>
                <w:b w:val="0"/>
                <w:i w:val="0"/>
                <w:sz w:val="16"/>
              </w:rPr>
              <w:t>CARFAX</w:t>
            </w:r>
          </w:p>
        </w:tc>
        <w:tc>
          <w:tcPr>
            <w:tcW w:type="dxa" w:w="3600"/>
          </w:tcPr>
          <w:p>
            <w:pPr>
              <w:spacing w:after="0" w:line="240" w:lineRule="auto"/>
            </w:pPr>
            <w:r>
              <w:rPr>
                <w:b w:val="0"/>
                <w:i w:val="0"/>
                <w:sz w:val="16"/>
              </w:rPr>
              <w:t>Advantage (vehicle history reports)</w:t>
            </w:r>
          </w:p>
        </w:tc>
        <w:tc>
          <w:tcPr>
            <w:tcW w:type="dxa" w:w="4464"/>
          </w:tcPr>
          <w:p>
            <w:pPr>
              <w:spacing w:after="0" w:line="240" w:lineRule="auto"/>
            </w:pPr>
            <w:r>
              <w:rPr>
                <w:b w:val="0"/>
                <w:i w:val="0"/>
                <w:sz w:val="16"/>
              </w:rPr>
              <w:t xml:space="preserve">&lt;40% of CARFAX revenue </w:t>
            </w:r>
            <w:r>
              <w:rPr>
                <w:b/>
                <w:color w:val="2E548C"/>
                <w:sz w:val="13"/>
              </w:rPr>
              <w:t>[IR]</w:t>
            </w:r>
            <w:r>
              <w:rPr>
                <w:b w:val="0"/>
                <w:i w:val="0"/>
                <w:sz w:val="16"/>
              </w:rPr>
              <w:t xml:space="preserve">; ≈38% FY25 per deck </w:t>
            </w:r>
            <w:r>
              <w:rPr>
                <w:b/>
                <w:color w:val="2E548C"/>
                <w:sz w:val="13"/>
              </w:rPr>
              <w:t>[D-deck]</w:t>
            </w:r>
            <w:r>
              <w:rPr>
                <w:b w:val="0"/>
                <w:i w:val="0"/>
                <w:sz w:val="16"/>
              </w:rPr>
              <w:t xml:space="preserve">; 28m+ dealer-presented reports a month </w:t>
            </w:r>
            <w:r>
              <w:rPr>
                <w:b/>
                <w:color w:val="2E548C"/>
                <w:sz w:val="13"/>
              </w:rPr>
              <w:t>[D]</w:t>
            </w:r>
          </w:p>
        </w:tc>
      </w:tr>
      <w:tr>
        <w:trPr>
          <w:cantSplit/>
        </w:trPr>
        <w:tc>
          <w:tcPr>
            <w:tcW w:type="dxa" w:w="1728"/>
            <w:shd w:val="clear" w:color="auto" w:fill="D9E1F2"/>
          </w:tcPr>
          <w:p>
            <w:pPr>
              <w:spacing w:after="0" w:line="240" w:lineRule="auto"/>
            </w:pPr>
            <w:r>
              <w:rPr>
                <w:b w:val="0"/>
                <w:i w:val="0"/>
                <w:sz w:val="16"/>
              </w:rPr>
              <w:t>CARFAX</w:t>
            </w:r>
          </w:p>
        </w:tc>
        <w:tc>
          <w:tcPr>
            <w:tcW w:type="dxa" w:w="3600"/>
            <w:shd w:val="clear" w:color="auto" w:fill="D9E1F2"/>
          </w:tcPr>
          <w:p>
            <w:pPr>
              <w:spacing w:after="0" w:line="240" w:lineRule="auto"/>
            </w:pPr>
            <w:r>
              <w:rPr>
                <w:b w:val="0"/>
                <w:i w:val="0"/>
                <w:sz w:val="16"/>
              </w:rPr>
              <w:t>Car Listings (2014), Showroom (premium listing, Q2-26)</w:t>
            </w:r>
          </w:p>
        </w:tc>
        <w:tc>
          <w:tcPr>
            <w:tcW w:type="dxa" w:w="4464"/>
            <w:shd w:val="clear" w:color="auto" w:fill="D9E1F2"/>
          </w:tcPr>
          <w:p>
            <w:pPr>
              <w:spacing w:after="0" w:line="240" w:lineRule="auto"/>
            </w:pPr>
            <w:r>
              <w:rPr>
                <w:b w:val="0"/>
                <w:i w:val="0"/>
                <w:sz w:val="16"/>
              </w:rPr>
              <w:t xml:space="preserve">≈22% of CARFAX ≈ $251m </w:t>
            </w:r>
            <w:r>
              <w:rPr>
                <w:b/>
                <w:color w:val="2E548C"/>
                <w:sz w:val="13"/>
              </w:rPr>
              <w:t>[C]</w:t>
            </w:r>
            <w:r>
              <w:rPr>
                <w:b w:val="0"/>
                <w:i w:val="0"/>
                <w:sz w:val="16"/>
              </w:rPr>
              <w:t xml:space="preserve">; US listings market &gt;$3bn, CARFAX &lt;10% </w:t>
            </w:r>
            <w:r>
              <w:rPr>
                <w:b/>
                <w:color w:val="2E548C"/>
                <w:sz w:val="13"/>
              </w:rPr>
              <w:t>[IR]</w:t>
            </w:r>
          </w:p>
        </w:tc>
      </w:tr>
      <w:tr>
        <w:trPr>
          <w:cantSplit/>
        </w:trPr>
        <w:tc>
          <w:tcPr>
            <w:tcW w:type="dxa" w:w="1728"/>
          </w:tcPr>
          <w:p>
            <w:pPr>
              <w:spacing w:after="0" w:line="240" w:lineRule="auto"/>
            </w:pPr>
            <w:r>
              <w:rPr>
                <w:b w:val="0"/>
                <w:i w:val="0"/>
                <w:sz w:val="16"/>
              </w:rPr>
              <w:t>CARFAX</w:t>
            </w:r>
          </w:p>
        </w:tc>
        <w:tc>
          <w:tcPr>
            <w:tcW w:type="dxa" w:w="3600"/>
          </w:tcPr>
          <w:p>
            <w:pPr>
              <w:spacing w:after="0" w:line="240" w:lineRule="auto"/>
            </w:pPr>
            <w:r>
              <w:rPr>
                <w:b w:val="0"/>
                <w:i w:val="0"/>
                <w:sz w:val="16"/>
              </w:rPr>
              <w:t>CARFAX For Life / Car Care / Service Loyalty</w:t>
            </w:r>
          </w:p>
        </w:tc>
        <w:tc>
          <w:tcPr>
            <w:tcW w:type="dxa" w:w="4464"/>
          </w:tcPr>
          <w:p>
            <w:pPr>
              <w:spacing w:after="0" w:line="240" w:lineRule="auto"/>
            </w:pPr>
            <w:r>
              <w:rPr>
                <w:b w:val="0"/>
                <w:i w:val="0"/>
                <w:sz w:val="16"/>
              </w:rPr>
              <w:t xml:space="preserve">53m+ Car Care consumers </w:t>
            </w:r>
            <w:r>
              <w:rPr>
                <w:b/>
                <w:color w:val="2E548C"/>
                <w:sz w:val="13"/>
              </w:rPr>
              <w:t>[D]</w:t>
            </w:r>
            <w:r>
              <w:rPr>
                <w:b w:val="0"/>
                <w:i w:val="0"/>
                <w:sz w:val="16"/>
              </w:rPr>
              <w:t xml:space="preserve">; goal reframed from 150m US+CA to &gt;100m US </w:t>
            </w:r>
            <w:r>
              <w:rPr>
                <w:b/>
                <w:color w:val="2E548C"/>
                <w:sz w:val="13"/>
              </w:rPr>
              <w:t>[IR]</w:t>
            </w:r>
          </w:p>
        </w:tc>
      </w:tr>
      <w:tr>
        <w:trPr>
          <w:cantSplit/>
        </w:trPr>
        <w:tc>
          <w:tcPr>
            <w:tcW w:type="dxa" w:w="1728"/>
            <w:shd w:val="clear" w:color="auto" w:fill="D9E1F2"/>
          </w:tcPr>
          <w:p>
            <w:pPr>
              <w:spacing w:after="0" w:line="240" w:lineRule="auto"/>
            </w:pPr>
            <w:r>
              <w:rPr>
                <w:b w:val="0"/>
                <w:i w:val="0"/>
                <w:sz w:val="16"/>
              </w:rPr>
              <w:t>CARFAX</w:t>
            </w:r>
          </w:p>
        </w:tc>
        <w:tc>
          <w:tcPr>
            <w:tcW w:type="dxa" w:w="3600"/>
            <w:shd w:val="clear" w:color="auto" w:fill="D9E1F2"/>
          </w:tcPr>
          <w:p>
            <w:pPr>
              <w:spacing w:after="0" w:line="240" w:lineRule="auto"/>
            </w:pPr>
            <w:r>
              <w:rPr>
                <w:b w:val="0"/>
                <w:i w:val="0"/>
                <w:sz w:val="16"/>
              </w:rPr>
              <w:t>BIG (Banking &amp; Insurance Group)</w:t>
            </w:r>
          </w:p>
        </w:tc>
        <w:tc>
          <w:tcPr>
            <w:tcW w:type="dxa" w:w="4464"/>
            <w:shd w:val="clear" w:color="auto" w:fill="D9E1F2"/>
          </w:tcPr>
          <w:p>
            <w:pPr>
              <w:spacing w:after="0" w:line="240" w:lineRule="auto"/>
            </w:pPr>
            <w:r>
              <w:rPr>
                <w:b w:val="0"/>
                <w:i w:val="0"/>
                <w:sz w:val="16"/>
              </w:rPr>
              <w:t xml:space="preserve">17 of the top 20 banks and insurers </w:t>
            </w:r>
            <w:r>
              <w:rPr>
                <w:b/>
                <w:color w:val="2E548C"/>
                <w:sz w:val="13"/>
              </w:rPr>
              <w:t>[D]</w:t>
            </w:r>
            <w:r>
              <w:rPr>
                <w:b w:val="0"/>
                <w:i w:val="0"/>
                <w:sz w:val="16"/>
              </w:rPr>
              <w:t xml:space="preserve">; underwriting volumes +$17m FY24 / +$13m FY25 </w:t>
            </w:r>
            <w:r>
              <w:rPr>
                <w:b/>
                <w:color w:val="2E548C"/>
                <w:sz w:val="13"/>
              </w:rPr>
              <w:t>[D]</w:t>
            </w:r>
          </w:p>
        </w:tc>
      </w:tr>
      <w:tr>
        <w:trPr>
          <w:cantSplit/>
        </w:trPr>
        <w:tc>
          <w:tcPr>
            <w:tcW w:type="dxa" w:w="1728"/>
          </w:tcPr>
          <w:p>
            <w:pPr>
              <w:spacing w:after="0" w:line="240" w:lineRule="auto"/>
            </w:pPr>
            <w:r>
              <w:rPr>
                <w:b w:val="0"/>
                <w:i w:val="0"/>
                <w:sz w:val="16"/>
              </w:rPr>
              <w:t>CARFAX</w:t>
            </w:r>
          </w:p>
        </w:tc>
        <w:tc>
          <w:tcPr>
            <w:tcW w:type="dxa" w:w="3600"/>
          </w:tcPr>
          <w:p>
            <w:pPr>
              <w:spacing w:after="0" w:line="240" w:lineRule="auto"/>
            </w:pPr>
            <w:r>
              <w:rPr>
                <w:b w:val="0"/>
                <w:i w:val="0"/>
                <w:sz w:val="16"/>
              </w:rPr>
              <w:t>International (Canada via CARPROOF; Spain, Italy, Poland; Germany Jul-26)</w:t>
            </w:r>
          </w:p>
        </w:tc>
        <w:tc>
          <w:tcPr>
            <w:tcW w:type="dxa" w:w="4464"/>
          </w:tcPr>
          <w:p>
            <w:pPr>
              <w:spacing w:after="0" w:line="240" w:lineRule="auto"/>
            </w:pPr>
            <w:r>
              <w:rPr>
                <w:b w:val="0"/>
                <w:i w:val="0"/>
                <w:sz w:val="16"/>
              </w:rPr>
              <w:t xml:space="preserve">CARFAX International revenue $137m / $155m / $168m FY23–25 </w:t>
            </w:r>
            <w:r>
              <w:rPr>
                <w:b/>
                <w:color w:val="2E548C"/>
                <w:sz w:val="13"/>
              </w:rPr>
              <w:t>[D]</w:t>
            </w:r>
          </w:p>
        </w:tc>
      </w:tr>
      <w:tr>
        <w:trPr>
          <w:cantSplit/>
        </w:trPr>
        <w:tc>
          <w:tcPr>
            <w:tcW w:type="dxa" w:w="1728"/>
            <w:shd w:val="clear" w:color="auto" w:fill="D9E1F2"/>
          </w:tcPr>
          <w:p>
            <w:pPr>
              <w:spacing w:after="0" w:line="240" w:lineRule="auto"/>
            </w:pPr>
            <w:r>
              <w:rPr>
                <w:b w:val="0"/>
                <w:i w:val="0"/>
                <w:sz w:val="16"/>
              </w:rPr>
              <w:t>B2B · Marketing &amp; Sales</w:t>
            </w:r>
          </w:p>
        </w:tc>
        <w:tc>
          <w:tcPr>
            <w:tcW w:type="dxa" w:w="3600"/>
            <w:shd w:val="clear" w:color="auto" w:fill="D9E1F2"/>
          </w:tcPr>
          <w:p>
            <w:pPr>
              <w:spacing w:after="0" w:line="240" w:lineRule="auto"/>
            </w:pPr>
            <w:r>
              <w:rPr>
                <w:b w:val="0"/>
                <w:i w:val="0"/>
                <w:sz w:val="16"/>
              </w:rPr>
              <w:t>automotiveMastermind (BPS, EEQ), Polk audiences, Recall, Market Scan, Data Studio, VIN Solutions</w:t>
            </w:r>
          </w:p>
        </w:tc>
        <w:tc>
          <w:tcPr>
            <w:tcW w:type="dxa" w:w="4464"/>
            <w:shd w:val="clear" w:color="auto" w:fill="D9E1F2"/>
          </w:tcPr>
          <w:p>
            <w:pPr>
              <w:spacing w:after="0" w:line="240" w:lineRule="auto"/>
            </w:pPr>
            <w:r>
              <w:rPr>
                <w:b w:val="0"/>
                <w:i w:val="0"/>
                <w:sz w:val="16"/>
              </w:rPr>
              <w:t xml:space="preserve">≈74% of B2B ≈ $450m </w:t>
            </w:r>
            <w:r>
              <w:rPr>
                <w:b/>
                <w:color w:val="2E548C"/>
                <w:sz w:val="13"/>
              </w:rPr>
              <w:t>[C, deck %]</w:t>
            </w:r>
            <w:r>
              <w:rPr>
                <w:b w:val="0"/>
                <w:i w:val="0"/>
                <w:sz w:val="16"/>
              </w:rPr>
              <w:t xml:space="preserve">; aM 3,200 dealers </w:t>
            </w:r>
            <w:r>
              <w:rPr>
                <w:b/>
                <w:color w:val="2E548C"/>
                <w:sz w:val="13"/>
              </w:rPr>
              <w:t>[IR]</w:t>
            </w:r>
            <w:r>
              <w:rPr>
                <w:b w:val="0"/>
                <w:i w:val="0"/>
                <w:sz w:val="16"/>
              </w:rPr>
              <w:t xml:space="preserve">; Market Scan ~10,500 dealerships </w:t>
            </w:r>
            <w:r>
              <w:rPr>
                <w:b/>
                <w:color w:val="2E548C"/>
                <w:sz w:val="13"/>
              </w:rPr>
              <w:t>[D]</w:t>
            </w:r>
          </w:p>
        </w:tc>
      </w:tr>
      <w:tr>
        <w:trPr>
          <w:cantSplit/>
        </w:trPr>
        <w:tc>
          <w:tcPr>
            <w:tcW w:type="dxa" w:w="1728"/>
          </w:tcPr>
          <w:p>
            <w:pPr>
              <w:spacing w:after="0" w:line="240" w:lineRule="auto"/>
            </w:pPr>
            <w:r>
              <w:rPr>
                <w:b w:val="0"/>
                <w:i w:val="0"/>
                <w:sz w:val="16"/>
              </w:rPr>
              <w:t>B2B · Strategy &amp; Planning</w:t>
            </w:r>
          </w:p>
        </w:tc>
        <w:tc>
          <w:tcPr>
            <w:tcW w:type="dxa" w:w="3600"/>
          </w:tcPr>
          <w:p>
            <w:pPr>
              <w:spacing w:after="0" w:line="240" w:lineRule="auto"/>
            </w:pPr>
            <w:r>
              <w:rPr>
                <w:b w:val="0"/>
                <w:i w:val="0"/>
                <w:sz w:val="16"/>
              </w:rPr>
              <w:t>Polk market reporting, Vehicle &amp; Supply-Chain Forecasting, FAST, PIQ, Global Reporting</w:t>
            </w:r>
          </w:p>
        </w:tc>
        <w:tc>
          <w:tcPr>
            <w:tcW w:type="dxa" w:w="4464"/>
          </w:tcPr>
          <w:p>
            <w:pPr>
              <w:spacing w:after="0" w:line="240" w:lineRule="auto"/>
            </w:pPr>
            <w:r>
              <w:rPr>
                <w:b w:val="0"/>
                <w:i w:val="0"/>
                <w:sz w:val="16"/>
              </w:rPr>
              <w:t xml:space="preserve">≈26% of B2B ≈ $158m </w:t>
            </w:r>
            <w:r>
              <w:rPr>
                <w:b/>
                <w:color w:val="2E548C"/>
                <w:sz w:val="13"/>
              </w:rPr>
              <w:t>[C, deck %]</w:t>
            </w:r>
            <w:r>
              <w:rPr>
                <w:b w:val="0"/>
                <w:i w:val="0"/>
                <w:sz w:val="16"/>
              </w:rPr>
              <w:t xml:space="preserve">; 100% of top-40 OEMs, 94% of top-100 suppliers </w:t>
            </w:r>
            <w:r>
              <w:rPr>
                <w:b/>
                <w:color w:val="2E548C"/>
                <w:sz w:val="13"/>
              </w:rPr>
              <w:t>[D]</w:t>
            </w:r>
          </w:p>
        </w:tc>
      </w:tr>
    </w:tbl>
    <w:p>
      <w:pPr>
        <w:spacing w:after="120"/>
      </w:pPr>
      <w:r>
        <w:rPr>
          <w:b w:val="0"/>
          <w:i/>
          <w:color w:val="595959"/>
          <w:sz w:val="15"/>
        </w:rPr>
        <w:t xml:space="preserve">Source: analysis/QUALITATIVE.md §1; D2 (a)/(c)/(f); deck mix percentages are unaudited marketing figures </w:t>
      </w:r>
      <w:r>
        <w:rPr>
          <w:b/>
          <w:color w:val="2E548C"/>
          <w:sz w:val="12"/>
        </w:rPr>
        <w:t>[D-deck]</w:t>
      </w:r>
      <w:r>
        <w:rPr>
          <w:b w:val="0"/>
          <w:i/>
          <w:color w:val="595959"/>
          <w:sz w:val="15"/>
        </w:rPr>
        <w:t>.</w:t>
      </w:r>
    </w:p>
    <w:p>
      <w:r>
        <w:rPr>
          <w:b w:val="0"/>
          <w:i w:val="0"/>
        </w:rPr>
        <w:t xml:space="preserve">Revenue by brand or product is not disclosed in any filing: </w:t>
      </w:r>
      <w:r>
        <w:rPr>
          <w:b/>
          <w:color w:val="E36C09"/>
        </w:rPr>
        <w:t>[TO COLLECT #10: revenue by product (Advantage, Listings, Car Care, BIG, aM, Polk, Market Scan, Planning) from the first 10-K or management]</w:t>
      </w:r>
      <w:r>
        <w:rPr>
          <w:b w:val="0"/>
          <w:i w:val="0"/>
        </w:rPr>
        <w:t xml:space="preserve">; </w:t>
      </w:r>
      <w:r>
        <w:rPr>
          <w:b/>
          <w:color w:val="E36C09"/>
        </w:rPr>
        <w:t>[TO COLLECT #11: B2B business-line revenue in dollars (Marketing &amp; Sales vs Strategy &amp; Planning) for FY23–25]</w:t>
      </w:r>
      <w:r>
        <w:rPr>
          <w:b w:val="0"/>
          <w:i w:val="0"/>
        </w:rPr>
        <w:t>.</w:t>
      </w:r>
    </w:p>
    <w:tbl>
      <w:tblPr>
        <w:tblW w:type="auto" w:w="0"/>
        <w:jc w:val="center"/>
        <w:tblLook w:firstColumn="1" w:firstRow="1" w:lastColumn="0" w:lastRow="0" w:noHBand="0" w:noVBand="1" w:val="04A0"/>
        <w:tblBorders>
          <w:top w:val="nil" w:sz="0" w:space="0" w:color="auto"/>
          <w:left w:val="single" w:sz="24" w:space="0" w:color="1F3864"/>
          <w:bottom w:val="nil" w:sz="0" w:space="0" w:color="auto"/>
          <w:right w:val="nil" w:sz="0" w:space="0" w:color="auto"/>
          <w:insideH w:val="nil" w:sz="0" w:space="0" w:color="auto"/>
          <w:insideV w:val="nil" w:sz="0" w:space="0" w:color="auto"/>
        </w:tblBorders>
        <w:tblCellMar>
          <w:top w:w="90" w:type="dxa"/>
          <w:left w:w="160" w:type="dxa"/>
          <w:bottom w:w="90" w:type="dxa"/>
          <w:right w:w="120" w:type="dxa"/>
        </w:tblCellMar>
      </w:tblPr>
      <w:tblGrid>
        <w:gridCol w:w="8928"/>
      </w:tblGrid>
      <w:tr>
        <w:trPr>
          <w:cantSplit/>
        </w:trPr>
        <w:tc>
          <w:tcPr>
            <w:tcW w:type="dxa" w:w="8928"/>
            <w:shd w:val="clear" w:color="auto" w:fill="EEF2F9"/>
          </w:tcPr>
          <w:p>
            <w:pPr>
              <w:spacing w:after="60"/>
            </w:pPr>
            <w:r>
              <w:rPr>
                <w:i/>
                <w:color w:val="262626"/>
                <w:sz w:val="19"/>
              </w:rPr>
              <w:t>“That's the CARFAX Advantage line you see there. Doesn't even represent 40%, and that's because the other products that we've launched over the years have grown so well.”</w:t>
            </w:r>
          </w:p>
          <w:p>
            <w:pPr>
              <w:spacing w:after="0"/>
            </w:pPr>
            <w:r>
              <w:rPr>
                <w:b w:val="0"/>
                <w:i w:val="0"/>
                <w:color w:val="1F3864"/>
                <w:sz w:val="15"/>
              </w:rPr>
              <w:t xml:space="preserve">— Scott Fredericks (President, CARFAX), Investor Day 2026, 2026-05-12 · Quartr t=5303.95s </w:t>
            </w:r>
            <w:r>
              <w:rPr>
                <w:b/>
                <w:color w:val="2E548C"/>
                <w:sz w:val="12"/>
              </w:rPr>
              <w:t>[IR]</w:t>
            </w:r>
          </w:p>
        </w:tc>
      </w:tr>
    </w:tbl>
    <w:p>
      <w:pPr>
        <w:spacing w:after="40"/>
      </w:pPr>
    </w:p>
    <w:p>
      <w:pPr>
        <w:pStyle w:val="Heading2"/>
      </w:pPr>
      <w:r>
        <w:t>3.3 Revenue model</w:t>
      </w:r>
    </w:p>
    <w:p>
      <w:pPr>
        <w:pStyle w:val="ListBullet"/>
      </w:pPr>
      <w:r>
        <w:rPr>
          <w:b/>
          <w:i w:val="0"/>
        </w:rPr>
        <w:t>Subscription vs transactional.</w:t>
      </w:r>
      <w:r>
        <w:rPr>
          <w:b w:val="0"/>
          <w:i w:val="0"/>
        </w:rPr>
        <w:t xml:space="preserve"> FY25 subscription $1,426m (81%) vs non-subscription $324m (19%) </w:t>
      </w:r>
      <w:r>
        <w:rPr>
          <w:b/>
          <w:color w:val="2E548C"/>
          <w:sz w:val="16"/>
        </w:rPr>
        <w:t>[D]</w:t>
      </w:r>
      <w:r>
        <w:rPr>
          <w:b w:val="0"/>
          <w:i w:val="0"/>
        </w:rPr>
        <w:t xml:space="preserve"> (10A p.349). B2B subscription 76% → 80% → 82% FY23–25 </w:t>
      </w:r>
      <w:r>
        <w:rPr>
          <w:b/>
          <w:color w:val="2E548C"/>
          <w:sz w:val="16"/>
        </w:rPr>
        <w:t>[D]</w:t>
      </w:r>
      <w:r>
        <w:rPr>
          <w:b w:val="0"/>
          <w:i w:val="0"/>
        </w:rPr>
        <w:t>.</w:t>
      </w:r>
    </w:p>
    <w:p>
      <w:pPr>
        <w:pStyle w:val="ListBullet"/>
      </w:pPr>
      <w:r>
        <w:rPr>
          <w:b/>
          <w:i w:val="0"/>
        </w:rPr>
        <w:t xml:space="preserve">CARFAX driver definition </w:t>
      </w:r>
      <w:r>
        <w:rPr>
          <w:b/>
          <w:color w:val="2E548C"/>
          <w:sz w:val="16"/>
        </w:rPr>
        <w:t>[D]</w:t>
      </w:r>
      <w:r>
        <w:rPr>
          <w:b/>
          <w:i w:val="0"/>
        </w:rPr>
        <w:t>:</w:t>
      </w:r>
      <w:r>
        <w:rPr>
          <w:b w:val="0"/>
          <w:i w:val="0"/>
        </w:rPr>
        <w:t xml:space="preserve"> “number of dealer locations enrolled … the average monthly price per location on each product, and the number of BIG customers and their average monthly price per customer” (10A p.340). Neither driver is quantified: </w:t>
      </w:r>
      <w:r>
        <w:rPr>
          <w:b/>
          <w:color w:val="E36C09"/>
        </w:rPr>
        <w:t>[TO COLLECT #12: enrolled CARFAX dealer locations by year and average monthly price per location]</w:t>
      </w:r>
      <w:r>
        <w:rPr>
          <w:b w:val="0"/>
          <w:i w:val="0"/>
        </w:rPr>
        <w:t>.</w:t>
      </w:r>
    </w:p>
    <w:p>
      <w:pPr>
        <w:pStyle w:val="ListBullet"/>
      </w:pPr>
      <w:r>
        <w:rPr>
          <w:b/>
          <w:i w:val="0"/>
        </w:rPr>
        <w:t xml:space="preserve">Pricing mechanics </w:t>
      </w:r>
      <w:r>
        <w:rPr>
          <w:b/>
          <w:color w:val="2E548C"/>
          <w:sz w:val="16"/>
        </w:rPr>
        <w:t>[D]</w:t>
      </w:r>
      <w:r>
        <w:rPr>
          <w:b/>
          <w:i w:val="0"/>
        </w:rPr>
        <w:t>:</w:t>
      </w:r>
      <w:r>
        <w:rPr>
          <w:b w:val="0"/>
          <w:i w:val="0"/>
        </w:rPr>
        <w:t xml:space="preserve"> monthly, annual or multi-year subscriptions; “BIG minimums with usage tiers”; Market Scan API “priced by dealer rooftops”; consumer pay-per-report and volume-based recall outreach are transactional (10A p.341).</w:t>
      </w:r>
    </w:p>
    <w:p>
      <w:pPr>
        <w:pStyle w:val="ListBullet"/>
      </w:pPr>
      <w:r>
        <w:rPr>
          <w:b/>
          <w:i w:val="0"/>
        </w:rPr>
        <w:t xml:space="preserve">Billing and backlog </w:t>
      </w:r>
      <w:r>
        <w:rPr>
          <w:b/>
          <w:color w:val="2E548C"/>
          <w:sz w:val="16"/>
        </w:rPr>
        <w:t>[D]</w:t>
      </w:r>
      <w:r>
        <w:rPr>
          <w:b/>
          <w:i w:val="0"/>
        </w:rPr>
        <w:t>:</w:t>
      </w:r>
      <w:r>
        <w:rPr>
          <w:b w:val="0"/>
          <w:i w:val="0"/>
        </w:rPr>
        <w:t xml:space="preserve"> generally invoiced annually in advance; contracts carry no obligation beyond the initial term; RPO $78m (12/31/25) → $102m (6/30/26), i.e. 5.5% of FY25 subscription revenue </w:t>
      </w:r>
      <w:r>
        <w:rPr>
          <w:b/>
          <w:color w:val="2E548C"/>
          <w:sz w:val="16"/>
        </w:rPr>
        <w:t>[C]</w:t>
      </w:r>
      <w:r>
        <w:rPr>
          <w:b w:val="0"/>
          <w:i w:val="0"/>
        </w:rPr>
        <w:t>.</w:t>
      </w:r>
    </w:p>
    <w:p>
      <w:pPr>
        <w:pStyle w:val="ListBullet"/>
      </w:pPr>
      <w:r>
        <w:rPr>
          <w:b/>
          <w:i w:val="0"/>
        </w:rPr>
        <w:t xml:space="preserve">Concentration </w:t>
      </w:r>
      <w:r>
        <w:rPr>
          <w:b/>
          <w:color w:val="2E548C"/>
          <w:sz w:val="16"/>
        </w:rPr>
        <w:t>[D]</w:t>
      </w:r>
      <w:r>
        <w:rPr>
          <w:b/>
          <w:i w:val="0"/>
        </w:rPr>
        <w:t>:</w:t>
      </w:r>
      <w:r>
        <w:rPr>
          <w:b w:val="0"/>
          <w:i w:val="0"/>
        </w:rPr>
        <w:t xml:space="preserve"> no customer ≥10% of revenue (FY23–25) or of receivables.</w:t>
      </w:r>
    </w:p>
    <w:p>
      <w:pPr>
        <w:keepNext/>
        <w:spacing w:before="80" w:after="40"/>
      </w:pPr>
      <w:r>
        <w:rPr>
          <w:b/>
          <w:i w:val="0"/>
          <w:color w:val="1F3864"/>
          <w:sz w:val="17"/>
        </w:rPr>
        <w:t>Exhibit 3.3 — Revenue by customer group, FY25 (two bases)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872"/>
        <w:gridCol w:w="1296"/>
        <w:gridCol w:w="1007"/>
        <w:gridCol w:w="1440"/>
        <w:gridCol w:w="2015"/>
        <w:gridCol w:w="2160"/>
      </w:tblGrid>
      <w:tr>
        <w:trPr>
          <w:cantSplit/>
          <w:tblHeader/>
        </w:trPr>
        <w:tc>
          <w:tcPr>
            <w:tcW w:type="dxa" w:w="1872"/>
            <w:shd w:val="clear" w:color="auto" w:fill="1F3864"/>
          </w:tcPr>
          <w:p>
            <w:pPr>
              <w:spacing w:after="0" w:line="240" w:lineRule="auto"/>
            </w:pPr>
            <w:r>
              <w:rPr>
                <w:b/>
                <w:i w:val="0"/>
                <w:color w:val="FFFFFF"/>
                <w:sz w:val="16"/>
              </w:rPr>
              <w:t>Basis</w:t>
            </w:r>
          </w:p>
        </w:tc>
        <w:tc>
          <w:tcPr>
            <w:tcW w:type="dxa" w:w="1296"/>
            <w:shd w:val="clear" w:color="auto" w:fill="1F3864"/>
          </w:tcPr>
          <w:p>
            <w:pPr>
              <w:spacing w:after="0" w:line="240" w:lineRule="auto"/>
            </w:pPr>
            <w:r>
              <w:rPr>
                <w:b/>
                <w:i w:val="0"/>
                <w:color w:val="FFFFFF"/>
                <w:sz w:val="16"/>
              </w:rPr>
              <w:t>Dealers</w:t>
            </w:r>
          </w:p>
        </w:tc>
        <w:tc>
          <w:tcPr>
            <w:tcW w:type="dxa" w:w="1008"/>
            <w:shd w:val="clear" w:color="auto" w:fill="1F3864"/>
          </w:tcPr>
          <w:p>
            <w:pPr>
              <w:spacing w:after="0" w:line="240" w:lineRule="auto"/>
            </w:pPr>
            <w:r>
              <w:rPr>
                <w:b/>
                <w:i w:val="0"/>
                <w:color w:val="FFFFFF"/>
                <w:sz w:val="16"/>
              </w:rPr>
              <w:t>OEM</w:t>
            </w:r>
          </w:p>
        </w:tc>
        <w:tc>
          <w:tcPr>
            <w:tcW w:type="dxa" w:w="1440"/>
            <w:shd w:val="clear" w:color="auto" w:fill="1F3864"/>
          </w:tcPr>
          <w:p>
            <w:pPr>
              <w:spacing w:after="0" w:line="240" w:lineRule="auto"/>
            </w:pPr>
            <w:r>
              <w:rPr>
                <w:b/>
                <w:i w:val="0"/>
                <w:color w:val="FFFFFF"/>
                <w:sz w:val="16"/>
              </w:rPr>
              <w:t>OEM &amp; supplier</w:t>
            </w:r>
          </w:p>
        </w:tc>
        <w:tc>
          <w:tcPr>
            <w:tcW w:type="dxa" w:w="2016"/>
            <w:shd w:val="clear" w:color="auto" w:fill="1F3864"/>
          </w:tcPr>
          <w:p>
            <w:pPr>
              <w:spacing w:after="0" w:line="240" w:lineRule="auto"/>
            </w:pPr>
            <w:r>
              <w:rPr>
                <w:b/>
                <w:i w:val="0"/>
                <w:color w:val="FFFFFF"/>
                <w:sz w:val="16"/>
              </w:rPr>
              <w:t>Financial / consumer / other</w:t>
            </w:r>
          </w:p>
        </w:tc>
        <w:tc>
          <w:tcPr>
            <w:tcW w:type="dxa" w:w="2160"/>
            <w:shd w:val="clear" w:color="auto" w:fill="1F3864"/>
          </w:tcPr>
          <w:p>
            <w:pPr>
              <w:spacing w:after="0" w:line="240" w:lineRule="auto"/>
            </w:pPr>
            <w:r>
              <w:rPr>
                <w:b/>
                <w:i w:val="0"/>
                <w:color w:val="FFFFFF"/>
                <w:sz w:val="16"/>
              </w:rPr>
              <w:t>Source</w:t>
            </w:r>
          </w:p>
        </w:tc>
      </w:tr>
      <w:tr>
        <w:trPr>
          <w:cantSplit/>
        </w:trPr>
        <w:tc>
          <w:tcPr>
            <w:tcW w:type="dxa" w:w="1872"/>
          </w:tcPr>
          <w:p>
            <w:pPr>
              <w:spacing w:after="0" w:line="240" w:lineRule="auto"/>
            </w:pPr>
            <w:r>
              <w:rPr>
                <w:b w:val="0"/>
                <w:i w:val="0"/>
                <w:sz w:val="16"/>
              </w:rPr>
              <w:t>Filing</w:t>
            </w:r>
          </w:p>
        </w:tc>
        <w:tc>
          <w:tcPr>
            <w:tcW w:type="dxa" w:w="1296"/>
          </w:tcPr>
          <w:p>
            <w:pPr>
              <w:spacing w:after="0" w:line="240" w:lineRule="auto"/>
            </w:pPr>
            <w:r>
              <w:rPr>
                <w:b w:val="0"/>
                <w:i w:val="0"/>
                <w:sz w:val="16"/>
              </w:rPr>
              <w:t>~60%</w:t>
            </w:r>
          </w:p>
        </w:tc>
        <w:tc>
          <w:tcPr>
            <w:tcW w:type="dxa" w:w="1008"/>
          </w:tcPr>
          <w:p>
            <w:pPr>
              <w:spacing w:after="0" w:line="240" w:lineRule="auto"/>
            </w:pPr>
            <w:r>
              <w:rPr>
                <w:b w:val="0"/>
                <w:i w:val="0"/>
                <w:sz w:val="16"/>
              </w:rPr>
              <w:t>~10%</w:t>
            </w:r>
          </w:p>
        </w:tc>
        <w:tc>
          <w:tcPr>
            <w:tcW w:type="dxa" w:w="1440"/>
          </w:tcPr>
          <w:p>
            <w:pPr>
              <w:spacing w:after="0" w:line="240" w:lineRule="auto"/>
            </w:pPr>
            <w:r>
              <w:rPr>
                <w:b w:val="0"/>
                <w:i w:val="0"/>
                <w:sz w:val="16"/>
              </w:rPr>
              <w:t>—</w:t>
            </w:r>
          </w:p>
        </w:tc>
        <w:tc>
          <w:tcPr>
            <w:tcW w:type="dxa" w:w="2016"/>
          </w:tcPr>
          <w:p>
            <w:pPr>
              <w:spacing w:after="0" w:line="240" w:lineRule="auto"/>
            </w:pPr>
            <w:r>
              <w:rPr>
                <w:b w:val="0"/>
                <w:i w:val="0"/>
                <w:sz w:val="16"/>
              </w:rPr>
              <w:t>—</w:t>
            </w:r>
          </w:p>
        </w:tc>
        <w:tc>
          <w:tcPr>
            <w:tcW w:type="dxa" w:w="2160"/>
          </w:tcPr>
          <w:p>
            <w:pPr>
              <w:spacing w:after="0" w:line="240" w:lineRule="auto"/>
            </w:pPr>
            <w:r>
              <w:rPr>
                <w:b w:val="0"/>
                <w:i w:val="0"/>
                <w:sz w:val="16"/>
              </w:rPr>
              <w:t xml:space="preserve">10A p.299 </w:t>
            </w:r>
            <w:r>
              <w:rPr>
                <w:b/>
                <w:color w:val="2E548C"/>
                <w:sz w:val="13"/>
              </w:rPr>
              <w:t>[D]</w:t>
            </w:r>
          </w:p>
        </w:tc>
      </w:tr>
      <w:tr>
        <w:trPr>
          <w:cantSplit/>
        </w:trPr>
        <w:tc>
          <w:tcPr>
            <w:tcW w:type="dxa" w:w="1872"/>
            <w:shd w:val="clear" w:color="auto" w:fill="D9E1F2"/>
          </w:tcPr>
          <w:p>
            <w:pPr>
              <w:spacing w:after="0" w:line="240" w:lineRule="auto"/>
            </w:pPr>
            <w:r>
              <w:rPr>
                <w:b w:val="0"/>
                <w:i w:val="0"/>
                <w:sz w:val="16"/>
              </w:rPr>
              <w:t>Investor Day deck</w:t>
            </w:r>
          </w:p>
        </w:tc>
        <w:tc>
          <w:tcPr>
            <w:tcW w:type="dxa" w:w="1296"/>
            <w:shd w:val="clear" w:color="auto" w:fill="D9E1F2"/>
          </w:tcPr>
          <w:p>
            <w:pPr>
              <w:spacing w:after="0" w:line="240" w:lineRule="auto"/>
            </w:pPr>
            <w:r>
              <w:rPr>
                <w:b w:val="0"/>
                <w:i w:val="0"/>
                <w:sz w:val="16"/>
              </w:rPr>
              <w:t>62% (B2B + CARFAX)</w:t>
            </w:r>
          </w:p>
        </w:tc>
        <w:tc>
          <w:tcPr>
            <w:tcW w:type="dxa" w:w="1008"/>
            <w:shd w:val="clear" w:color="auto" w:fill="D9E1F2"/>
          </w:tcPr>
          <w:p>
            <w:pPr>
              <w:spacing w:after="0" w:line="240" w:lineRule="auto"/>
            </w:pPr>
            <w:r>
              <w:rPr>
                <w:b w:val="0"/>
                <w:i w:val="0"/>
                <w:sz w:val="16"/>
              </w:rPr>
              <w:t>—</w:t>
            </w:r>
          </w:p>
        </w:tc>
        <w:tc>
          <w:tcPr>
            <w:tcW w:type="dxa" w:w="1440"/>
            <w:shd w:val="clear" w:color="auto" w:fill="D9E1F2"/>
          </w:tcPr>
          <w:p>
            <w:pPr>
              <w:spacing w:after="0" w:line="240" w:lineRule="auto"/>
            </w:pPr>
            <w:r>
              <w:rPr>
                <w:b w:val="0"/>
                <w:i w:val="0"/>
                <w:sz w:val="16"/>
              </w:rPr>
              <w:t>20%</w:t>
            </w:r>
          </w:p>
        </w:tc>
        <w:tc>
          <w:tcPr>
            <w:tcW w:type="dxa" w:w="2016"/>
            <w:shd w:val="clear" w:color="auto" w:fill="D9E1F2"/>
          </w:tcPr>
          <w:p>
            <w:pPr>
              <w:spacing w:after="0" w:line="240" w:lineRule="auto"/>
            </w:pPr>
            <w:r>
              <w:rPr>
                <w:b w:val="0"/>
                <w:i w:val="0"/>
                <w:sz w:val="16"/>
              </w:rPr>
              <w:t>18%</w:t>
            </w:r>
          </w:p>
        </w:tc>
        <w:tc>
          <w:tcPr>
            <w:tcW w:type="dxa" w:w="2160"/>
            <w:shd w:val="clear" w:color="auto" w:fill="D9E1F2"/>
          </w:tcPr>
          <w:p>
            <w:pPr>
              <w:spacing w:after="0" w:line="240" w:lineRule="auto"/>
            </w:pPr>
            <w:r>
              <w:rPr>
                <w:b w:val="0"/>
                <w:i w:val="0"/>
                <w:sz w:val="16"/>
              </w:rPr>
              <w:t xml:space="preserve">PRES s.10/93 </w:t>
            </w:r>
            <w:r>
              <w:rPr>
                <w:b/>
                <w:color w:val="2E548C"/>
                <w:sz w:val="13"/>
              </w:rPr>
              <w:t>[IR]</w:t>
            </w:r>
          </w:p>
        </w:tc>
      </w:tr>
    </w:tbl>
    <w:p>
      <w:pPr>
        <w:spacing w:after="120"/>
      </w:pPr>
      <w:r>
        <w:rPr>
          <w:b w:val="0"/>
          <w:i/>
          <w:color w:val="595959"/>
          <w:sz w:val="15"/>
        </w:rPr>
        <w:t xml:space="preserve">Source: analysis/D6_value_prop.md. The filing and deck bases differ and are non-additive; on the deck basis dealers ≈ $1,085m, OEM &amp; supplier ≈ $350m, financial/consumer/other ≈ $315m </w:t>
      </w:r>
      <w:r>
        <w:rPr>
          <w:b/>
          <w:color w:val="2E548C"/>
          <w:sz w:val="12"/>
        </w:rPr>
        <w:t>[C]</w:t>
      </w:r>
      <w:r>
        <w:rPr>
          <w:b w:val="0"/>
          <w:i/>
          <w:color w:val="595959"/>
          <w:sz w:val="15"/>
        </w:rPr>
        <w:t>.</w:t>
      </w:r>
    </w:p>
    <w:p>
      <w:pPr>
        <w:keepNext/>
        <w:spacing w:before="80" w:after="40"/>
      </w:pPr>
      <w:r>
        <w:rPr>
          <w:b/>
          <w:i w:val="0"/>
          <w:color w:val="1F3864"/>
          <w:sz w:val="17"/>
        </w:rPr>
        <w:t xml:space="preserve">Exhibit 3.4 — Revenue by geography </w:t>
      </w:r>
      <w:r>
        <w:rPr>
          <w:b/>
          <w:color w:val="2E548C"/>
          <w:sz w:val="14"/>
        </w:rPr>
        <w:t>[D]</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688"/>
        <w:gridCol w:w="1688"/>
        <w:gridCol w:w="1688"/>
        <w:gridCol w:w="1350"/>
        <w:gridCol w:w="1350"/>
        <w:gridCol w:w="2025"/>
      </w:tblGrid>
      <w:tr>
        <w:trPr>
          <w:cantSplit/>
          <w:tblHeader/>
        </w:trPr>
        <w:tc>
          <w:tcPr>
            <w:tcW w:type="dxa" w:w="1688"/>
            <w:shd w:val="clear" w:color="auto" w:fill="1F3864"/>
          </w:tcPr>
          <w:p>
            <w:pPr>
              <w:spacing w:after="0" w:line="240" w:lineRule="auto"/>
            </w:pPr>
            <w:r>
              <w:rPr>
                <w:b/>
                <w:i w:val="0"/>
                <w:color w:val="FFFFFF"/>
                <w:sz w:val="16"/>
              </w:rPr>
              <w:t>Period</w:t>
            </w:r>
          </w:p>
        </w:tc>
        <w:tc>
          <w:tcPr>
            <w:tcW w:type="dxa" w:w="1688"/>
            <w:shd w:val="clear" w:color="auto" w:fill="1F3864"/>
          </w:tcPr>
          <w:p>
            <w:pPr>
              <w:spacing w:after="0" w:line="240" w:lineRule="auto"/>
              <w:jc w:val="right"/>
            </w:pPr>
            <w:r>
              <w:rPr>
                <w:b/>
                <w:i w:val="0"/>
                <w:color w:val="FFFFFF"/>
                <w:sz w:val="16"/>
              </w:rPr>
              <w:t>U.S. $m</w:t>
            </w:r>
          </w:p>
        </w:tc>
        <w:tc>
          <w:tcPr>
            <w:tcW w:type="dxa" w:w="1688"/>
            <w:shd w:val="clear" w:color="auto" w:fill="1F3864"/>
          </w:tcPr>
          <w:p>
            <w:pPr>
              <w:spacing w:after="0" w:line="240" w:lineRule="auto"/>
              <w:jc w:val="right"/>
            </w:pPr>
            <w:r>
              <w:rPr>
                <w:b/>
                <w:i w:val="0"/>
                <w:color w:val="FFFFFF"/>
                <w:sz w:val="16"/>
              </w:rPr>
              <w:t>Intl $m</w:t>
            </w:r>
          </w:p>
        </w:tc>
        <w:tc>
          <w:tcPr>
            <w:tcW w:type="dxa" w:w="1351"/>
            <w:shd w:val="clear" w:color="auto" w:fill="1F3864"/>
          </w:tcPr>
          <w:p>
            <w:pPr>
              <w:spacing w:after="0" w:line="240" w:lineRule="auto"/>
              <w:jc w:val="right"/>
            </w:pPr>
            <w:r>
              <w:rPr>
                <w:b/>
                <w:i w:val="0"/>
                <w:color w:val="FFFFFF"/>
                <w:sz w:val="16"/>
              </w:rPr>
              <w:t>U.S. %</w:t>
            </w:r>
          </w:p>
        </w:tc>
        <w:tc>
          <w:tcPr>
            <w:tcW w:type="dxa" w:w="1351"/>
            <w:shd w:val="clear" w:color="auto" w:fill="1F3864"/>
          </w:tcPr>
          <w:p>
            <w:pPr>
              <w:spacing w:after="0" w:line="240" w:lineRule="auto"/>
              <w:jc w:val="right"/>
            </w:pPr>
            <w:r>
              <w:rPr>
                <w:b/>
                <w:i w:val="0"/>
                <w:color w:val="FFFFFF"/>
                <w:sz w:val="16"/>
              </w:rPr>
              <w:t>Intl %</w:t>
            </w:r>
          </w:p>
        </w:tc>
        <w:tc>
          <w:tcPr>
            <w:tcW w:type="dxa" w:w="2026"/>
            <w:shd w:val="clear" w:color="auto" w:fill="1F3864"/>
          </w:tcPr>
          <w:p>
            <w:pPr>
              <w:spacing w:after="0" w:line="240" w:lineRule="auto"/>
            </w:pPr>
            <w:r>
              <w:rPr>
                <w:b/>
                <w:i w:val="0"/>
                <w:color w:val="FFFFFF"/>
                <w:sz w:val="16"/>
              </w:rPr>
              <w:t>Source</w:t>
            </w:r>
          </w:p>
        </w:tc>
      </w:tr>
      <w:tr>
        <w:trPr>
          <w:cantSplit/>
        </w:trPr>
        <w:tc>
          <w:tcPr>
            <w:tcW w:type="dxa" w:w="1688"/>
          </w:tcPr>
          <w:p>
            <w:pPr>
              <w:spacing w:after="0" w:line="240" w:lineRule="auto"/>
            </w:pPr>
            <w:r>
              <w:rPr>
                <w:b w:val="0"/>
                <w:i w:val="0"/>
                <w:sz w:val="16"/>
              </w:rPr>
              <w:t>FY2023</w:t>
            </w:r>
          </w:p>
        </w:tc>
        <w:tc>
          <w:tcPr>
            <w:tcW w:type="dxa" w:w="1688"/>
          </w:tcPr>
          <w:p>
            <w:pPr>
              <w:spacing w:after="0" w:line="240" w:lineRule="auto"/>
              <w:jc w:val="right"/>
            </w:pPr>
            <w:r>
              <w:rPr>
                <w:b w:val="0"/>
                <w:i w:val="0"/>
                <w:sz w:val="16"/>
              </w:rPr>
              <w:t>1,224</w:t>
            </w:r>
          </w:p>
        </w:tc>
        <w:tc>
          <w:tcPr>
            <w:tcW w:type="dxa" w:w="1688"/>
          </w:tcPr>
          <w:p>
            <w:pPr>
              <w:spacing w:after="0" w:line="240" w:lineRule="auto"/>
              <w:jc w:val="right"/>
            </w:pPr>
            <w:r>
              <w:rPr>
                <w:b w:val="0"/>
                <w:i w:val="0"/>
                <w:sz w:val="16"/>
              </w:rPr>
              <w:t>261</w:t>
            </w:r>
          </w:p>
        </w:tc>
        <w:tc>
          <w:tcPr>
            <w:tcW w:type="dxa" w:w="1351"/>
          </w:tcPr>
          <w:p>
            <w:pPr>
              <w:spacing w:after="0" w:line="240" w:lineRule="auto"/>
              <w:jc w:val="right"/>
            </w:pPr>
            <w:r>
              <w:rPr>
                <w:b w:val="0"/>
                <w:i w:val="0"/>
                <w:sz w:val="16"/>
              </w:rPr>
              <w:t>82%</w:t>
            </w:r>
          </w:p>
        </w:tc>
        <w:tc>
          <w:tcPr>
            <w:tcW w:type="dxa" w:w="1351"/>
          </w:tcPr>
          <w:p>
            <w:pPr>
              <w:spacing w:after="0" w:line="240" w:lineRule="auto"/>
              <w:jc w:val="right"/>
            </w:pPr>
            <w:r>
              <w:rPr>
                <w:b w:val="0"/>
                <w:i w:val="0"/>
                <w:sz w:val="16"/>
              </w:rPr>
              <w:t>18%</w:t>
            </w:r>
          </w:p>
        </w:tc>
        <w:tc>
          <w:tcPr>
            <w:tcW w:type="dxa" w:w="2026"/>
          </w:tcPr>
          <w:p>
            <w:pPr>
              <w:spacing w:after="0" w:line="240" w:lineRule="auto"/>
            </w:pPr>
            <w:r>
              <w:rPr>
                <w:b w:val="0"/>
                <w:i w:val="0"/>
                <w:sz w:val="16"/>
              </w:rPr>
              <w:t>10A p.349</w:t>
            </w:r>
          </w:p>
        </w:tc>
      </w:tr>
      <w:tr>
        <w:trPr>
          <w:cantSplit/>
        </w:trPr>
        <w:tc>
          <w:tcPr>
            <w:tcW w:type="dxa" w:w="1688"/>
            <w:shd w:val="clear" w:color="auto" w:fill="D9E1F2"/>
          </w:tcPr>
          <w:p>
            <w:pPr>
              <w:spacing w:after="0" w:line="240" w:lineRule="auto"/>
            </w:pPr>
            <w:r>
              <w:rPr>
                <w:b w:val="0"/>
                <w:i w:val="0"/>
                <w:sz w:val="16"/>
              </w:rPr>
              <w:t>FY2024</w:t>
            </w:r>
          </w:p>
        </w:tc>
        <w:tc>
          <w:tcPr>
            <w:tcW w:type="dxa" w:w="1688"/>
            <w:shd w:val="clear" w:color="auto" w:fill="D9E1F2"/>
          </w:tcPr>
          <w:p>
            <w:pPr>
              <w:spacing w:after="0" w:line="240" w:lineRule="auto"/>
              <w:jc w:val="right"/>
            </w:pPr>
            <w:r>
              <w:rPr>
                <w:b w:val="0"/>
                <w:i w:val="0"/>
                <w:sz w:val="16"/>
              </w:rPr>
              <w:t>1,329</w:t>
            </w:r>
          </w:p>
        </w:tc>
        <w:tc>
          <w:tcPr>
            <w:tcW w:type="dxa" w:w="1688"/>
            <w:shd w:val="clear" w:color="auto" w:fill="D9E1F2"/>
          </w:tcPr>
          <w:p>
            <w:pPr>
              <w:spacing w:after="0" w:line="240" w:lineRule="auto"/>
              <w:jc w:val="right"/>
            </w:pPr>
            <w:r>
              <w:rPr>
                <w:b w:val="0"/>
                <w:i w:val="0"/>
                <w:sz w:val="16"/>
              </w:rPr>
              <w:t>284</w:t>
            </w:r>
          </w:p>
        </w:tc>
        <w:tc>
          <w:tcPr>
            <w:tcW w:type="dxa" w:w="1351"/>
            <w:shd w:val="clear" w:color="auto" w:fill="D9E1F2"/>
          </w:tcPr>
          <w:p>
            <w:pPr>
              <w:spacing w:after="0" w:line="240" w:lineRule="auto"/>
              <w:jc w:val="right"/>
            </w:pPr>
            <w:r>
              <w:rPr>
                <w:b w:val="0"/>
                <w:i w:val="0"/>
                <w:sz w:val="16"/>
              </w:rPr>
              <w:t>82%</w:t>
            </w:r>
          </w:p>
        </w:tc>
        <w:tc>
          <w:tcPr>
            <w:tcW w:type="dxa" w:w="1351"/>
            <w:shd w:val="clear" w:color="auto" w:fill="D9E1F2"/>
          </w:tcPr>
          <w:p>
            <w:pPr>
              <w:spacing w:after="0" w:line="240" w:lineRule="auto"/>
              <w:jc w:val="right"/>
            </w:pPr>
            <w:r>
              <w:rPr>
                <w:b w:val="0"/>
                <w:i w:val="0"/>
                <w:sz w:val="16"/>
              </w:rPr>
              <w:t>18%</w:t>
            </w:r>
          </w:p>
        </w:tc>
        <w:tc>
          <w:tcPr>
            <w:tcW w:type="dxa" w:w="2026"/>
            <w:shd w:val="clear" w:color="auto" w:fill="D9E1F2"/>
          </w:tcPr>
          <w:p>
            <w:pPr>
              <w:spacing w:after="0" w:line="240" w:lineRule="auto"/>
            </w:pPr>
            <w:r>
              <w:rPr>
                <w:b w:val="0"/>
                <w:i w:val="0"/>
                <w:sz w:val="16"/>
              </w:rPr>
              <w:t>10A p.349</w:t>
            </w:r>
          </w:p>
        </w:tc>
      </w:tr>
      <w:tr>
        <w:trPr>
          <w:cantSplit/>
        </w:trPr>
        <w:tc>
          <w:tcPr>
            <w:tcW w:type="dxa" w:w="1688"/>
          </w:tcPr>
          <w:p>
            <w:pPr>
              <w:spacing w:after="0" w:line="240" w:lineRule="auto"/>
            </w:pPr>
            <w:r>
              <w:rPr>
                <w:b w:val="0"/>
                <w:i w:val="0"/>
                <w:sz w:val="16"/>
              </w:rPr>
              <w:t>FY2025</w:t>
            </w:r>
          </w:p>
        </w:tc>
        <w:tc>
          <w:tcPr>
            <w:tcW w:type="dxa" w:w="1688"/>
          </w:tcPr>
          <w:p>
            <w:pPr>
              <w:spacing w:after="0" w:line="240" w:lineRule="auto"/>
              <w:jc w:val="right"/>
            </w:pPr>
            <w:r>
              <w:rPr>
                <w:b w:val="0"/>
                <w:i w:val="0"/>
                <w:sz w:val="16"/>
              </w:rPr>
              <w:t>1,454</w:t>
            </w:r>
          </w:p>
        </w:tc>
        <w:tc>
          <w:tcPr>
            <w:tcW w:type="dxa" w:w="1688"/>
          </w:tcPr>
          <w:p>
            <w:pPr>
              <w:spacing w:after="0" w:line="240" w:lineRule="auto"/>
              <w:jc w:val="right"/>
            </w:pPr>
            <w:r>
              <w:rPr>
                <w:b w:val="0"/>
                <w:i w:val="0"/>
                <w:sz w:val="16"/>
              </w:rPr>
              <w:t>296</w:t>
            </w:r>
          </w:p>
        </w:tc>
        <w:tc>
          <w:tcPr>
            <w:tcW w:type="dxa" w:w="1351"/>
          </w:tcPr>
          <w:p>
            <w:pPr>
              <w:spacing w:after="0" w:line="240" w:lineRule="auto"/>
              <w:jc w:val="right"/>
            </w:pPr>
            <w:r>
              <w:rPr>
                <w:b w:val="0"/>
                <w:i w:val="0"/>
                <w:sz w:val="16"/>
              </w:rPr>
              <w:t>83%</w:t>
            </w:r>
          </w:p>
        </w:tc>
        <w:tc>
          <w:tcPr>
            <w:tcW w:type="dxa" w:w="1351"/>
          </w:tcPr>
          <w:p>
            <w:pPr>
              <w:spacing w:after="0" w:line="240" w:lineRule="auto"/>
              <w:jc w:val="right"/>
            </w:pPr>
            <w:r>
              <w:rPr>
                <w:b w:val="0"/>
                <w:i w:val="0"/>
                <w:sz w:val="16"/>
              </w:rPr>
              <w:t>17%</w:t>
            </w:r>
          </w:p>
        </w:tc>
        <w:tc>
          <w:tcPr>
            <w:tcW w:type="dxa" w:w="2026"/>
          </w:tcPr>
          <w:p>
            <w:pPr>
              <w:spacing w:after="0" w:line="240" w:lineRule="auto"/>
            </w:pPr>
            <w:r>
              <w:rPr>
                <w:b w:val="0"/>
                <w:i w:val="0"/>
                <w:sz w:val="16"/>
              </w:rPr>
              <w:t>10A p.349</w:t>
            </w:r>
          </w:p>
        </w:tc>
      </w:tr>
      <w:tr>
        <w:trPr>
          <w:cantSplit/>
        </w:trPr>
        <w:tc>
          <w:tcPr>
            <w:tcW w:type="dxa" w:w="1688"/>
            <w:shd w:val="clear" w:color="auto" w:fill="D9E1F2"/>
          </w:tcPr>
          <w:p>
            <w:pPr>
              <w:spacing w:after="0" w:line="240" w:lineRule="auto"/>
            </w:pPr>
            <w:r>
              <w:rPr>
                <w:b w:val="0"/>
                <w:i w:val="0"/>
                <w:sz w:val="16"/>
              </w:rPr>
              <w:t>Q1-2026</w:t>
            </w:r>
          </w:p>
        </w:tc>
        <w:tc>
          <w:tcPr>
            <w:tcW w:type="dxa" w:w="1688"/>
            <w:shd w:val="clear" w:color="auto" w:fill="D9E1F2"/>
          </w:tcPr>
          <w:p>
            <w:pPr>
              <w:spacing w:after="0" w:line="240" w:lineRule="auto"/>
              <w:jc w:val="right"/>
            </w:pPr>
            <w:r>
              <w:rPr>
                <w:b w:val="0"/>
                <w:i w:val="0"/>
                <w:sz w:val="16"/>
              </w:rPr>
              <w:t>376</w:t>
            </w:r>
          </w:p>
        </w:tc>
        <w:tc>
          <w:tcPr>
            <w:tcW w:type="dxa" w:w="1688"/>
            <w:shd w:val="clear" w:color="auto" w:fill="D9E1F2"/>
          </w:tcPr>
          <w:p>
            <w:pPr>
              <w:spacing w:after="0" w:line="240" w:lineRule="auto"/>
              <w:jc w:val="right"/>
            </w:pPr>
            <w:r>
              <w:rPr>
                <w:b w:val="0"/>
                <w:i w:val="0"/>
                <w:sz w:val="16"/>
              </w:rPr>
              <w:t>79</w:t>
            </w:r>
          </w:p>
        </w:tc>
        <w:tc>
          <w:tcPr>
            <w:tcW w:type="dxa" w:w="1351"/>
            <w:shd w:val="clear" w:color="auto" w:fill="D9E1F2"/>
          </w:tcPr>
          <w:p>
            <w:pPr>
              <w:spacing w:after="0" w:line="240" w:lineRule="auto"/>
              <w:jc w:val="right"/>
            </w:pPr>
            <w:r>
              <w:rPr>
                <w:b w:val="0"/>
                <w:i w:val="0"/>
                <w:sz w:val="16"/>
              </w:rPr>
              <w:t>83%</w:t>
            </w:r>
          </w:p>
        </w:tc>
        <w:tc>
          <w:tcPr>
            <w:tcW w:type="dxa" w:w="1351"/>
            <w:shd w:val="clear" w:color="auto" w:fill="D9E1F2"/>
          </w:tcPr>
          <w:p>
            <w:pPr>
              <w:spacing w:after="0" w:line="240" w:lineRule="auto"/>
              <w:jc w:val="right"/>
            </w:pPr>
            <w:r>
              <w:rPr>
                <w:b w:val="0"/>
                <w:i w:val="0"/>
                <w:sz w:val="16"/>
              </w:rPr>
              <w:t>17%</w:t>
            </w:r>
          </w:p>
        </w:tc>
        <w:tc>
          <w:tcPr>
            <w:tcW w:type="dxa" w:w="2026"/>
            <w:shd w:val="clear" w:color="auto" w:fill="D9E1F2"/>
          </w:tcPr>
          <w:p>
            <w:pPr>
              <w:spacing w:after="0" w:line="240" w:lineRule="auto"/>
            </w:pPr>
            <w:r>
              <w:rPr>
                <w:b w:val="0"/>
                <w:i w:val="0"/>
                <w:sz w:val="16"/>
              </w:rPr>
              <w:t>10A p.346</w:t>
            </w:r>
          </w:p>
        </w:tc>
      </w:tr>
      <w:tr>
        <w:trPr>
          <w:cantSplit/>
        </w:trPr>
        <w:tc>
          <w:tcPr>
            <w:tcW w:type="dxa" w:w="1688"/>
          </w:tcPr>
          <w:p>
            <w:pPr>
              <w:spacing w:after="0" w:line="240" w:lineRule="auto"/>
            </w:pPr>
            <w:r>
              <w:rPr>
                <w:b w:val="0"/>
                <w:i w:val="0"/>
                <w:sz w:val="16"/>
              </w:rPr>
              <w:t>Q2-2026</w:t>
            </w:r>
          </w:p>
        </w:tc>
        <w:tc>
          <w:tcPr>
            <w:tcW w:type="dxa" w:w="1688"/>
          </w:tcPr>
          <w:p>
            <w:pPr>
              <w:spacing w:after="0" w:line="240" w:lineRule="auto"/>
              <w:jc w:val="right"/>
            </w:pPr>
            <w:r>
              <w:rPr>
                <w:b w:val="0"/>
                <w:i w:val="0"/>
                <w:sz w:val="16"/>
              </w:rPr>
              <w:t>389</w:t>
            </w:r>
          </w:p>
        </w:tc>
        <w:tc>
          <w:tcPr>
            <w:tcW w:type="dxa" w:w="1688"/>
          </w:tcPr>
          <w:p>
            <w:pPr>
              <w:spacing w:after="0" w:line="240" w:lineRule="auto"/>
              <w:jc w:val="right"/>
            </w:pPr>
            <w:r>
              <w:rPr>
                <w:b w:val="0"/>
                <w:i w:val="0"/>
                <w:sz w:val="16"/>
              </w:rPr>
              <w:t>79</w:t>
            </w:r>
          </w:p>
        </w:tc>
        <w:tc>
          <w:tcPr>
            <w:tcW w:type="dxa" w:w="1351"/>
          </w:tcPr>
          <w:p>
            <w:pPr>
              <w:spacing w:after="0" w:line="240" w:lineRule="auto"/>
              <w:jc w:val="right"/>
            </w:pPr>
            <w:r>
              <w:rPr>
                <w:b w:val="0"/>
                <w:i w:val="0"/>
                <w:sz w:val="16"/>
              </w:rPr>
              <w:t>—</w:t>
            </w:r>
          </w:p>
        </w:tc>
        <w:tc>
          <w:tcPr>
            <w:tcW w:type="dxa" w:w="1351"/>
          </w:tcPr>
          <w:p>
            <w:pPr>
              <w:spacing w:after="0" w:line="240" w:lineRule="auto"/>
              <w:jc w:val="right"/>
            </w:pPr>
            <w:r>
              <w:rPr>
                <w:b w:val="0"/>
                <w:i w:val="0"/>
                <w:sz w:val="16"/>
              </w:rPr>
              <w:t>—</w:t>
            </w:r>
          </w:p>
        </w:tc>
        <w:tc>
          <w:tcPr>
            <w:tcW w:type="dxa" w:w="2026"/>
          </w:tcPr>
          <w:p>
            <w:pPr>
              <w:spacing w:after="0" w:line="240" w:lineRule="auto"/>
            </w:pPr>
            <w:r>
              <w:rPr>
                <w:b w:val="0"/>
                <w:i w:val="0"/>
                <w:sz w:val="16"/>
              </w:rPr>
              <w:t>10Q p.15</w:t>
            </w:r>
          </w:p>
        </w:tc>
      </w:tr>
      <w:tr>
        <w:trPr>
          <w:cantSplit/>
        </w:trPr>
        <w:tc>
          <w:tcPr>
            <w:tcW w:type="dxa" w:w="1688"/>
            <w:shd w:val="clear" w:color="auto" w:fill="D9E1F2"/>
          </w:tcPr>
          <w:p>
            <w:pPr>
              <w:spacing w:after="0" w:line="240" w:lineRule="auto"/>
            </w:pPr>
            <w:r>
              <w:rPr>
                <w:b w:val="0"/>
                <w:i w:val="0"/>
                <w:sz w:val="16"/>
              </w:rPr>
              <w:t>6M-2026</w:t>
            </w:r>
          </w:p>
        </w:tc>
        <w:tc>
          <w:tcPr>
            <w:tcW w:type="dxa" w:w="1688"/>
            <w:shd w:val="clear" w:color="auto" w:fill="D9E1F2"/>
          </w:tcPr>
          <w:p>
            <w:pPr>
              <w:spacing w:after="0" w:line="240" w:lineRule="auto"/>
              <w:jc w:val="right"/>
            </w:pPr>
            <w:r>
              <w:rPr>
                <w:b w:val="0"/>
                <w:i w:val="0"/>
                <w:sz w:val="16"/>
              </w:rPr>
              <w:t>765</w:t>
            </w:r>
          </w:p>
        </w:tc>
        <w:tc>
          <w:tcPr>
            <w:tcW w:type="dxa" w:w="1688"/>
            <w:shd w:val="clear" w:color="auto" w:fill="D9E1F2"/>
          </w:tcPr>
          <w:p>
            <w:pPr>
              <w:spacing w:after="0" w:line="240" w:lineRule="auto"/>
              <w:jc w:val="right"/>
            </w:pPr>
            <w:r>
              <w:rPr>
                <w:b w:val="0"/>
                <w:i w:val="0"/>
                <w:sz w:val="16"/>
              </w:rPr>
              <w:t>158</w:t>
            </w:r>
          </w:p>
        </w:tc>
        <w:tc>
          <w:tcPr>
            <w:tcW w:type="dxa" w:w="1351"/>
            <w:shd w:val="clear" w:color="auto" w:fill="D9E1F2"/>
          </w:tcPr>
          <w:p>
            <w:pPr>
              <w:spacing w:after="0" w:line="240" w:lineRule="auto"/>
              <w:jc w:val="right"/>
            </w:pPr>
            <w:r>
              <w:rPr>
                <w:b w:val="0"/>
                <w:i w:val="0"/>
                <w:sz w:val="16"/>
              </w:rPr>
              <w:t>—</w:t>
            </w:r>
          </w:p>
        </w:tc>
        <w:tc>
          <w:tcPr>
            <w:tcW w:type="dxa" w:w="1351"/>
            <w:shd w:val="clear" w:color="auto" w:fill="D9E1F2"/>
          </w:tcPr>
          <w:p>
            <w:pPr>
              <w:spacing w:after="0" w:line="240" w:lineRule="auto"/>
              <w:jc w:val="right"/>
            </w:pPr>
            <w:r>
              <w:rPr>
                <w:b w:val="0"/>
                <w:i w:val="0"/>
                <w:sz w:val="16"/>
              </w:rPr>
              <w:t>—</w:t>
            </w:r>
          </w:p>
        </w:tc>
        <w:tc>
          <w:tcPr>
            <w:tcW w:type="dxa" w:w="2026"/>
            <w:shd w:val="clear" w:color="auto" w:fill="D9E1F2"/>
          </w:tcPr>
          <w:p>
            <w:pPr>
              <w:spacing w:after="0" w:line="240" w:lineRule="auto"/>
            </w:pPr>
            <w:r>
              <w:rPr>
                <w:b w:val="0"/>
                <w:i w:val="0"/>
                <w:sz w:val="16"/>
              </w:rPr>
              <w:t>10Q p.15</w:t>
            </w:r>
          </w:p>
        </w:tc>
      </w:tr>
    </w:tbl>
    <w:p>
      <w:pPr>
        <w:spacing w:after="120"/>
      </w:pPr>
      <w:r>
        <w:rPr>
          <w:b w:val="0"/>
          <w:i/>
          <w:color w:val="595959"/>
          <w:sz w:val="15"/>
        </w:rPr>
        <w:t xml:space="preserve">Source: analysis/QUALITATIVE.md §3. B2B is 79% U.S. / 21% international (Q2-26, 6M-26) </w:t>
      </w:r>
      <w:r>
        <w:rPr>
          <w:b/>
          <w:color w:val="2E548C"/>
          <w:sz w:val="12"/>
        </w:rPr>
        <w:t>[D]</w:t>
      </w:r>
      <w:r>
        <w:rPr>
          <w:b w:val="0"/>
          <w:i/>
          <w:color w:val="595959"/>
          <w:sz w:val="15"/>
        </w:rPr>
        <w:t xml:space="preserve">. Main FX exposures CAD, EUR, GBP </w:t>
      </w:r>
      <w:r>
        <w:rPr>
          <w:b/>
          <w:color w:val="2E548C"/>
          <w:sz w:val="12"/>
        </w:rPr>
        <w:t>[D]</w:t>
      </w:r>
      <w:r>
        <w:rPr>
          <w:b w:val="0"/>
          <w:i/>
          <w:color w:val="595959"/>
          <w:sz w:val="15"/>
        </w:rPr>
        <w:t>.</w:t>
      </w:r>
    </w:p>
    <w:p>
      <w:pPr>
        <w:pStyle w:val="Heading1"/>
        <w:pageBreakBefore/>
      </w:pPr>
      <w:r>
        <w:t>4 Market &amp; industry</w:t>
      </w:r>
    </w:p>
    <w:p>
      <w:r>
        <w:rPr>
          <w:b/>
          <w:i w:val="0"/>
        </w:rPr>
        <w:t>Status.</w:t>
      </w:r>
      <w:r>
        <w:rPr>
          <w:b w:val="0"/>
          <w:i w:val="0"/>
        </w:rPr>
        <w:t xml:space="preserve"> The public industry series planned in Part B (FRED, BEA, Census, BLS, Fed, Cox/Manheim, NADA, NHTSA, KBA, StatCan) could not be fetched: the network allowlist blocks them and Quartr was the only source. This section therefore uses only (i) market sizes asserted by the company or its unnamed consultant </w:t>
      </w:r>
      <w:r>
        <w:rPr>
          <w:b/>
          <w:color w:val="2E548C"/>
          <w:sz w:val="16"/>
        </w:rPr>
        <w:t>[D]</w:t>
      </w:r>
      <w:r>
        <w:rPr>
          <w:b w:val="0"/>
          <w:i w:val="0"/>
        </w:rPr>
        <w:t>/</w:t>
      </w:r>
      <w:r>
        <w:rPr>
          <w:b/>
          <w:color w:val="2E548C"/>
          <w:sz w:val="16"/>
        </w:rPr>
        <w:t>[X]</w:t>
      </w:r>
      <w:r>
        <w:rPr>
          <w:b w:val="0"/>
          <w:i w:val="0"/>
        </w:rPr>
        <w:t xml:space="preserve">, (ii) the FRED new-vehicle series as reproduced on management's own slide 91 </w:t>
      </w:r>
      <w:r>
        <w:rPr>
          <w:b/>
          <w:color w:val="2E548C"/>
          <w:sz w:val="16"/>
        </w:rPr>
        <w:t>[D-deck]</w:t>
      </w:r>
      <w:r>
        <w:rPr>
          <w:b w:val="0"/>
          <w:i w:val="0"/>
        </w:rPr>
        <w:t xml:space="preserve">, and (iii) </w:t>
      </w:r>
      <w:r>
        <w:rPr>
          <w:b/>
          <w:color w:val="2E548C"/>
          <w:sz w:val="16"/>
        </w:rPr>
        <w:t>[context]</w:t>
      </w:r>
      <w:r>
        <w:rPr>
          <w:b w:val="0"/>
          <w:i w:val="0"/>
        </w:rPr>
        <w:t xml:space="preserve"> general knowledge, flagged as such. Every series needed to close the section is a placeholder.</w:t>
      </w:r>
    </w:p>
    <w:p>
      <w:pPr>
        <w:pStyle w:val="Heading2"/>
      </w:pPr>
      <w:r>
        <w:t>4.1 Market size claims</w:t>
      </w:r>
    </w:p>
    <w:p>
      <w:pPr>
        <w:keepNext/>
        <w:spacing w:before="80" w:after="40"/>
      </w:pPr>
      <w:r>
        <w:rPr>
          <w:b/>
          <w:i w:val="0"/>
          <w:color w:val="1F3864"/>
          <w:sz w:val="17"/>
        </w:rPr>
        <w:t>Exhibit 4.1 — Market size claims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160"/>
        <w:gridCol w:w="4896"/>
        <w:gridCol w:w="2736"/>
      </w:tblGrid>
      <w:tr>
        <w:trPr>
          <w:cantSplit/>
          <w:tblHeader/>
        </w:trPr>
        <w:tc>
          <w:tcPr>
            <w:tcW w:type="dxa" w:w="2160"/>
            <w:shd w:val="clear" w:color="auto" w:fill="1F3864"/>
          </w:tcPr>
          <w:p>
            <w:pPr>
              <w:spacing w:after="0" w:line="240" w:lineRule="auto"/>
            </w:pPr>
            <w:r>
              <w:rPr>
                <w:b/>
                <w:i w:val="0"/>
                <w:color w:val="FFFFFF"/>
                <w:sz w:val="16"/>
              </w:rPr>
              <w:t>Market</w:t>
            </w:r>
          </w:p>
        </w:tc>
        <w:tc>
          <w:tcPr>
            <w:tcW w:type="dxa" w:w="4896"/>
            <w:shd w:val="clear" w:color="auto" w:fill="1F3864"/>
          </w:tcPr>
          <w:p>
            <w:pPr>
              <w:spacing w:after="0" w:line="240" w:lineRule="auto"/>
            </w:pPr>
            <w:r>
              <w:rPr>
                <w:b/>
                <w:i w:val="0"/>
                <w:color w:val="FFFFFF"/>
                <w:sz w:val="16"/>
              </w:rPr>
              <w:t>Size / claim</w:t>
            </w:r>
          </w:p>
        </w:tc>
        <w:tc>
          <w:tcPr>
            <w:tcW w:type="dxa" w:w="2736"/>
            <w:shd w:val="clear" w:color="auto" w:fill="1F3864"/>
          </w:tcPr>
          <w:p>
            <w:pPr>
              <w:spacing w:after="0" w:line="240" w:lineRule="auto"/>
            </w:pPr>
            <w:r>
              <w:rPr>
                <w:b/>
                <w:i w:val="0"/>
                <w:color w:val="FFFFFF"/>
                <w:sz w:val="16"/>
              </w:rPr>
              <w:t>Tier and source</w:t>
            </w:r>
          </w:p>
        </w:tc>
      </w:tr>
      <w:tr>
        <w:trPr>
          <w:cantSplit/>
        </w:trPr>
        <w:tc>
          <w:tcPr>
            <w:tcW w:type="dxa" w:w="2160"/>
          </w:tcPr>
          <w:p>
            <w:pPr>
              <w:spacing w:after="0" w:line="240" w:lineRule="auto"/>
            </w:pPr>
            <w:r>
              <w:rPr>
                <w:b w:val="0"/>
                <w:i w:val="0"/>
                <w:sz w:val="16"/>
              </w:rPr>
              <w:t>Global auto market</w:t>
            </w:r>
          </w:p>
        </w:tc>
        <w:tc>
          <w:tcPr>
            <w:tcW w:type="dxa" w:w="4896"/>
          </w:tcPr>
          <w:p>
            <w:pPr>
              <w:spacing w:after="0" w:line="240" w:lineRule="auto"/>
            </w:pPr>
            <w:r>
              <w:rPr>
                <w:b w:val="0"/>
                <w:i w:val="0"/>
                <w:sz w:val="16"/>
              </w:rPr>
              <w:t>≈$8.0tn: new LV $3.2tn, used $2.8tn, maintenance &amp; repair $1.3tn, M/H commercial $0.7tn</w:t>
            </w:r>
          </w:p>
        </w:tc>
        <w:tc>
          <w:tcPr>
            <w:tcW w:type="dxa" w:w="2736"/>
          </w:tcPr>
          <w:p>
            <w:pPr>
              <w:spacing w:after="0" w:line="240" w:lineRule="auto"/>
            </w:pPr>
            <w:r>
              <w:rPr>
                <w:b/>
                <w:color w:val="2E548C"/>
                <w:sz w:val="13"/>
              </w:rPr>
              <w:t>[D]</w:t>
            </w:r>
            <w:r>
              <w:rPr>
                <w:b w:val="0"/>
                <w:i w:val="0"/>
                <w:sz w:val="16"/>
              </w:rPr>
              <w:t xml:space="preserve"> management estimate (10A p.266)</w:t>
            </w:r>
          </w:p>
        </w:tc>
      </w:tr>
      <w:tr>
        <w:trPr>
          <w:cantSplit/>
        </w:trPr>
        <w:tc>
          <w:tcPr>
            <w:tcW w:type="dxa" w:w="2160"/>
            <w:shd w:val="clear" w:color="auto" w:fill="D9E1F2"/>
          </w:tcPr>
          <w:p>
            <w:pPr>
              <w:spacing w:after="0" w:line="240" w:lineRule="auto"/>
            </w:pPr>
            <w:r>
              <w:rPr>
                <w:b w:val="0"/>
                <w:i w:val="0"/>
                <w:sz w:val="16"/>
              </w:rPr>
              <w:t>MBGL TAM (third party)</w:t>
            </w:r>
          </w:p>
        </w:tc>
        <w:tc>
          <w:tcPr>
            <w:tcW w:type="dxa" w:w="4896"/>
            <w:shd w:val="clear" w:color="auto" w:fill="D9E1F2"/>
          </w:tcPr>
          <w:p>
            <w:pPr>
              <w:spacing w:after="0" w:line="240" w:lineRule="auto"/>
            </w:pPr>
            <w:r>
              <w:rPr>
                <w:b w:val="0"/>
                <w:i w:val="0"/>
                <w:sz w:val="16"/>
              </w:rPr>
              <w:t>$75–81bn: core $13–15bn, extended core $25–27bn, adjacencies $37–39bn; deck midpoint $78bn</w:t>
            </w:r>
          </w:p>
        </w:tc>
        <w:tc>
          <w:tcPr>
            <w:tcW w:type="dxa" w:w="2736"/>
            <w:shd w:val="clear" w:color="auto" w:fill="D9E1F2"/>
          </w:tcPr>
          <w:p>
            <w:pPr>
              <w:spacing w:after="0" w:line="240" w:lineRule="auto"/>
            </w:pPr>
            <w:r>
              <w:rPr>
                <w:b/>
                <w:color w:val="2E548C"/>
                <w:sz w:val="13"/>
              </w:rPr>
              <w:t>[X]</w:t>
            </w:r>
            <w:r>
              <w:rPr>
                <w:b w:val="0"/>
                <w:i w:val="0"/>
                <w:sz w:val="16"/>
              </w:rPr>
              <w:t xml:space="preserve"> unnamed consulting firm, cited in </w:t>
            </w:r>
            <w:r>
              <w:rPr>
                <w:b/>
                <w:color w:val="2E548C"/>
                <w:sz w:val="13"/>
              </w:rPr>
              <w:t>[D]</w:t>
            </w:r>
            <w:r>
              <w:rPr>
                <w:b w:val="0"/>
                <w:i w:val="0"/>
                <w:sz w:val="16"/>
              </w:rPr>
              <w:t xml:space="preserve"> 10A p.266; ID deck p.27</w:t>
            </w:r>
          </w:p>
        </w:tc>
      </w:tr>
      <w:tr>
        <w:trPr>
          <w:cantSplit/>
        </w:trPr>
        <w:tc>
          <w:tcPr>
            <w:tcW w:type="dxa" w:w="2160"/>
          </w:tcPr>
          <w:p>
            <w:pPr>
              <w:spacing w:after="0" w:line="240" w:lineRule="auto"/>
            </w:pPr>
            <w:r>
              <w:rPr>
                <w:b w:val="0"/>
                <w:i w:val="0"/>
                <w:sz w:val="16"/>
              </w:rPr>
              <w:t>B2B addressable market</w:t>
            </w:r>
          </w:p>
        </w:tc>
        <w:tc>
          <w:tcPr>
            <w:tcW w:type="dxa" w:w="4896"/>
          </w:tcPr>
          <w:p>
            <w:pPr>
              <w:spacing w:after="0" w:line="240" w:lineRule="auto"/>
            </w:pPr>
            <w:r>
              <w:rPr>
                <w:b w:val="0"/>
                <w:i w:val="0"/>
                <w:sz w:val="16"/>
              </w:rPr>
              <w:t>$6bn, ~10% share; “path to an $18 billion opportunity”</w:t>
            </w:r>
          </w:p>
        </w:tc>
        <w:tc>
          <w:tcPr>
            <w:tcW w:type="dxa" w:w="2736"/>
          </w:tcPr>
          <w:p>
            <w:pPr>
              <w:spacing w:after="0" w:line="240" w:lineRule="auto"/>
            </w:pPr>
            <w:r>
              <w:rPr>
                <w:b/>
                <w:color w:val="2E548C"/>
                <w:sz w:val="13"/>
              </w:rPr>
              <w:t>[IR]</w:t>
            </w:r>
            <w:r>
              <w:rPr>
                <w:b w:val="0"/>
                <w:i w:val="0"/>
                <w:sz w:val="16"/>
              </w:rPr>
              <w:t xml:space="preserve"> LaFeir, Investor Day</w:t>
            </w:r>
          </w:p>
        </w:tc>
      </w:tr>
      <w:tr>
        <w:trPr>
          <w:cantSplit/>
        </w:trPr>
        <w:tc>
          <w:tcPr>
            <w:tcW w:type="dxa" w:w="2160"/>
            <w:shd w:val="clear" w:color="auto" w:fill="D9E1F2"/>
          </w:tcPr>
          <w:p>
            <w:pPr>
              <w:spacing w:after="0" w:line="240" w:lineRule="auto"/>
            </w:pPr>
            <w:r>
              <w:rPr>
                <w:b w:val="0"/>
                <w:i w:val="0"/>
                <w:sz w:val="16"/>
              </w:rPr>
              <w:t>CARFAX TAM</w:t>
            </w:r>
          </w:p>
        </w:tc>
        <w:tc>
          <w:tcPr>
            <w:tcW w:type="dxa" w:w="4896"/>
            <w:shd w:val="clear" w:color="auto" w:fill="D9E1F2"/>
          </w:tcPr>
          <w:p>
            <w:pPr>
              <w:spacing w:after="0" w:line="240" w:lineRule="auto"/>
            </w:pPr>
            <w:r>
              <w:rPr>
                <w:b w:val="0"/>
                <w:i w:val="0"/>
                <w:sz w:val="16"/>
              </w:rPr>
              <w:t>$26bn (CEO) vs $60bn (slide 71, core + extended vs total)</w:t>
            </w:r>
          </w:p>
        </w:tc>
        <w:tc>
          <w:tcPr>
            <w:tcW w:type="dxa" w:w="2736"/>
            <w:shd w:val="clear" w:color="auto" w:fill="D9E1F2"/>
          </w:tcPr>
          <w:p>
            <w:pPr>
              <w:spacing w:after="0" w:line="240" w:lineRule="auto"/>
            </w:pPr>
            <w:r>
              <w:rPr>
                <w:b/>
                <w:color w:val="2E548C"/>
                <w:sz w:val="13"/>
              </w:rPr>
              <w:t>[IR]</w:t>
            </w:r>
            <w:r>
              <w:rPr>
                <w:b w:val="0"/>
                <w:i w:val="0"/>
                <w:sz w:val="16"/>
              </w:rPr>
              <w:t xml:space="preserve"> / </w:t>
            </w:r>
            <w:r>
              <w:rPr>
                <w:b/>
                <w:color w:val="2E548C"/>
                <w:sz w:val="13"/>
              </w:rPr>
              <w:t>[D-deck]</w:t>
            </w:r>
            <w:r>
              <w:rPr>
                <w:b w:val="0"/>
                <w:i w:val="0"/>
                <w:sz w:val="16"/>
              </w:rPr>
              <w:t xml:space="preserve"> (D4 §13)</w:t>
            </w:r>
          </w:p>
        </w:tc>
      </w:tr>
      <w:tr>
        <w:trPr>
          <w:cantSplit/>
        </w:trPr>
        <w:tc>
          <w:tcPr>
            <w:tcW w:type="dxa" w:w="2160"/>
          </w:tcPr>
          <w:p>
            <w:pPr>
              <w:spacing w:after="0" w:line="240" w:lineRule="auto"/>
            </w:pPr>
            <w:r>
              <w:rPr>
                <w:b w:val="0"/>
                <w:i w:val="0"/>
                <w:sz w:val="16"/>
              </w:rPr>
              <w:t>US listings</w:t>
            </w:r>
          </w:p>
        </w:tc>
        <w:tc>
          <w:tcPr>
            <w:tcW w:type="dxa" w:w="4896"/>
          </w:tcPr>
          <w:p>
            <w:pPr>
              <w:spacing w:after="0" w:line="240" w:lineRule="auto"/>
            </w:pPr>
            <w:r>
              <w:rPr>
                <w:b w:val="0"/>
                <w:i w:val="0"/>
                <w:sz w:val="16"/>
              </w:rPr>
              <w:t>&gt;$3bn; CARFAX “not even at 10%”</w:t>
            </w:r>
          </w:p>
        </w:tc>
        <w:tc>
          <w:tcPr>
            <w:tcW w:type="dxa" w:w="2736"/>
          </w:tcPr>
          <w:p>
            <w:pPr>
              <w:spacing w:after="0" w:line="240" w:lineRule="auto"/>
            </w:pPr>
            <w:r>
              <w:rPr>
                <w:b/>
                <w:color w:val="2E548C"/>
                <w:sz w:val="13"/>
              </w:rPr>
              <w:t>[IR]</w:t>
            </w:r>
            <w:r>
              <w:rPr>
                <w:b w:val="0"/>
                <w:i w:val="0"/>
                <w:sz w:val="16"/>
              </w:rPr>
              <w:t xml:space="preserve"> Eager, GS 2026-09-10</w:t>
            </w:r>
          </w:p>
        </w:tc>
      </w:tr>
      <w:tr>
        <w:trPr>
          <w:cantSplit/>
        </w:trPr>
        <w:tc>
          <w:tcPr>
            <w:tcW w:type="dxa" w:w="2160"/>
            <w:shd w:val="clear" w:color="auto" w:fill="D9E1F2"/>
          </w:tcPr>
          <w:p>
            <w:pPr>
              <w:spacing w:after="0" w:line="240" w:lineRule="auto"/>
            </w:pPr>
            <w:r>
              <w:rPr>
                <w:b w:val="0"/>
                <w:i w:val="0"/>
                <w:sz w:val="16"/>
              </w:rPr>
              <w:t>Used-vehicle market (US units, prices)</w:t>
            </w:r>
          </w:p>
        </w:tc>
        <w:tc>
          <w:tcPr>
            <w:tcW w:type="dxa" w:w="4896"/>
            <w:shd w:val="clear" w:color="auto" w:fill="D9E1F2"/>
          </w:tcPr>
          <w:p>
            <w:pPr>
              <w:spacing w:after="0" w:line="240" w:lineRule="auto"/>
            </w:pPr>
            <w:r>
              <w:rPr>
                <w:b/>
                <w:color w:val="E36C09"/>
                <w:sz w:val="16"/>
              </w:rPr>
              <w:t>[TO COLLECT #13: US used-vehicle retail units 2014–2026 (Cox Automotive estimates) and Manheim index]</w:t>
            </w:r>
          </w:p>
        </w:tc>
        <w:tc>
          <w:tcPr>
            <w:tcW w:type="dxa" w:w="2736"/>
            <w:shd w:val="clear" w:color="auto" w:fill="D9E1F2"/>
          </w:tcPr>
          <w:p>
            <w:pPr>
              <w:spacing w:after="0" w:line="240" w:lineRule="auto"/>
            </w:pPr>
            <w:r>
              <w:rPr>
                <w:b w:val="0"/>
                <w:i w:val="0"/>
                <w:sz w:val="16"/>
              </w:rPr>
              <w:t>Part B §B</w:t>
            </w:r>
          </w:p>
        </w:tc>
      </w:tr>
      <w:tr>
        <w:trPr>
          <w:cantSplit/>
        </w:trPr>
        <w:tc>
          <w:tcPr>
            <w:tcW w:type="dxa" w:w="2160"/>
          </w:tcPr>
          <w:p>
            <w:pPr>
              <w:spacing w:after="0" w:line="240" w:lineRule="auto"/>
            </w:pPr>
            <w:r>
              <w:rPr>
                <w:b w:val="0"/>
                <w:i w:val="0"/>
                <w:sz w:val="16"/>
              </w:rPr>
              <w:t>Dealer universe</w:t>
            </w:r>
          </w:p>
        </w:tc>
        <w:tc>
          <w:tcPr>
            <w:tcW w:type="dxa" w:w="4896"/>
          </w:tcPr>
          <w:p>
            <w:pPr>
              <w:spacing w:after="0" w:line="240" w:lineRule="auto"/>
            </w:pPr>
            <w:r>
              <w:rPr>
                <w:b/>
                <w:color w:val="E36C09"/>
                <w:sz w:val="16"/>
              </w:rPr>
              <w:t>[TO COLLECT #14: US franchised and independent dealer rooftop counts 2014–2026 (NADA; Census CBP 44111/44112)]</w:t>
            </w:r>
          </w:p>
        </w:tc>
        <w:tc>
          <w:tcPr>
            <w:tcW w:type="dxa" w:w="2736"/>
          </w:tcPr>
          <w:p>
            <w:pPr>
              <w:spacing w:after="0" w:line="240" w:lineRule="auto"/>
            </w:pPr>
            <w:r>
              <w:rPr>
                <w:b w:val="0"/>
                <w:i w:val="0"/>
                <w:sz w:val="16"/>
              </w:rPr>
              <w:t>Part B §C</w:t>
            </w:r>
          </w:p>
        </w:tc>
      </w:tr>
    </w:tbl>
    <w:p>
      <w:pPr>
        <w:spacing w:after="120"/>
      </w:pPr>
      <w:r>
        <w:rPr>
          <w:b w:val="0"/>
          <w:i/>
          <w:color w:val="595959"/>
          <w:sz w:val="15"/>
        </w:rPr>
        <w:t xml:space="preserve">The consultant behind the $75–81bn TAM is never named in any document read (D4 §13). </w:t>
      </w:r>
    </w:p>
    <w:p>
      <w:r>
        <w:rPr>
          <w:b/>
          <w:color w:val="E36C09"/>
        </w:rPr>
        <w:t>[TO COLLECT #15: identity and methodology of the third-party TAM consultant]</w:t>
      </w:r>
      <w:r>
        <w:rPr>
          <w:b w:val="0"/>
          <w:i w:val="0"/>
        </w:rPr>
        <w:t>.</w:t>
      </w:r>
    </w:p>
    <w:p>
      <w:pPr>
        <w:keepNext/>
        <w:spacing w:before="80" w:after="40"/>
      </w:pPr>
      <w:r>
        <w:rPr>
          <w:b/>
          <w:i w:val="0"/>
          <w:color w:val="1F3864"/>
          <w:sz w:val="17"/>
        </w:rPr>
        <w:t xml:space="preserve">Exhibit 4.2 — Share-claim adjudication </w:t>
      </w:r>
      <w:r>
        <w:rPr>
          <w:b/>
          <w:color w:val="2E548C"/>
          <w:sz w:val="14"/>
        </w:rPr>
        <w:t>[C]</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880"/>
        <w:gridCol w:w="3456"/>
        <w:gridCol w:w="3456"/>
      </w:tblGrid>
      <w:tr>
        <w:trPr>
          <w:cantSplit/>
          <w:tblHeader/>
        </w:trPr>
        <w:tc>
          <w:tcPr>
            <w:tcW w:type="dxa" w:w="2880"/>
            <w:shd w:val="clear" w:color="auto" w:fill="1F3864"/>
          </w:tcPr>
          <w:p>
            <w:pPr>
              <w:spacing w:after="0" w:line="240" w:lineRule="auto"/>
            </w:pPr>
            <w:r>
              <w:rPr>
                <w:b/>
                <w:i w:val="0"/>
                <w:color w:val="FFFFFF"/>
                <w:sz w:val="16"/>
              </w:rPr>
              <w:t>Claim</w:t>
            </w:r>
          </w:p>
        </w:tc>
        <w:tc>
          <w:tcPr>
            <w:tcW w:type="dxa" w:w="3456"/>
            <w:shd w:val="clear" w:color="auto" w:fill="1F3864"/>
          </w:tcPr>
          <w:p>
            <w:pPr>
              <w:spacing w:after="0" w:line="240" w:lineRule="auto"/>
            </w:pPr>
            <w:r>
              <w:rPr>
                <w:b/>
                <w:i w:val="0"/>
                <w:color w:val="FFFFFF"/>
                <w:sz w:val="16"/>
              </w:rPr>
              <w:t>Arithmetic</w:t>
            </w:r>
          </w:p>
        </w:tc>
        <w:tc>
          <w:tcPr>
            <w:tcW w:type="dxa" w:w="3456"/>
            <w:shd w:val="clear" w:color="auto" w:fill="1F3864"/>
          </w:tcPr>
          <w:p>
            <w:pPr>
              <w:spacing w:after="0" w:line="240" w:lineRule="auto"/>
            </w:pPr>
            <w:r>
              <w:rPr>
                <w:b/>
                <w:i w:val="0"/>
                <w:color w:val="FFFFFF"/>
                <w:sz w:val="16"/>
              </w:rPr>
              <w:t>Verdict</w:t>
            </w:r>
          </w:p>
        </w:tc>
      </w:tr>
      <w:tr>
        <w:trPr>
          <w:cantSplit/>
        </w:trPr>
        <w:tc>
          <w:tcPr>
            <w:tcW w:type="dxa" w:w="2880"/>
          </w:tcPr>
          <w:p>
            <w:pPr>
              <w:spacing w:after="0" w:line="240" w:lineRule="auto"/>
            </w:pPr>
            <w:r>
              <w:rPr>
                <w:b w:val="0"/>
                <w:i w:val="0"/>
                <w:sz w:val="16"/>
              </w:rPr>
              <w:t>13% of $14bn core</w:t>
            </w:r>
          </w:p>
        </w:tc>
        <w:tc>
          <w:tcPr>
            <w:tcW w:type="dxa" w:w="3456"/>
          </w:tcPr>
          <w:p>
            <w:pPr>
              <w:spacing w:after="0" w:line="240" w:lineRule="auto"/>
            </w:pPr>
            <w:r>
              <w:rPr>
                <w:b w:val="0"/>
                <w:i w:val="0"/>
                <w:sz w:val="16"/>
              </w:rPr>
              <w:t>1,750/14,000 = 12.5%</w:t>
            </w:r>
          </w:p>
        </w:tc>
        <w:tc>
          <w:tcPr>
            <w:tcW w:type="dxa" w:w="3456"/>
          </w:tcPr>
          <w:p>
            <w:pPr>
              <w:spacing w:after="0" w:line="240" w:lineRule="auto"/>
            </w:pPr>
            <w:r>
              <w:rPr>
                <w:b w:val="0"/>
                <w:i w:val="0"/>
                <w:sz w:val="16"/>
              </w:rPr>
              <w:t>holds (rounded up)</w:t>
            </w:r>
          </w:p>
        </w:tc>
      </w:tr>
      <w:tr>
        <w:trPr>
          <w:cantSplit/>
        </w:trPr>
        <w:tc>
          <w:tcPr>
            <w:tcW w:type="dxa" w:w="2880"/>
            <w:shd w:val="clear" w:color="auto" w:fill="D9E1F2"/>
          </w:tcPr>
          <w:p>
            <w:pPr>
              <w:spacing w:after="0" w:line="240" w:lineRule="auto"/>
            </w:pPr>
            <w:r>
              <w:rPr>
                <w:b w:val="0"/>
                <w:i w:val="0"/>
                <w:sz w:val="16"/>
              </w:rPr>
              <w:t>B2B ~10% of $6bn</w:t>
            </w:r>
          </w:p>
        </w:tc>
        <w:tc>
          <w:tcPr>
            <w:tcW w:type="dxa" w:w="3456"/>
            <w:shd w:val="clear" w:color="auto" w:fill="D9E1F2"/>
          </w:tcPr>
          <w:p>
            <w:pPr>
              <w:spacing w:after="0" w:line="240" w:lineRule="auto"/>
            </w:pPr>
            <w:r>
              <w:rPr>
                <w:b w:val="0"/>
                <w:i w:val="0"/>
                <w:sz w:val="16"/>
              </w:rPr>
              <w:t>608/6,000 = 10.1%</w:t>
            </w:r>
          </w:p>
        </w:tc>
        <w:tc>
          <w:tcPr>
            <w:tcW w:type="dxa" w:w="3456"/>
            <w:shd w:val="clear" w:color="auto" w:fill="D9E1F2"/>
          </w:tcPr>
          <w:p>
            <w:pPr>
              <w:spacing w:after="0" w:line="240" w:lineRule="auto"/>
            </w:pPr>
            <w:r>
              <w:rPr>
                <w:b w:val="0"/>
                <w:i w:val="0"/>
                <w:sz w:val="16"/>
              </w:rPr>
              <w:t>holds</w:t>
            </w:r>
          </w:p>
        </w:tc>
      </w:tr>
      <w:tr>
        <w:trPr>
          <w:cantSplit/>
        </w:trPr>
        <w:tc>
          <w:tcPr>
            <w:tcW w:type="dxa" w:w="2880"/>
          </w:tcPr>
          <w:p>
            <w:pPr>
              <w:spacing w:after="0" w:line="240" w:lineRule="auto"/>
            </w:pPr>
            <w:r>
              <w:rPr>
                <w:b w:val="0"/>
                <w:i w:val="0"/>
                <w:sz w:val="16"/>
              </w:rPr>
              <w:t>CARFAX 15% of $8bn</w:t>
            </w:r>
          </w:p>
        </w:tc>
        <w:tc>
          <w:tcPr>
            <w:tcW w:type="dxa" w:w="3456"/>
          </w:tcPr>
          <w:p>
            <w:pPr>
              <w:spacing w:after="0" w:line="240" w:lineRule="auto"/>
            </w:pPr>
            <w:r>
              <w:rPr>
                <w:b w:val="0"/>
                <w:i w:val="0"/>
                <w:sz w:val="16"/>
              </w:rPr>
              <w:t>1,142/8,000 = 14.3%</w:t>
            </w:r>
          </w:p>
        </w:tc>
        <w:tc>
          <w:tcPr>
            <w:tcW w:type="dxa" w:w="3456"/>
          </w:tcPr>
          <w:p>
            <w:pPr>
              <w:spacing w:after="0" w:line="240" w:lineRule="auto"/>
            </w:pPr>
            <w:r>
              <w:rPr>
                <w:b w:val="0"/>
                <w:i w:val="0"/>
                <w:sz w:val="16"/>
              </w:rPr>
              <w:t>rounded up</w:t>
            </w:r>
          </w:p>
        </w:tc>
      </w:tr>
      <w:tr>
        <w:trPr>
          <w:cantSplit/>
        </w:trPr>
        <w:tc>
          <w:tcPr>
            <w:tcW w:type="dxa" w:w="2880"/>
            <w:shd w:val="clear" w:color="auto" w:fill="D9E1F2"/>
          </w:tcPr>
          <w:p>
            <w:pPr>
              <w:spacing w:after="0" w:line="240" w:lineRule="auto"/>
            </w:pPr>
            <w:r>
              <w:rPr>
                <w:b w:val="0"/>
                <w:i w:val="0"/>
                <w:sz w:val="16"/>
              </w:rPr>
              <w:t>Listings &lt;10% of $3bn+ US</w:t>
            </w:r>
          </w:p>
        </w:tc>
        <w:tc>
          <w:tcPr>
            <w:tcW w:type="dxa" w:w="3456"/>
            <w:shd w:val="clear" w:color="auto" w:fill="D9E1F2"/>
          </w:tcPr>
          <w:p>
            <w:pPr>
              <w:spacing w:after="0" w:line="240" w:lineRule="auto"/>
            </w:pPr>
            <w:r>
              <w:rPr>
                <w:b w:val="0"/>
                <w:i w:val="0"/>
                <w:sz w:val="16"/>
              </w:rPr>
              <w:t>22% × 1,142 ≈ 251 → ≈8.4%</w:t>
            </w:r>
          </w:p>
        </w:tc>
        <w:tc>
          <w:tcPr>
            <w:tcW w:type="dxa" w:w="3456"/>
            <w:shd w:val="clear" w:color="auto" w:fill="D9E1F2"/>
          </w:tcPr>
          <w:p>
            <w:pPr>
              <w:spacing w:after="0" w:line="240" w:lineRule="auto"/>
            </w:pPr>
            <w:r>
              <w:rPr>
                <w:b w:val="0"/>
                <w:i w:val="0"/>
                <w:sz w:val="16"/>
              </w:rPr>
              <w:t>holds</w:t>
            </w:r>
          </w:p>
        </w:tc>
      </w:tr>
      <w:tr>
        <w:trPr>
          <w:cantSplit/>
        </w:trPr>
        <w:tc>
          <w:tcPr>
            <w:tcW w:type="dxa" w:w="2880"/>
          </w:tcPr>
          <w:p>
            <w:pPr>
              <w:spacing w:after="0" w:line="240" w:lineRule="auto"/>
            </w:pPr>
            <w:r>
              <w:rPr>
                <w:b w:val="0"/>
                <w:i w:val="0"/>
                <w:sz w:val="16"/>
              </w:rPr>
              <w:t>Polk "&gt;90% of US volume"</w:t>
            </w:r>
          </w:p>
        </w:tc>
        <w:tc>
          <w:tcPr>
            <w:tcW w:type="dxa" w:w="3456"/>
          </w:tcPr>
          <w:p>
            <w:pPr>
              <w:spacing w:after="0" w:line="240" w:lineRule="auto"/>
            </w:pPr>
            <w:r>
              <w:rPr>
                <w:b w:val="0"/>
                <w:i w:val="0"/>
                <w:sz w:val="16"/>
              </w:rPr>
              <w:t>coverage, not revenue share</w:t>
            </w:r>
          </w:p>
        </w:tc>
        <w:tc>
          <w:tcPr>
            <w:tcW w:type="dxa" w:w="3456"/>
          </w:tcPr>
          <w:p>
            <w:pPr>
              <w:spacing w:after="0" w:line="240" w:lineRule="auto"/>
            </w:pPr>
            <w:r>
              <w:rPr>
                <w:b w:val="0"/>
                <w:i w:val="0"/>
                <w:sz w:val="16"/>
              </w:rPr>
              <w:t>mislabelled</w:t>
            </w:r>
          </w:p>
        </w:tc>
      </w:tr>
    </w:tbl>
    <w:p>
      <w:pPr>
        <w:spacing w:after="120"/>
      </w:pPr>
      <w:r>
        <w:rPr>
          <w:b w:val="0"/>
          <w:i/>
          <w:color w:val="595959"/>
          <w:sz w:val="15"/>
        </w:rPr>
        <w:t xml:space="preserve">Source: analysis/K_session_tables.md (D1 §5). “Share” = share of a dollar TAM from unnamed consultants </w:t>
      </w:r>
      <w:r>
        <w:rPr>
          <w:b/>
          <w:color w:val="2E548C"/>
          <w:sz w:val="12"/>
        </w:rPr>
        <w:t>[X]</w:t>
      </w:r>
      <w:r>
        <w:rPr>
          <w:b w:val="0"/>
          <w:i/>
          <w:color w:val="595959"/>
          <w:sz w:val="15"/>
        </w:rPr>
        <w:t>; no unit-share series exists.</w:t>
      </w:r>
    </w:p>
    <w:tbl>
      <w:tblPr>
        <w:tblW w:type="auto" w:w="0"/>
        <w:jc w:val="center"/>
        <w:tblLook w:firstColumn="1" w:firstRow="1" w:lastColumn="0" w:lastRow="0" w:noHBand="0" w:noVBand="1" w:val="04A0"/>
        <w:tblBorders>
          <w:top w:val="nil" w:sz="0" w:space="0" w:color="auto"/>
          <w:left w:val="single" w:sz="24" w:space="0" w:color="1F3864"/>
          <w:bottom w:val="nil" w:sz="0" w:space="0" w:color="auto"/>
          <w:right w:val="nil" w:sz="0" w:space="0" w:color="auto"/>
          <w:insideH w:val="nil" w:sz="0" w:space="0" w:color="auto"/>
          <w:insideV w:val="nil" w:sz="0" w:space="0" w:color="auto"/>
        </w:tblBorders>
        <w:tblCellMar>
          <w:top w:w="90" w:type="dxa"/>
          <w:left w:w="160" w:type="dxa"/>
          <w:bottom w:w="90" w:type="dxa"/>
          <w:right w:w="120" w:type="dxa"/>
        </w:tblCellMar>
      </w:tblPr>
      <w:tblGrid>
        <w:gridCol w:w="8928"/>
      </w:tblGrid>
      <w:tr>
        <w:trPr>
          <w:cantSplit/>
        </w:trPr>
        <w:tc>
          <w:tcPr>
            <w:tcW w:type="dxa" w:w="8928"/>
            <w:shd w:val="clear" w:color="auto" w:fill="EEF2F9"/>
          </w:tcPr>
          <w:p>
            <w:pPr>
              <w:spacing w:after="60"/>
            </w:pPr>
            <w:r>
              <w:rPr>
                <w:i/>
                <w:color w:val="262626"/>
                <w:sz w:val="19"/>
              </w:rPr>
              <w:t>“When we look at the B2B side of the house, we're serving a $6 billion addressable market, about 10% market share here, we do see a clear actionable path to an $18 billion opportunity.”</w:t>
            </w:r>
          </w:p>
          <w:p>
            <w:pPr>
              <w:spacing w:after="0"/>
            </w:pPr>
            <w:r>
              <w:rPr>
                <w:b w:val="0"/>
                <w:i w:val="0"/>
                <w:color w:val="1F3864"/>
                <w:sz w:val="15"/>
              </w:rPr>
              <w:t xml:space="preserve">— Joe LaFeir (President, Mobility Business Solutions (B2B)), Investor Day 2026, 2026-05-12 · Quartr t=3361.56s </w:t>
            </w:r>
            <w:r>
              <w:rPr>
                <w:b/>
                <w:color w:val="2E548C"/>
                <w:sz w:val="12"/>
              </w:rPr>
              <w:t>[IR]</w:t>
            </w:r>
          </w:p>
        </w:tc>
      </w:tr>
    </w:tbl>
    <w:p>
      <w:pPr>
        <w:spacing w:after="40"/>
      </w:pPr>
    </w:p>
    <w:p>
      <w:pPr>
        <w:pStyle w:val="Heading2"/>
      </w:pPr>
      <w:r>
        <w:t>4.2 Industry growth vs company growth</w:t>
      </w:r>
    </w:p>
    <w:p>
      <w:pPr>
        <w:keepNext/>
        <w:spacing w:before="80" w:after="40"/>
      </w:pPr>
      <w:r>
        <w:rPr>
          <w:b/>
          <w:i w:val="0"/>
          <w:color w:val="1F3864"/>
          <w:sz w:val="17"/>
        </w:rPr>
        <w:t xml:space="preserve">Exhibit 4.3 — Mobility automotive revenue vs US new-vehicle sales growth, 2014–2025 </w:t>
      </w:r>
      <w:r>
        <w:rPr>
          <w:b/>
          <w:color w:val="2E548C"/>
          <w:sz w:val="14"/>
        </w:rPr>
        <w:t>[D-deck]</w:t>
      </w:r>
      <w:r>
        <w:rPr>
          <w:b/>
          <w:i w:val="0"/>
          <w:color w:val="1F3864"/>
          <w:sz w:val="17"/>
        </w:rPr>
        <w:t>/</w:t>
      </w:r>
      <w:r>
        <w:rPr>
          <w:b/>
          <w:color w:val="2E548C"/>
          <w:sz w:val="14"/>
        </w:rPr>
        <w:t>[C]</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246"/>
        <w:gridCol w:w="1602"/>
        <w:gridCol w:w="2314"/>
        <w:gridCol w:w="1602"/>
        <w:gridCol w:w="1602"/>
        <w:gridCol w:w="1424"/>
      </w:tblGrid>
      <w:tr>
        <w:trPr>
          <w:cantSplit/>
          <w:tblHeader/>
        </w:trPr>
        <w:tc>
          <w:tcPr>
            <w:tcW w:type="dxa" w:w="1246"/>
            <w:shd w:val="clear" w:color="auto" w:fill="1F3864"/>
          </w:tcPr>
          <w:p>
            <w:pPr>
              <w:spacing w:after="0" w:line="240" w:lineRule="auto"/>
            </w:pPr>
            <w:r>
              <w:rPr>
                <w:b/>
                <w:i w:val="0"/>
                <w:color w:val="FFFFFF"/>
                <w:sz w:val="16"/>
              </w:rPr>
              <w:t>Year</w:t>
            </w:r>
          </w:p>
        </w:tc>
        <w:tc>
          <w:tcPr>
            <w:tcW w:type="dxa" w:w="1602"/>
            <w:shd w:val="clear" w:color="auto" w:fill="1F3864"/>
          </w:tcPr>
          <w:p>
            <w:pPr>
              <w:spacing w:after="0" w:line="240" w:lineRule="auto"/>
              <w:jc w:val="right"/>
            </w:pPr>
            <w:r>
              <w:rPr>
                <w:b/>
                <w:i w:val="0"/>
                <w:color w:val="FFFFFF"/>
                <w:sz w:val="16"/>
              </w:rPr>
              <w:t>Rev $m</w:t>
            </w:r>
          </w:p>
        </w:tc>
        <w:tc>
          <w:tcPr>
            <w:tcW w:type="dxa" w:w="2314"/>
            <w:shd w:val="clear" w:color="auto" w:fill="1F3864"/>
          </w:tcPr>
          <w:p>
            <w:pPr>
              <w:spacing w:after="0" w:line="240" w:lineRule="auto"/>
              <w:jc w:val="right"/>
            </w:pPr>
            <w:r>
              <w:rPr>
                <w:b/>
                <w:i w:val="0"/>
                <w:color w:val="FFFFFF"/>
                <w:sz w:val="16"/>
              </w:rPr>
              <w:t>Reported growth</w:t>
            </w:r>
          </w:p>
        </w:tc>
        <w:tc>
          <w:tcPr>
            <w:tcW w:type="dxa" w:w="1602"/>
            <w:shd w:val="clear" w:color="auto" w:fill="1F3864"/>
          </w:tcPr>
          <w:p>
            <w:pPr>
              <w:spacing w:after="0" w:line="240" w:lineRule="auto"/>
              <w:jc w:val="right"/>
            </w:pPr>
            <w:r>
              <w:rPr>
                <w:b/>
                <w:i w:val="0"/>
                <w:color w:val="FFFFFF"/>
                <w:sz w:val="16"/>
              </w:rPr>
              <w:t>Organic</w:t>
            </w:r>
          </w:p>
        </w:tc>
        <w:tc>
          <w:tcPr>
            <w:tcW w:type="dxa" w:w="1602"/>
            <w:shd w:val="clear" w:color="auto" w:fill="1F3864"/>
          </w:tcPr>
          <w:p>
            <w:pPr>
              <w:spacing w:after="0" w:line="240" w:lineRule="auto"/>
              <w:jc w:val="right"/>
            </w:pPr>
            <w:r>
              <w:rPr>
                <w:b/>
                <w:i w:val="0"/>
                <w:color w:val="FFFFFF"/>
                <w:sz w:val="16"/>
              </w:rPr>
              <w:t>Industry</w:t>
            </w:r>
          </w:p>
        </w:tc>
        <w:tc>
          <w:tcPr>
            <w:tcW w:type="dxa" w:w="1424"/>
            <w:shd w:val="clear" w:color="auto" w:fill="1F3864"/>
          </w:tcPr>
          <w:p>
            <w:pPr>
              <w:spacing w:after="0" w:line="240" w:lineRule="auto"/>
              <w:jc w:val="right"/>
            </w:pPr>
            <w:r>
              <w:rPr>
                <w:b/>
                <w:i w:val="0"/>
                <w:color w:val="FFFFFF"/>
                <w:sz w:val="16"/>
              </w:rPr>
              <w:t>Gap pt</w:t>
            </w:r>
          </w:p>
        </w:tc>
      </w:tr>
      <w:tr>
        <w:trPr>
          <w:cantSplit/>
        </w:trPr>
        <w:tc>
          <w:tcPr>
            <w:tcW w:type="dxa" w:w="1246"/>
          </w:tcPr>
          <w:p>
            <w:pPr>
              <w:spacing w:after="0" w:line="240" w:lineRule="auto"/>
            </w:pPr>
            <w:r>
              <w:rPr>
                <w:b w:val="0"/>
                <w:i w:val="0"/>
                <w:sz w:val="16"/>
              </w:rPr>
              <w:t>2014</w:t>
            </w:r>
          </w:p>
        </w:tc>
        <w:tc>
          <w:tcPr>
            <w:tcW w:type="dxa" w:w="1602"/>
          </w:tcPr>
          <w:p>
            <w:pPr>
              <w:spacing w:after="0" w:line="240" w:lineRule="auto"/>
              <w:jc w:val="right"/>
            </w:pPr>
            <w:r>
              <w:rPr>
                <w:b w:val="0"/>
                <w:i w:val="0"/>
                <w:sz w:val="16"/>
              </w:rPr>
              <w:t>529</w:t>
            </w:r>
          </w:p>
        </w:tc>
        <w:tc>
          <w:tcPr>
            <w:tcW w:type="dxa" w:w="2314"/>
          </w:tcPr>
          <w:p>
            <w:pPr>
              <w:spacing w:after="0" w:line="240" w:lineRule="auto"/>
              <w:jc w:val="right"/>
            </w:pPr>
            <w:r>
              <w:rPr>
                <w:b w:val="0"/>
                <w:i w:val="0"/>
                <w:sz w:val="16"/>
              </w:rPr>
              <w:t>—</w:t>
            </w:r>
          </w:p>
        </w:tc>
        <w:tc>
          <w:tcPr>
            <w:tcW w:type="dxa" w:w="1602"/>
          </w:tcPr>
          <w:p>
            <w:pPr>
              <w:spacing w:after="0" w:line="240" w:lineRule="auto"/>
              <w:jc w:val="right"/>
            </w:pPr>
            <w:r>
              <w:rPr>
                <w:b w:val="0"/>
                <w:i w:val="0"/>
                <w:sz w:val="16"/>
              </w:rPr>
              <w:t>—</w:t>
            </w:r>
          </w:p>
        </w:tc>
        <w:tc>
          <w:tcPr>
            <w:tcW w:type="dxa" w:w="1602"/>
          </w:tcPr>
          <w:p>
            <w:pPr>
              <w:spacing w:after="0" w:line="240" w:lineRule="auto"/>
              <w:jc w:val="right"/>
            </w:pPr>
            <w:r>
              <w:rPr>
                <w:b w:val="0"/>
                <w:i w:val="0"/>
                <w:sz w:val="16"/>
              </w:rPr>
              <w:t>—</w:t>
            </w:r>
          </w:p>
        </w:tc>
        <w:tc>
          <w:tcPr>
            <w:tcW w:type="dxa" w:w="1424"/>
          </w:tcPr>
          <w:p>
            <w:pPr>
              <w:spacing w:after="0" w:line="240" w:lineRule="auto"/>
              <w:jc w:val="right"/>
            </w:pPr>
            <w:r>
              <w:rPr>
                <w:b w:val="0"/>
                <w:i w:val="0"/>
                <w:sz w:val="16"/>
              </w:rPr>
              <w:t>—</w:t>
            </w:r>
          </w:p>
        </w:tc>
      </w:tr>
      <w:tr>
        <w:trPr>
          <w:cantSplit/>
        </w:trPr>
        <w:tc>
          <w:tcPr>
            <w:tcW w:type="dxa" w:w="1246"/>
            <w:shd w:val="clear" w:color="auto" w:fill="D9E1F2"/>
          </w:tcPr>
          <w:p>
            <w:pPr>
              <w:spacing w:after="0" w:line="240" w:lineRule="auto"/>
            </w:pPr>
            <w:r>
              <w:rPr>
                <w:b w:val="0"/>
                <w:i w:val="0"/>
                <w:sz w:val="16"/>
              </w:rPr>
              <w:t>2015</w:t>
            </w:r>
          </w:p>
        </w:tc>
        <w:tc>
          <w:tcPr>
            <w:tcW w:type="dxa" w:w="1602"/>
            <w:shd w:val="clear" w:color="auto" w:fill="D9E1F2"/>
          </w:tcPr>
          <w:p>
            <w:pPr>
              <w:spacing w:after="0" w:line="240" w:lineRule="auto"/>
              <w:jc w:val="right"/>
            </w:pPr>
            <w:r>
              <w:rPr>
                <w:b w:val="0"/>
                <w:i w:val="0"/>
                <w:sz w:val="16"/>
              </w:rPr>
              <w:t>585</w:t>
            </w:r>
          </w:p>
        </w:tc>
        <w:tc>
          <w:tcPr>
            <w:tcW w:type="dxa" w:w="2314"/>
            <w:shd w:val="clear" w:color="auto" w:fill="D9E1F2"/>
          </w:tcPr>
          <w:p>
            <w:pPr>
              <w:spacing w:after="0" w:line="240" w:lineRule="auto"/>
              <w:jc w:val="right"/>
            </w:pPr>
            <w:r>
              <w:rPr>
                <w:b w:val="0"/>
                <w:i w:val="0"/>
                <w:sz w:val="16"/>
              </w:rPr>
              <w:t>10.6%</w:t>
            </w:r>
          </w:p>
        </w:tc>
        <w:tc>
          <w:tcPr>
            <w:tcW w:type="dxa" w:w="1602"/>
            <w:shd w:val="clear" w:color="auto" w:fill="D9E1F2"/>
          </w:tcPr>
          <w:p>
            <w:pPr>
              <w:spacing w:after="0" w:line="240" w:lineRule="auto"/>
              <w:jc w:val="right"/>
            </w:pPr>
            <w:r>
              <w:rPr>
                <w:b w:val="0"/>
                <w:i w:val="0"/>
                <w:sz w:val="16"/>
              </w:rPr>
              <w:t>10%</w:t>
            </w:r>
          </w:p>
        </w:tc>
        <w:tc>
          <w:tcPr>
            <w:tcW w:type="dxa" w:w="1602"/>
            <w:shd w:val="clear" w:color="auto" w:fill="D9E1F2"/>
          </w:tcPr>
          <w:p>
            <w:pPr>
              <w:spacing w:after="0" w:line="240" w:lineRule="auto"/>
              <w:jc w:val="right"/>
            </w:pPr>
            <w:r>
              <w:rPr>
                <w:b w:val="0"/>
                <w:i w:val="0"/>
                <w:sz w:val="16"/>
              </w:rPr>
              <w:t>6%</w:t>
            </w:r>
          </w:p>
        </w:tc>
        <w:tc>
          <w:tcPr>
            <w:tcW w:type="dxa" w:w="1424"/>
            <w:shd w:val="clear" w:color="auto" w:fill="D9E1F2"/>
          </w:tcPr>
          <w:p>
            <w:pPr>
              <w:spacing w:after="0" w:line="240" w:lineRule="auto"/>
              <w:jc w:val="right"/>
            </w:pPr>
            <w:r>
              <w:rPr>
                <w:b w:val="0"/>
                <w:i w:val="0"/>
                <w:sz w:val="16"/>
              </w:rPr>
              <w:t>+4</w:t>
            </w:r>
          </w:p>
        </w:tc>
      </w:tr>
      <w:tr>
        <w:trPr>
          <w:cantSplit/>
        </w:trPr>
        <w:tc>
          <w:tcPr>
            <w:tcW w:type="dxa" w:w="1246"/>
          </w:tcPr>
          <w:p>
            <w:pPr>
              <w:spacing w:after="0" w:line="240" w:lineRule="auto"/>
            </w:pPr>
            <w:r>
              <w:rPr>
                <w:b w:val="0"/>
                <w:i w:val="0"/>
                <w:sz w:val="16"/>
              </w:rPr>
              <w:t>2016</w:t>
            </w:r>
          </w:p>
        </w:tc>
        <w:tc>
          <w:tcPr>
            <w:tcW w:type="dxa" w:w="1602"/>
          </w:tcPr>
          <w:p>
            <w:pPr>
              <w:spacing w:after="0" w:line="240" w:lineRule="auto"/>
              <w:jc w:val="right"/>
            </w:pPr>
            <w:r>
              <w:rPr>
                <w:b w:val="0"/>
                <w:i w:val="0"/>
                <w:sz w:val="16"/>
              </w:rPr>
              <w:t>719</w:t>
            </w:r>
          </w:p>
        </w:tc>
        <w:tc>
          <w:tcPr>
            <w:tcW w:type="dxa" w:w="2314"/>
          </w:tcPr>
          <w:p>
            <w:pPr>
              <w:spacing w:after="0" w:line="240" w:lineRule="auto"/>
              <w:jc w:val="right"/>
            </w:pPr>
            <w:r>
              <w:rPr>
                <w:b w:val="0"/>
                <w:i w:val="0"/>
                <w:sz w:val="16"/>
              </w:rPr>
              <w:t>22.9%</w:t>
            </w:r>
          </w:p>
        </w:tc>
        <w:tc>
          <w:tcPr>
            <w:tcW w:type="dxa" w:w="1602"/>
          </w:tcPr>
          <w:p>
            <w:pPr>
              <w:spacing w:after="0" w:line="240" w:lineRule="auto"/>
              <w:jc w:val="right"/>
            </w:pPr>
            <w:r>
              <w:rPr>
                <w:b w:val="0"/>
                <w:i w:val="0"/>
                <w:sz w:val="16"/>
              </w:rPr>
              <w:t>11%</w:t>
            </w:r>
          </w:p>
        </w:tc>
        <w:tc>
          <w:tcPr>
            <w:tcW w:type="dxa" w:w="1602"/>
          </w:tcPr>
          <w:p>
            <w:pPr>
              <w:spacing w:after="0" w:line="240" w:lineRule="auto"/>
              <w:jc w:val="right"/>
            </w:pPr>
            <w:r>
              <w:rPr>
                <w:b w:val="0"/>
                <w:i w:val="0"/>
                <w:sz w:val="16"/>
              </w:rPr>
              <w:t>0%</w:t>
            </w:r>
          </w:p>
        </w:tc>
        <w:tc>
          <w:tcPr>
            <w:tcW w:type="dxa" w:w="1424"/>
          </w:tcPr>
          <w:p>
            <w:pPr>
              <w:spacing w:after="0" w:line="240" w:lineRule="auto"/>
              <w:jc w:val="right"/>
            </w:pPr>
            <w:r>
              <w:rPr>
                <w:b w:val="0"/>
                <w:i w:val="0"/>
                <w:sz w:val="16"/>
              </w:rPr>
              <w:t>+11</w:t>
            </w:r>
          </w:p>
        </w:tc>
      </w:tr>
      <w:tr>
        <w:trPr>
          <w:cantSplit/>
        </w:trPr>
        <w:tc>
          <w:tcPr>
            <w:tcW w:type="dxa" w:w="1246"/>
            <w:shd w:val="clear" w:color="auto" w:fill="D9E1F2"/>
          </w:tcPr>
          <w:p>
            <w:pPr>
              <w:spacing w:after="0" w:line="240" w:lineRule="auto"/>
            </w:pPr>
            <w:r>
              <w:rPr>
                <w:b w:val="0"/>
                <w:i w:val="0"/>
                <w:sz w:val="16"/>
              </w:rPr>
              <w:t>2017</w:t>
            </w:r>
          </w:p>
        </w:tc>
        <w:tc>
          <w:tcPr>
            <w:tcW w:type="dxa" w:w="1602"/>
            <w:shd w:val="clear" w:color="auto" w:fill="D9E1F2"/>
          </w:tcPr>
          <w:p>
            <w:pPr>
              <w:spacing w:after="0" w:line="240" w:lineRule="auto"/>
              <w:jc w:val="right"/>
            </w:pPr>
            <w:r>
              <w:rPr>
                <w:b w:val="0"/>
                <w:i w:val="0"/>
                <w:sz w:val="16"/>
              </w:rPr>
              <w:t>836</w:t>
            </w:r>
          </w:p>
        </w:tc>
        <w:tc>
          <w:tcPr>
            <w:tcW w:type="dxa" w:w="2314"/>
            <w:shd w:val="clear" w:color="auto" w:fill="D9E1F2"/>
          </w:tcPr>
          <w:p>
            <w:pPr>
              <w:spacing w:after="0" w:line="240" w:lineRule="auto"/>
              <w:jc w:val="right"/>
            </w:pPr>
            <w:r>
              <w:rPr>
                <w:b w:val="0"/>
                <w:i w:val="0"/>
                <w:sz w:val="16"/>
              </w:rPr>
              <w:t>16.3%</w:t>
            </w:r>
          </w:p>
        </w:tc>
        <w:tc>
          <w:tcPr>
            <w:tcW w:type="dxa" w:w="1602"/>
            <w:shd w:val="clear" w:color="auto" w:fill="D9E1F2"/>
          </w:tcPr>
          <w:p>
            <w:pPr>
              <w:spacing w:after="0" w:line="240" w:lineRule="auto"/>
              <w:jc w:val="right"/>
            </w:pPr>
            <w:r>
              <w:rPr>
                <w:b w:val="0"/>
                <w:i w:val="0"/>
                <w:sz w:val="16"/>
              </w:rPr>
              <w:t>14%</w:t>
            </w:r>
          </w:p>
        </w:tc>
        <w:tc>
          <w:tcPr>
            <w:tcW w:type="dxa" w:w="1602"/>
            <w:shd w:val="clear" w:color="auto" w:fill="D9E1F2"/>
          </w:tcPr>
          <w:p>
            <w:pPr>
              <w:spacing w:after="0" w:line="240" w:lineRule="auto"/>
              <w:jc w:val="right"/>
            </w:pPr>
            <w:r>
              <w:rPr>
                <w:b w:val="0"/>
                <w:i w:val="0"/>
                <w:sz w:val="16"/>
              </w:rPr>
              <w:t>-2%</w:t>
            </w:r>
          </w:p>
        </w:tc>
        <w:tc>
          <w:tcPr>
            <w:tcW w:type="dxa" w:w="1424"/>
            <w:shd w:val="clear" w:color="auto" w:fill="D9E1F2"/>
          </w:tcPr>
          <w:p>
            <w:pPr>
              <w:spacing w:after="0" w:line="240" w:lineRule="auto"/>
              <w:jc w:val="right"/>
            </w:pPr>
            <w:r>
              <w:rPr>
                <w:b w:val="0"/>
                <w:i w:val="0"/>
                <w:sz w:val="16"/>
              </w:rPr>
              <w:t>+16</w:t>
            </w:r>
          </w:p>
        </w:tc>
      </w:tr>
      <w:tr>
        <w:trPr>
          <w:cantSplit/>
        </w:trPr>
        <w:tc>
          <w:tcPr>
            <w:tcW w:type="dxa" w:w="1246"/>
          </w:tcPr>
          <w:p>
            <w:pPr>
              <w:spacing w:after="0" w:line="240" w:lineRule="auto"/>
            </w:pPr>
            <w:r>
              <w:rPr>
                <w:b w:val="0"/>
                <w:i w:val="0"/>
                <w:sz w:val="16"/>
              </w:rPr>
              <w:t>2018</w:t>
            </w:r>
          </w:p>
        </w:tc>
        <w:tc>
          <w:tcPr>
            <w:tcW w:type="dxa" w:w="1602"/>
          </w:tcPr>
          <w:p>
            <w:pPr>
              <w:spacing w:after="0" w:line="240" w:lineRule="auto"/>
              <w:jc w:val="right"/>
            </w:pPr>
            <w:r>
              <w:rPr>
                <w:b w:val="0"/>
                <w:i w:val="0"/>
                <w:sz w:val="16"/>
              </w:rPr>
              <w:t>979</w:t>
            </w:r>
          </w:p>
        </w:tc>
        <w:tc>
          <w:tcPr>
            <w:tcW w:type="dxa" w:w="2314"/>
          </w:tcPr>
          <w:p>
            <w:pPr>
              <w:spacing w:after="0" w:line="240" w:lineRule="auto"/>
              <w:jc w:val="right"/>
            </w:pPr>
            <w:r>
              <w:rPr>
                <w:b w:val="0"/>
                <w:i w:val="0"/>
                <w:sz w:val="16"/>
              </w:rPr>
              <w:t>17.1%</w:t>
            </w:r>
          </w:p>
        </w:tc>
        <w:tc>
          <w:tcPr>
            <w:tcW w:type="dxa" w:w="1602"/>
          </w:tcPr>
          <w:p>
            <w:pPr>
              <w:spacing w:after="0" w:line="240" w:lineRule="auto"/>
              <w:jc w:val="right"/>
            </w:pPr>
            <w:r>
              <w:rPr>
                <w:b w:val="0"/>
                <w:i w:val="0"/>
                <w:sz w:val="16"/>
              </w:rPr>
              <w:t>11%</w:t>
            </w:r>
          </w:p>
        </w:tc>
        <w:tc>
          <w:tcPr>
            <w:tcW w:type="dxa" w:w="1602"/>
          </w:tcPr>
          <w:p>
            <w:pPr>
              <w:spacing w:after="0" w:line="240" w:lineRule="auto"/>
              <w:jc w:val="right"/>
            </w:pPr>
            <w:r>
              <w:rPr>
                <w:b w:val="0"/>
                <w:i w:val="0"/>
                <w:sz w:val="16"/>
              </w:rPr>
              <w:t>1%</w:t>
            </w:r>
          </w:p>
        </w:tc>
        <w:tc>
          <w:tcPr>
            <w:tcW w:type="dxa" w:w="1424"/>
          </w:tcPr>
          <w:p>
            <w:pPr>
              <w:spacing w:after="0" w:line="240" w:lineRule="auto"/>
              <w:jc w:val="right"/>
            </w:pPr>
            <w:r>
              <w:rPr>
                <w:b w:val="0"/>
                <w:i w:val="0"/>
                <w:sz w:val="16"/>
              </w:rPr>
              <w:t>+10</w:t>
            </w:r>
          </w:p>
        </w:tc>
      </w:tr>
      <w:tr>
        <w:trPr>
          <w:cantSplit/>
        </w:trPr>
        <w:tc>
          <w:tcPr>
            <w:tcW w:type="dxa" w:w="1246"/>
            <w:shd w:val="clear" w:color="auto" w:fill="D9E1F2"/>
          </w:tcPr>
          <w:p>
            <w:pPr>
              <w:spacing w:after="0" w:line="240" w:lineRule="auto"/>
            </w:pPr>
            <w:r>
              <w:rPr>
                <w:b w:val="0"/>
                <w:i w:val="0"/>
                <w:sz w:val="16"/>
              </w:rPr>
              <w:t>2019</w:t>
            </w:r>
          </w:p>
        </w:tc>
        <w:tc>
          <w:tcPr>
            <w:tcW w:type="dxa" w:w="1602"/>
            <w:shd w:val="clear" w:color="auto" w:fill="D9E1F2"/>
          </w:tcPr>
          <w:p>
            <w:pPr>
              <w:spacing w:after="0" w:line="240" w:lineRule="auto"/>
              <w:jc w:val="right"/>
            </w:pPr>
            <w:r>
              <w:rPr>
                <w:b w:val="0"/>
                <w:i w:val="0"/>
                <w:sz w:val="16"/>
              </w:rPr>
              <w:t>1,074</w:t>
            </w:r>
          </w:p>
        </w:tc>
        <w:tc>
          <w:tcPr>
            <w:tcW w:type="dxa" w:w="2314"/>
            <w:shd w:val="clear" w:color="auto" w:fill="D9E1F2"/>
          </w:tcPr>
          <w:p>
            <w:pPr>
              <w:spacing w:after="0" w:line="240" w:lineRule="auto"/>
              <w:jc w:val="right"/>
            </w:pPr>
            <w:r>
              <w:rPr>
                <w:b w:val="0"/>
                <w:i w:val="0"/>
                <w:sz w:val="16"/>
              </w:rPr>
              <w:t>9.7%</w:t>
            </w:r>
          </w:p>
        </w:tc>
        <w:tc>
          <w:tcPr>
            <w:tcW w:type="dxa" w:w="1602"/>
            <w:shd w:val="clear" w:color="auto" w:fill="D9E1F2"/>
          </w:tcPr>
          <w:p>
            <w:pPr>
              <w:spacing w:after="0" w:line="240" w:lineRule="auto"/>
              <w:jc w:val="right"/>
            </w:pPr>
            <w:r>
              <w:rPr>
                <w:b w:val="0"/>
                <w:i w:val="0"/>
                <w:sz w:val="16"/>
              </w:rPr>
              <w:t>10%</w:t>
            </w:r>
          </w:p>
        </w:tc>
        <w:tc>
          <w:tcPr>
            <w:tcW w:type="dxa" w:w="1602"/>
            <w:shd w:val="clear" w:color="auto" w:fill="D9E1F2"/>
          </w:tcPr>
          <w:p>
            <w:pPr>
              <w:spacing w:after="0" w:line="240" w:lineRule="auto"/>
              <w:jc w:val="right"/>
            </w:pPr>
            <w:r>
              <w:rPr>
                <w:b w:val="0"/>
                <w:i w:val="0"/>
                <w:sz w:val="16"/>
              </w:rPr>
              <w:t>-1%</w:t>
            </w:r>
          </w:p>
        </w:tc>
        <w:tc>
          <w:tcPr>
            <w:tcW w:type="dxa" w:w="1424"/>
            <w:shd w:val="clear" w:color="auto" w:fill="D9E1F2"/>
          </w:tcPr>
          <w:p>
            <w:pPr>
              <w:spacing w:after="0" w:line="240" w:lineRule="auto"/>
              <w:jc w:val="right"/>
            </w:pPr>
            <w:r>
              <w:rPr>
                <w:b w:val="0"/>
                <w:i w:val="0"/>
                <w:sz w:val="16"/>
              </w:rPr>
              <w:t>+11</w:t>
            </w:r>
          </w:p>
        </w:tc>
      </w:tr>
      <w:tr>
        <w:trPr>
          <w:cantSplit/>
        </w:trPr>
        <w:tc>
          <w:tcPr>
            <w:tcW w:type="dxa" w:w="1246"/>
          </w:tcPr>
          <w:p>
            <w:pPr>
              <w:spacing w:after="0" w:line="240" w:lineRule="auto"/>
            </w:pPr>
            <w:r>
              <w:rPr>
                <w:b w:val="0"/>
                <w:i w:val="0"/>
                <w:sz w:val="16"/>
              </w:rPr>
              <w:t>2020</w:t>
            </w:r>
          </w:p>
        </w:tc>
        <w:tc>
          <w:tcPr>
            <w:tcW w:type="dxa" w:w="1602"/>
          </w:tcPr>
          <w:p>
            <w:pPr>
              <w:spacing w:after="0" w:line="240" w:lineRule="auto"/>
              <w:jc w:val="right"/>
            </w:pPr>
            <w:r>
              <w:rPr>
                <w:b w:val="0"/>
                <w:i w:val="0"/>
                <w:sz w:val="16"/>
              </w:rPr>
              <w:t>1,052</w:t>
            </w:r>
          </w:p>
        </w:tc>
        <w:tc>
          <w:tcPr>
            <w:tcW w:type="dxa" w:w="2314"/>
          </w:tcPr>
          <w:p>
            <w:pPr>
              <w:spacing w:after="0" w:line="240" w:lineRule="auto"/>
              <w:jc w:val="right"/>
            </w:pPr>
            <w:r>
              <w:rPr>
                <w:b w:val="0"/>
                <w:i w:val="0"/>
                <w:sz w:val="16"/>
              </w:rPr>
              <w:t>-2.0%</w:t>
            </w:r>
          </w:p>
        </w:tc>
        <w:tc>
          <w:tcPr>
            <w:tcW w:type="dxa" w:w="1602"/>
          </w:tcPr>
          <w:p>
            <w:pPr>
              <w:spacing w:after="0" w:line="240" w:lineRule="auto"/>
              <w:jc w:val="right"/>
            </w:pPr>
            <w:r>
              <w:rPr>
                <w:b w:val="0"/>
                <w:i w:val="0"/>
                <w:sz w:val="16"/>
              </w:rPr>
              <w:t>-2%</w:t>
            </w:r>
          </w:p>
        </w:tc>
        <w:tc>
          <w:tcPr>
            <w:tcW w:type="dxa" w:w="1602"/>
          </w:tcPr>
          <w:p>
            <w:pPr>
              <w:spacing w:after="0" w:line="240" w:lineRule="auto"/>
              <w:jc w:val="right"/>
            </w:pPr>
            <w:r>
              <w:rPr>
                <w:b w:val="0"/>
                <w:i w:val="0"/>
                <w:sz w:val="16"/>
              </w:rPr>
              <w:t>-15%</w:t>
            </w:r>
          </w:p>
        </w:tc>
        <w:tc>
          <w:tcPr>
            <w:tcW w:type="dxa" w:w="1424"/>
          </w:tcPr>
          <w:p>
            <w:pPr>
              <w:spacing w:after="0" w:line="240" w:lineRule="auto"/>
              <w:jc w:val="right"/>
            </w:pPr>
            <w:r>
              <w:rPr>
                <w:b w:val="0"/>
                <w:i w:val="0"/>
                <w:sz w:val="16"/>
              </w:rPr>
              <w:t>+13</w:t>
            </w:r>
          </w:p>
        </w:tc>
      </w:tr>
      <w:tr>
        <w:trPr>
          <w:cantSplit/>
        </w:trPr>
        <w:tc>
          <w:tcPr>
            <w:tcW w:type="dxa" w:w="1246"/>
            <w:shd w:val="clear" w:color="auto" w:fill="D9E1F2"/>
          </w:tcPr>
          <w:p>
            <w:pPr>
              <w:spacing w:after="0" w:line="240" w:lineRule="auto"/>
            </w:pPr>
            <w:r>
              <w:rPr>
                <w:b w:val="0"/>
                <w:i w:val="0"/>
                <w:sz w:val="16"/>
              </w:rPr>
              <w:t>2021</w:t>
            </w:r>
          </w:p>
        </w:tc>
        <w:tc>
          <w:tcPr>
            <w:tcW w:type="dxa" w:w="1602"/>
            <w:shd w:val="clear" w:color="auto" w:fill="D9E1F2"/>
          </w:tcPr>
          <w:p>
            <w:pPr>
              <w:spacing w:after="0" w:line="240" w:lineRule="auto"/>
              <w:jc w:val="right"/>
            </w:pPr>
            <w:r>
              <w:rPr>
                <w:b w:val="0"/>
                <w:i w:val="0"/>
                <w:sz w:val="16"/>
              </w:rPr>
              <w:t>1,247</w:t>
            </w:r>
          </w:p>
        </w:tc>
        <w:tc>
          <w:tcPr>
            <w:tcW w:type="dxa" w:w="2314"/>
            <w:shd w:val="clear" w:color="auto" w:fill="D9E1F2"/>
          </w:tcPr>
          <w:p>
            <w:pPr>
              <w:spacing w:after="0" w:line="240" w:lineRule="auto"/>
              <w:jc w:val="right"/>
            </w:pPr>
            <w:r>
              <w:rPr>
                <w:b w:val="0"/>
                <w:i w:val="0"/>
                <w:sz w:val="16"/>
              </w:rPr>
              <w:t>18.5%</w:t>
            </w:r>
          </w:p>
        </w:tc>
        <w:tc>
          <w:tcPr>
            <w:tcW w:type="dxa" w:w="1602"/>
            <w:shd w:val="clear" w:color="auto" w:fill="D9E1F2"/>
          </w:tcPr>
          <w:p>
            <w:pPr>
              <w:spacing w:after="0" w:line="240" w:lineRule="auto"/>
              <w:jc w:val="right"/>
            </w:pPr>
            <w:r>
              <w:rPr>
                <w:b w:val="0"/>
                <w:i w:val="0"/>
                <w:sz w:val="16"/>
              </w:rPr>
              <w:t>18%</w:t>
            </w:r>
          </w:p>
        </w:tc>
        <w:tc>
          <w:tcPr>
            <w:tcW w:type="dxa" w:w="1602"/>
            <w:shd w:val="clear" w:color="auto" w:fill="D9E1F2"/>
          </w:tcPr>
          <w:p>
            <w:pPr>
              <w:spacing w:after="0" w:line="240" w:lineRule="auto"/>
              <w:jc w:val="right"/>
            </w:pPr>
            <w:r>
              <w:rPr>
                <w:b w:val="0"/>
                <w:i w:val="0"/>
                <w:sz w:val="16"/>
              </w:rPr>
              <w:t>4%</w:t>
            </w:r>
          </w:p>
        </w:tc>
        <w:tc>
          <w:tcPr>
            <w:tcW w:type="dxa" w:w="1424"/>
            <w:shd w:val="clear" w:color="auto" w:fill="D9E1F2"/>
          </w:tcPr>
          <w:p>
            <w:pPr>
              <w:spacing w:after="0" w:line="240" w:lineRule="auto"/>
              <w:jc w:val="right"/>
            </w:pPr>
            <w:r>
              <w:rPr>
                <w:b w:val="0"/>
                <w:i w:val="0"/>
                <w:sz w:val="16"/>
              </w:rPr>
              <w:t>+14</w:t>
            </w:r>
          </w:p>
        </w:tc>
      </w:tr>
      <w:tr>
        <w:trPr>
          <w:cantSplit/>
        </w:trPr>
        <w:tc>
          <w:tcPr>
            <w:tcW w:type="dxa" w:w="1246"/>
          </w:tcPr>
          <w:p>
            <w:pPr>
              <w:spacing w:after="0" w:line="240" w:lineRule="auto"/>
            </w:pPr>
            <w:r>
              <w:rPr>
                <w:b w:val="0"/>
                <w:i w:val="0"/>
                <w:sz w:val="16"/>
              </w:rPr>
              <w:t>2022</w:t>
            </w:r>
          </w:p>
        </w:tc>
        <w:tc>
          <w:tcPr>
            <w:tcW w:type="dxa" w:w="1602"/>
          </w:tcPr>
          <w:p>
            <w:pPr>
              <w:spacing w:after="0" w:line="240" w:lineRule="auto"/>
              <w:jc w:val="right"/>
            </w:pPr>
            <w:r>
              <w:rPr>
                <w:b w:val="0"/>
                <w:i w:val="0"/>
                <w:sz w:val="16"/>
              </w:rPr>
              <w:t>1,351</w:t>
            </w:r>
          </w:p>
        </w:tc>
        <w:tc>
          <w:tcPr>
            <w:tcW w:type="dxa" w:w="2314"/>
          </w:tcPr>
          <w:p>
            <w:pPr>
              <w:spacing w:after="0" w:line="240" w:lineRule="auto"/>
              <w:jc w:val="right"/>
            </w:pPr>
            <w:r>
              <w:rPr>
                <w:b w:val="0"/>
                <w:i w:val="0"/>
                <w:sz w:val="16"/>
              </w:rPr>
              <w:t>8.3%</w:t>
            </w:r>
          </w:p>
        </w:tc>
        <w:tc>
          <w:tcPr>
            <w:tcW w:type="dxa" w:w="1602"/>
          </w:tcPr>
          <w:p>
            <w:pPr>
              <w:spacing w:after="0" w:line="240" w:lineRule="auto"/>
              <w:jc w:val="right"/>
            </w:pPr>
            <w:r>
              <w:rPr>
                <w:b w:val="0"/>
                <w:i w:val="0"/>
                <w:sz w:val="16"/>
              </w:rPr>
              <w:t>10%</w:t>
            </w:r>
          </w:p>
        </w:tc>
        <w:tc>
          <w:tcPr>
            <w:tcW w:type="dxa" w:w="1602"/>
          </w:tcPr>
          <w:p>
            <w:pPr>
              <w:spacing w:after="0" w:line="240" w:lineRule="auto"/>
              <w:jc w:val="right"/>
            </w:pPr>
            <w:r>
              <w:rPr>
                <w:b w:val="0"/>
                <w:i w:val="0"/>
                <w:sz w:val="16"/>
              </w:rPr>
              <w:t>-8%</w:t>
            </w:r>
          </w:p>
        </w:tc>
        <w:tc>
          <w:tcPr>
            <w:tcW w:type="dxa" w:w="1424"/>
          </w:tcPr>
          <w:p>
            <w:pPr>
              <w:spacing w:after="0" w:line="240" w:lineRule="auto"/>
              <w:jc w:val="right"/>
            </w:pPr>
            <w:r>
              <w:rPr>
                <w:b w:val="0"/>
                <w:i w:val="0"/>
                <w:sz w:val="16"/>
              </w:rPr>
              <w:t>+18</w:t>
            </w:r>
          </w:p>
        </w:tc>
      </w:tr>
      <w:tr>
        <w:trPr>
          <w:cantSplit/>
        </w:trPr>
        <w:tc>
          <w:tcPr>
            <w:tcW w:type="dxa" w:w="1246"/>
            <w:shd w:val="clear" w:color="auto" w:fill="D9E1F2"/>
          </w:tcPr>
          <w:p>
            <w:pPr>
              <w:spacing w:after="0" w:line="240" w:lineRule="auto"/>
            </w:pPr>
            <w:r>
              <w:rPr>
                <w:b w:val="0"/>
                <w:i w:val="0"/>
                <w:sz w:val="16"/>
              </w:rPr>
              <w:t>2023</w:t>
            </w:r>
          </w:p>
        </w:tc>
        <w:tc>
          <w:tcPr>
            <w:tcW w:type="dxa" w:w="1602"/>
            <w:shd w:val="clear" w:color="auto" w:fill="D9E1F2"/>
          </w:tcPr>
          <w:p>
            <w:pPr>
              <w:spacing w:after="0" w:line="240" w:lineRule="auto"/>
              <w:jc w:val="right"/>
            </w:pPr>
            <w:r>
              <w:rPr>
                <w:b w:val="0"/>
                <w:i w:val="0"/>
                <w:sz w:val="16"/>
              </w:rPr>
              <w:t>1,485</w:t>
            </w:r>
          </w:p>
        </w:tc>
        <w:tc>
          <w:tcPr>
            <w:tcW w:type="dxa" w:w="2314"/>
            <w:shd w:val="clear" w:color="auto" w:fill="D9E1F2"/>
          </w:tcPr>
          <w:p>
            <w:pPr>
              <w:spacing w:after="0" w:line="240" w:lineRule="auto"/>
              <w:jc w:val="right"/>
            </w:pPr>
            <w:r>
              <w:rPr>
                <w:b w:val="0"/>
                <w:i w:val="0"/>
                <w:sz w:val="16"/>
              </w:rPr>
              <w:t>9.9%</w:t>
            </w:r>
          </w:p>
        </w:tc>
        <w:tc>
          <w:tcPr>
            <w:tcW w:type="dxa" w:w="1602"/>
            <w:shd w:val="clear" w:color="auto" w:fill="D9E1F2"/>
          </w:tcPr>
          <w:p>
            <w:pPr>
              <w:spacing w:after="0" w:line="240" w:lineRule="auto"/>
              <w:jc w:val="right"/>
            </w:pPr>
            <w:r>
              <w:rPr>
                <w:b w:val="0"/>
                <w:i w:val="0"/>
                <w:sz w:val="16"/>
              </w:rPr>
              <w:t>9%</w:t>
            </w:r>
          </w:p>
        </w:tc>
        <w:tc>
          <w:tcPr>
            <w:tcW w:type="dxa" w:w="1602"/>
            <w:shd w:val="clear" w:color="auto" w:fill="D9E1F2"/>
          </w:tcPr>
          <w:p>
            <w:pPr>
              <w:spacing w:after="0" w:line="240" w:lineRule="auto"/>
              <w:jc w:val="right"/>
            </w:pPr>
            <w:r>
              <w:rPr>
                <w:b w:val="0"/>
                <w:i w:val="0"/>
                <w:sz w:val="16"/>
              </w:rPr>
              <w:t>13%</w:t>
            </w:r>
          </w:p>
        </w:tc>
        <w:tc>
          <w:tcPr>
            <w:tcW w:type="dxa" w:w="1424"/>
            <w:shd w:val="clear" w:color="auto" w:fill="D9E1F2"/>
          </w:tcPr>
          <w:p>
            <w:pPr>
              <w:spacing w:after="0" w:line="240" w:lineRule="auto"/>
              <w:jc w:val="right"/>
            </w:pPr>
            <w:r>
              <w:rPr>
                <w:b w:val="0"/>
                <w:i w:val="0"/>
                <w:sz w:val="16"/>
              </w:rPr>
              <w:t>-4</w:t>
            </w:r>
          </w:p>
        </w:tc>
      </w:tr>
      <w:tr>
        <w:trPr>
          <w:cantSplit/>
        </w:trPr>
        <w:tc>
          <w:tcPr>
            <w:tcW w:type="dxa" w:w="1246"/>
          </w:tcPr>
          <w:p>
            <w:pPr>
              <w:spacing w:after="0" w:line="240" w:lineRule="auto"/>
            </w:pPr>
            <w:r>
              <w:rPr>
                <w:b w:val="0"/>
                <w:i w:val="0"/>
                <w:sz w:val="16"/>
              </w:rPr>
              <w:t>2024</w:t>
            </w:r>
          </w:p>
        </w:tc>
        <w:tc>
          <w:tcPr>
            <w:tcW w:type="dxa" w:w="1602"/>
          </w:tcPr>
          <w:p>
            <w:pPr>
              <w:spacing w:after="0" w:line="240" w:lineRule="auto"/>
              <w:jc w:val="right"/>
            </w:pPr>
            <w:r>
              <w:rPr>
                <w:b w:val="0"/>
                <w:i w:val="0"/>
                <w:sz w:val="16"/>
              </w:rPr>
              <w:t>1,613</w:t>
            </w:r>
          </w:p>
        </w:tc>
        <w:tc>
          <w:tcPr>
            <w:tcW w:type="dxa" w:w="2314"/>
          </w:tcPr>
          <w:p>
            <w:pPr>
              <w:spacing w:after="0" w:line="240" w:lineRule="auto"/>
              <w:jc w:val="right"/>
            </w:pPr>
            <w:r>
              <w:rPr>
                <w:b w:val="0"/>
                <w:i w:val="0"/>
                <w:sz w:val="16"/>
              </w:rPr>
              <w:t>8.6%</w:t>
            </w:r>
          </w:p>
        </w:tc>
        <w:tc>
          <w:tcPr>
            <w:tcW w:type="dxa" w:w="1602"/>
          </w:tcPr>
          <w:p>
            <w:pPr>
              <w:spacing w:after="0" w:line="240" w:lineRule="auto"/>
              <w:jc w:val="right"/>
            </w:pPr>
            <w:r>
              <w:rPr>
                <w:b w:val="0"/>
                <w:i w:val="0"/>
                <w:sz w:val="16"/>
              </w:rPr>
              <w:t>9%</w:t>
            </w:r>
          </w:p>
        </w:tc>
        <w:tc>
          <w:tcPr>
            <w:tcW w:type="dxa" w:w="1602"/>
          </w:tcPr>
          <w:p>
            <w:pPr>
              <w:spacing w:after="0" w:line="240" w:lineRule="auto"/>
              <w:jc w:val="right"/>
            </w:pPr>
            <w:r>
              <w:rPr>
                <w:b w:val="0"/>
                <w:i w:val="0"/>
                <w:sz w:val="16"/>
              </w:rPr>
              <w:t>2%</w:t>
            </w:r>
          </w:p>
        </w:tc>
        <w:tc>
          <w:tcPr>
            <w:tcW w:type="dxa" w:w="1424"/>
          </w:tcPr>
          <w:p>
            <w:pPr>
              <w:spacing w:after="0" w:line="240" w:lineRule="auto"/>
              <w:jc w:val="right"/>
            </w:pPr>
            <w:r>
              <w:rPr>
                <w:b w:val="0"/>
                <w:i w:val="0"/>
                <w:sz w:val="16"/>
              </w:rPr>
              <w:t>+7</w:t>
            </w:r>
          </w:p>
        </w:tc>
      </w:tr>
      <w:tr>
        <w:trPr>
          <w:cantSplit/>
        </w:trPr>
        <w:tc>
          <w:tcPr>
            <w:tcW w:type="dxa" w:w="1246"/>
            <w:shd w:val="clear" w:color="auto" w:fill="D9E1F2"/>
          </w:tcPr>
          <w:p>
            <w:pPr>
              <w:spacing w:after="0" w:line="240" w:lineRule="auto"/>
            </w:pPr>
            <w:r>
              <w:rPr>
                <w:b w:val="0"/>
                <w:i w:val="0"/>
                <w:sz w:val="16"/>
              </w:rPr>
              <w:t>2025</w:t>
            </w:r>
          </w:p>
        </w:tc>
        <w:tc>
          <w:tcPr>
            <w:tcW w:type="dxa" w:w="1602"/>
            <w:shd w:val="clear" w:color="auto" w:fill="D9E1F2"/>
          </w:tcPr>
          <w:p>
            <w:pPr>
              <w:spacing w:after="0" w:line="240" w:lineRule="auto"/>
              <w:jc w:val="right"/>
            </w:pPr>
            <w:r>
              <w:rPr>
                <w:b w:val="0"/>
                <w:i w:val="0"/>
                <w:sz w:val="16"/>
              </w:rPr>
              <w:t>1,750</w:t>
            </w:r>
          </w:p>
        </w:tc>
        <w:tc>
          <w:tcPr>
            <w:tcW w:type="dxa" w:w="2314"/>
            <w:shd w:val="clear" w:color="auto" w:fill="D9E1F2"/>
          </w:tcPr>
          <w:p>
            <w:pPr>
              <w:spacing w:after="0" w:line="240" w:lineRule="auto"/>
              <w:jc w:val="right"/>
            </w:pPr>
            <w:r>
              <w:rPr>
                <w:b w:val="0"/>
                <w:i w:val="0"/>
                <w:sz w:val="16"/>
              </w:rPr>
              <w:t>8.5%</w:t>
            </w:r>
          </w:p>
        </w:tc>
        <w:tc>
          <w:tcPr>
            <w:tcW w:type="dxa" w:w="1602"/>
            <w:shd w:val="clear" w:color="auto" w:fill="D9E1F2"/>
          </w:tcPr>
          <w:p>
            <w:pPr>
              <w:spacing w:after="0" w:line="240" w:lineRule="auto"/>
              <w:jc w:val="right"/>
            </w:pPr>
            <w:r>
              <w:rPr>
                <w:b w:val="0"/>
                <w:i w:val="0"/>
                <w:sz w:val="16"/>
              </w:rPr>
              <w:t>9%</w:t>
            </w:r>
          </w:p>
        </w:tc>
        <w:tc>
          <w:tcPr>
            <w:tcW w:type="dxa" w:w="1602"/>
            <w:shd w:val="clear" w:color="auto" w:fill="D9E1F2"/>
          </w:tcPr>
          <w:p>
            <w:pPr>
              <w:spacing w:after="0" w:line="240" w:lineRule="auto"/>
              <w:jc w:val="right"/>
            </w:pPr>
            <w:r>
              <w:rPr>
                <w:b w:val="0"/>
                <w:i w:val="0"/>
                <w:sz w:val="16"/>
              </w:rPr>
              <w:t>2%</w:t>
            </w:r>
          </w:p>
        </w:tc>
        <w:tc>
          <w:tcPr>
            <w:tcW w:type="dxa" w:w="1424"/>
            <w:shd w:val="clear" w:color="auto" w:fill="D9E1F2"/>
          </w:tcPr>
          <w:p>
            <w:pPr>
              <w:spacing w:after="0" w:line="240" w:lineRule="auto"/>
              <w:jc w:val="right"/>
            </w:pPr>
            <w:r>
              <w:rPr>
                <w:b w:val="0"/>
                <w:i w:val="0"/>
                <w:sz w:val="16"/>
              </w:rPr>
              <w:t>+7</w:t>
            </w:r>
          </w:p>
        </w:tc>
      </w:tr>
    </w:tbl>
    <w:p>
      <w:pPr>
        <w:spacing w:after="120"/>
      </w:pPr>
      <w:r>
        <w:rPr>
          <w:b w:val="0"/>
          <w:i/>
          <w:color w:val="595959"/>
          <w:sz w:val="15"/>
        </w:rPr>
        <w:t xml:space="preserve">Source: Investor Day slide 91 labels </w:t>
      </w:r>
      <w:r>
        <w:rPr>
          <w:b/>
          <w:color w:val="2E548C"/>
          <w:sz w:val="12"/>
        </w:rPr>
        <w:t>[D-deck]</w:t>
      </w:r>
      <w:r>
        <w:rPr>
          <w:b w:val="0"/>
          <w:i/>
          <w:color w:val="595959"/>
          <w:sz w:val="15"/>
        </w:rPr>
        <w:t xml:space="preserve">, year mapping by analyst </w:t>
      </w:r>
      <w:r>
        <w:rPr>
          <w:b/>
          <w:color w:val="2E548C"/>
          <w:sz w:val="12"/>
        </w:rPr>
        <w:t>[C]</w:t>
      </w:r>
      <w:r>
        <w:rPr>
          <w:b w:val="0"/>
          <w:i/>
          <w:color w:val="595959"/>
          <w:sz w:val="15"/>
        </w:rPr>
        <w:t xml:space="preserve"> (K_session_tables.md). The slide is footnoted “NOT prepared on a consistent basis”. “Industry” = FRED new light-vehicle sales (inference), not used-vehicle transactions.</w:t>
      </w:r>
    </w:p>
    <w:p>
      <w:r>
        <w:rPr>
          <w:b w:val="0"/>
          <w:i w:val="0"/>
        </w:rPr>
        <w:t xml:space="preserve">Compounded 2015–25, organic ≈ ×2.80 (≈9.8% a year) vs industry units ≈ ×0.99 (≈0% a year) </w:t>
      </w:r>
      <w:r>
        <w:rPr>
          <w:b/>
          <w:color w:val="2E548C"/>
          <w:sz w:val="16"/>
        </w:rPr>
        <w:t>[C]</w:t>
      </w:r>
      <w:r>
        <w:rPr>
          <w:b w:val="0"/>
          <w:i w:val="0"/>
        </w:rPr>
        <w:t xml:space="preserve">; reported CAGR 2014–25 ≈ 11.5% </w:t>
      </w:r>
      <w:r>
        <w:rPr>
          <w:b/>
          <w:color w:val="2E548C"/>
          <w:sz w:val="16"/>
        </w:rPr>
        <w:t>[C]</w:t>
      </w:r>
      <w:r>
        <w:rPr>
          <w:b w:val="0"/>
          <w:i w:val="0"/>
        </w:rPr>
        <w:t xml:space="preserve">. The relevant comparator for CARFAX is used-vehicle transactions, which is missing: </w:t>
      </w:r>
      <w:r>
        <w:rPr>
          <w:b/>
          <w:color w:val="E36C09"/>
        </w:rPr>
        <w:t>[TO COLLECT #16: replace slide-91 comparator with used-vehicle transactions (Cox) and rerun the gap and regression]</w:t>
      </w:r>
      <w:r>
        <w:rPr>
          <w:b w:val="0"/>
          <w:i w:val="0"/>
        </w:rPr>
        <w:t>.</w:t>
      </w:r>
    </w:p>
    <w:p>
      <w:pPr>
        <w:pStyle w:val="Heading2"/>
      </w:pPr>
      <w:r>
        <w:t>4.3 Competitive landscape (as named)</w:t>
      </w:r>
    </w:p>
    <w:p>
      <w:r>
        <w:rPr>
          <w:b w:val="0"/>
          <w:i w:val="0"/>
        </w:rPr>
        <w:t xml:space="preserve">Competitors are named only in Business (10A p.382) </w:t>
      </w:r>
      <w:r>
        <w:rPr>
          <w:b/>
          <w:color w:val="2E548C"/>
          <w:sz w:val="16"/>
        </w:rPr>
        <w:t>[D]</w:t>
      </w:r>
      <w:r>
        <w:rPr>
          <w:b w:val="0"/>
          <w:i w:val="0"/>
        </w:rPr>
        <w:t xml:space="preserve">: automotive data and analytics (J.D. Power, Cox Automotive); data and information providers (Experian, GlobalData); BI and consulting firms and niche players (unnamed). Risk factors name no competitors </w:t>
      </w:r>
      <w:r>
        <w:rPr>
          <w:b/>
          <w:color w:val="2E548C"/>
          <w:sz w:val="16"/>
        </w:rPr>
        <w:t>[D]</w:t>
      </w:r>
      <w:r>
        <w:rPr>
          <w:b w:val="0"/>
          <w:i w:val="0"/>
        </w:rPr>
        <w:t xml:space="preserve">. Management says no single competitor spans the lifecycle </w:t>
      </w:r>
      <w:r>
        <w:rPr>
          <w:b/>
          <w:color w:val="2E548C"/>
          <w:sz w:val="16"/>
        </w:rPr>
        <w:t>[IR]</w:t>
      </w:r>
      <w:r>
        <w:rPr>
          <w:b w:val="0"/>
          <w:i w:val="0"/>
        </w:rPr>
        <w:t xml:space="preserve">. </w:t>
      </w:r>
      <w:r>
        <w:rPr>
          <w:b/>
          <w:color w:val="E36C09"/>
        </w:rPr>
        <w:t>[TO COLLECT #17: competitor revenue/scale benchmarks — Experian AutoCheck, Cox (KBB, Autotrader, vAuto), J.D. Power, GlobalData/LMC]</w:t>
      </w:r>
      <w:r>
        <w:rPr>
          <w:b w:val="0"/>
          <w:i w:val="0"/>
        </w:rPr>
        <w:t xml:space="preserve">; </w:t>
      </w:r>
      <w:r>
        <w:rPr>
          <w:b/>
          <w:color w:val="E36C09"/>
        </w:rPr>
        <w:t>[TO COLLECT #18: CARFAX vs AutoCheck dealer penetration or report-volume share]</w:t>
      </w:r>
      <w:r>
        <w:rPr>
          <w:b w:val="0"/>
          <w:i w:val="0"/>
        </w:rPr>
        <w:t>.</w:t>
      </w:r>
    </w:p>
    <w:p>
      <w:pPr>
        <w:pStyle w:val="Heading2"/>
      </w:pPr>
      <w:r>
        <w:t>4.4 Part B industry series — collection status</w:t>
      </w:r>
    </w:p>
    <w:p>
      <w:pPr>
        <w:keepNext/>
        <w:spacing w:before="80" w:after="40"/>
      </w:pPr>
      <w:r>
        <w:rPr>
          <w:b/>
          <w:i w:val="0"/>
          <w:color w:val="1F3864"/>
          <w:sz w:val="17"/>
        </w:rPr>
        <w:t>Exhibit 4.4 — Industry series to collect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448"/>
        <w:gridCol w:w="2015"/>
        <w:gridCol w:w="2448"/>
        <w:gridCol w:w="2880"/>
      </w:tblGrid>
      <w:tr>
        <w:trPr>
          <w:cantSplit/>
          <w:tblHeader/>
        </w:trPr>
        <w:tc>
          <w:tcPr>
            <w:tcW w:type="dxa" w:w="2448"/>
            <w:shd w:val="clear" w:color="auto" w:fill="1F3864"/>
          </w:tcPr>
          <w:p>
            <w:pPr>
              <w:spacing w:after="0" w:line="240" w:lineRule="auto"/>
            </w:pPr>
            <w:r>
              <w:rPr>
                <w:b/>
                <w:i w:val="0"/>
                <w:color w:val="FFFFFF"/>
                <w:sz w:val="16"/>
              </w:rPr>
              <w:t>Series</w:t>
            </w:r>
          </w:p>
        </w:tc>
        <w:tc>
          <w:tcPr>
            <w:tcW w:type="dxa" w:w="2016"/>
            <w:shd w:val="clear" w:color="auto" w:fill="1F3864"/>
          </w:tcPr>
          <w:p>
            <w:pPr>
              <w:spacing w:after="0" w:line="240" w:lineRule="auto"/>
            </w:pPr>
            <w:r>
              <w:rPr>
                <w:b/>
                <w:i w:val="0"/>
                <w:color w:val="FFFFFF"/>
                <w:sz w:val="16"/>
              </w:rPr>
              <w:t>Source</w:t>
            </w:r>
          </w:p>
        </w:tc>
        <w:tc>
          <w:tcPr>
            <w:tcW w:type="dxa" w:w="2448"/>
            <w:shd w:val="clear" w:color="auto" w:fill="1F3864"/>
          </w:tcPr>
          <w:p>
            <w:pPr>
              <w:spacing w:after="0" w:line="240" w:lineRule="auto"/>
            </w:pPr>
            <w:r>
              <w:rPr>
                <w:b/>
                <w:i w:val="0"/>
                <w:color w:val="FFFFFF"/>
                <w:sz w:val="16"/>
              </w:rPr>
              <w:t>Use in analysis</w:t>
            </w:r>
          </w:p>
        </w:tc>
        <w:tc>
          <w:tcPr>
            <w:tcW w:type="dxa" w:w="2880"/>
            <w:shd w:val="clear" w:color="auto" w:fill="1F3864"/>
          </w:tcPr>
          <w:p>
            <w:pPr>
              <w:spacing w:after="0" w:line="240" w:lineRule="auto"/>
            </w:pPr>
            <w:r>
              <w:rPr>
                <w:b/>
                <w:i w:val="0"/>
                <w:color w:val="FFFFFF"/>
                <w:sz w:val="16"/>
              </w:rPr>
              <w:t>Status</w:t>
            </w:r>
          </w:p>
        </w:tc>
      </w:tr>
      <w:tr>
        <w:trPr>
          <w:cantSplit/>
        </w:trPr>
        <w:tc>
          <w:tcPr>
            <w:tcW w:type="dxa" w:w="2448"/>
          </w:tcPr>
          <w:p>
            <w:pPr>
              <w:spacing w:after="0" w:line="240" w:lineRule="auto"/>
            </w:pPr>
            <w:r>
              <w:rPr>
                <w:b w:val="0"/>
                <w:i w:val="0"/>
                <w:sz w:val="16"/>
              </w:rPr>
              <w:t>New-vehicle SAAR (TOTALSA, ALTSALES)</w:t>
            </w:r>
          </w:p>
        </w:tc>
        <w:tc>
          <w:tcPr>
            <w:tcW w:type="dxa" w:w="2016"/>
          </w:tcPr>
          <w:p>
            <w:pPr>
              <w:spacing w:after="0" w:line="240" w:lineRule="auto"/>
            </w:pPr>
            <w:r>
              <w:rPr>
                <w:b w:val="0"/>
                <w:i w:val="0"/>
                <w:sz w:val="16"/>
              </w:rPr>
              <w:t>FRED / BEA</w:t>
            </w:r>
          </w:p>
        </w:tc>
        <w:tc>
          <w:tcPr>
            <w:tcW w:type="dxa" w:w="2448"/>
          </w:tcPr>
          <w:p>
            <w:pPr>
              <w:spacing w:after="0" w:line="240" w:lineRule="auto"/>
            </w:pPr>
            <w:r>
              <w:rPr>
                <w:b w:val="0"/>
                <w:i w:val="0"/>
                <w:sz w:val="16"/>
              </w:rPr>
              <w:t>Reproduce slide 91; episode dating</w:t>
            </w:r>
          </w:p>
        </w:tc>
        <w:tc>
          <w:tcPr>
            <w:tcW w:type="dxa" w:w="2880"/>
          </w:tcPr>
          <w:p>
            <w:pPr>
              <w:spacing w:after="0" w:line="240" w:lineRule="auto"/>
            </w:pPr>
            <w:r>
              <w:rPr>
                <w:b/>
                <w:color w:val="E36C09"/>
                <w:sz w:val="16"/>
              </w:rPr>
              <w:t>[TO COLLECT #19: FRED TOTALSA and ALTSALES 2010–2026]</w:t>
            </w:r>
          </w:p>
        </w:tc>
      </w:tr>
      <w:tr>
        <w:trPr>
          <w:cantSplit/>
        </w:trPr>
        <w:tc>
          <w:tcPr>
            <w:tcW w:type="dxa" w:w="2448"/>
            <w:shd w:val="clear" w:color="auto" w:fill="D9E1F2"/>
          </w:tcPr>
          <w:p>
            <w:pPr>
              <w:spacing w:after="0" w:line="240" w:lineRule="auto"/>
            </w:pPr>
            <w:r>
              <w:rPr>
                <w:b w:val="0"/>
                <w:i w:val="0"/>
                <w:sz w:val="16"/>
              </w:rPr>
              <w:t>Used-vehicle retail units</w:t>
            </w:r>
          </w:p>
        </w:tc>
        <w:tc>
          <w:tcPr>
            <w:tcW w:type="dxa" w:w="2016"/>
            <w:shd w:val="clear" w:color="auto" w:fill="D9E1F2"/>
          </w:tcPr>
          <w:p>
            <w:pPr>
              <w:spacing w:after="0" w:line="240" w:lineRule="auto"/>
            </w:pPr>
            <w:r>
              <w:rPr>
                <w:b w:val="0"/>
                <w:i w:val="0"/>
                <w:sz w:val="16"/>
              </w:rPr>
              <w:t>Cox Automotive estimates</w:t>
            </w:r>
          </w:p>
        </w:tc>
        <w:tc>
          <w:tcPr>
            <w:tcW w:type="dxa" w:w="2448"/>
            <w:shd w:val="clear" w:color="auto" w:fill="D9E1F2"/>
          </w:tcPr>
          <w:p>
            <w:pPr>
              <w:spacing w:after="0" w:line="240" w:lineRule="auto"/>
            </w:pPr>
            <w:r>
              <w:rPr>
                <w:b w:val="0"/>
                <w:i w:val="0"/>
                <w:sz w:val="16"/>
              </w:rPr>
              <w:t>Main CARFAX volume driver</w:t>
            </w:r>
          </w:p>
        </w:tc>
        <w:tc>
          <w:tcPr>
            <w:tcW w:type="dxa" w:w="2880"/>
            <w:shd w:val="clear" w:color="auto" w:fill="D9E1F2"/>
          </w:tcPr>
          <w:p>
            <w:pPr>
              <w:spacing w:after="0" w:line="240" w:lineRule="auto"/>
            </w:pPr>
            <w:r>
              <w:rPr>
                <w:b/>
                <w:color w:val="E36C09"/>
                <w:sz w:val="16"/>
              </w:rPr>
              <w:t>[TO COLLECT #20: Cox used retail units (annual, 2014–2026)]</w:t>
            </w:r>
          </w:p>
        </w:tc>
      </w:tr>
      <w:tr>
        <w:trPr>
          <w:cantSplit/>
        </w:trPr>
        <w:tc>
          <w:tcPr>
            <w:tcW w:type="dxa" w:w="2448"/>
          </w:tcPr>
          <w:p>
            <w:pPr>
              <w:spacing w:after="0" w:line="240" w:lineRule="auto"/>
            </w:pPr>
            <w:r>
              <w:rPr>
                <w:b w:val="0"/>
                <w:i w:val="0"/>
                <w:sz w:val="16"/>
              </w:rPr>
              <w:t>Used-vehicle prices</w:t>
            </w:r>
          </w:p>
        </w:tc>
        <w:tc>
          <w:tcPr>
            <w:tcW w:type="dxa" w:w="2016"/>
          </w:tcPr>
          <w:p>
            <w:pPr>
              <w:spacing w:after="0" w:line="240" w:lineRule="auto"/>
            </w:pPr>
            <w:r>
              <w:rPr>
                <w:b w:val="0"/>
                <w:i w:val="0"/>
                <w:sz w:val="16"/>
              </w:rPr>
              <w:t>Manheim UVVI; BLS CPI used cars</w:t>
            </w:r>
          </w:p>
        </w:tc>
        <w:tc>
          <w:tcPr>
            <w:tcW w:type="dxa" w:w="2448"/>
          </w:tcPr>
          <w:p>
            <w:pPr>
              <w:spacing w:after="0" w:line="240" w:lineRule="auto"/>
            </w:pPr>
            <w:r>
              <w:rPr>
                <w:b w:val="0"/>
                <w:i w:val="0"/>
                <w:sz w:val="16"/>
              </w:rPr>
              <w:t>Dealer gross / price headroom</w:t>
            </w:r>
          </w:p>
        </w:tc>
        <w:tc>
          <w:tcPr>
            <w:tcW w:type="dxa" w:w="2880"/>
          </w:tcPr>
          <w:p>
            <w:pPr>
              <w:spacing w:after="0" w:line="240" w:lineRule="auto"/>
            </w:pPr>
            <w:r>
              <w:rPr>
                <w:b/>
                <w:color w:val="E36C09"/>
                <w:sz w:val="16"/>
              </w:rPr>
              <w:t>[TO COLLECT #21: Manheim UVVI and CPI CUSR0000SETA02 monthly history]</w:t>
            </w:r>
          </w:p>
        </w:tc>
      </w:tr>
      <w:tr>
        <w:trPr>
          <w:cantSplit/>
        </w:trPr>
        <w:tc>
          <w:tcPr>
            <w:tcW w:type="dxa" w:w="2448"/>
            <w:shd w:val="clear" w:color="auto" w:fill="D9E1F2"/>
          </w:tcPr>
          <w:p>
            <w:pPr>
              <w:spacing w:after="0" w:line="240" w:lineRule="auto"/>
            </w:pPr>
            <w:r>
              <w:rPr>
                <w:b w:val="0"/>
                <w:i w:val="0"/>
                <w:sz w:val="16"/>
              </w:rPr>
              <w:t>Dealer profitability</w:t>
            </w:r>
          </w:p>
        </w:tc>
        <w:tc>
          <w:tcPr>
            <w:tcW w:type="dxa" w:w="2016"/>
            <w:shd w:val="clear" w:color="auto" w:fill="D9E1F2"/>
          </w:tcPr>
          <w:p>
            <w:pPr>
              <w:spacing w:after="0" w:line="240" w:lineRule="auto"/>
            </w:pPr>
            <w:r>
              <w:rPr>
                <w:b w:val="0"/>
                <w:i w:val="0"/>
                <w:sz w:val="16"/>
              </w:rPr>
              <w:t>NADA Data</w:t>
            </w:r>
          </w:p>
        </w:tc>
        <w:tc>
          <w:tcPr>
            <w:tcW w:type="dxa" w:w="2448"/>
            <w:shd w:val="clear" w:color="auto" w:fill="D9E1F2"/>
          </w:tcPr>
          <w:p>
            <w:pPr>
              <w:spacing w:after="0" w:line="240" w:lineRule="auto"/>
            </w:pPr>
            <w:r>
              <w:rPr>
                <w:b w:val="0"/>
                <w:i w:val="0"/>
                <w:sz w:val="16"/>
              </w:rPr>
              <w:t>Retention / price-increase capacity (SPGI Q1-23 admission)</w:t>
            </w:r>
          </w:p>
        </w:tc>
        <w:tc>
          <w:tcPr>
            <w:tcW w:type="dxa" w:w="2880"/>
            <w:shd w:val="clear" w:color="auto" w:fill="D9E1F2"/>
          </w:tcPr>
          <w:p>
            <w:pPr>
              <w:spacing w:after="0" w:line="240" w:lineRule="auto"/>
            </w:pPr>
            <w:r>
              <w:rPr>
                <w:b/>
                <w:color w:val="E36C09"/>
                <w:sz w:val="16"/>
              </w:rPr>
              <w:t>[TO COLLECT #22: NADA dealer gross profit per used unit 2018–2026]</w:t>
            </w:r>
          </w:p>
        </w:tc>
      </w:tr>
      <w:tr>
        <w:trPr>
          <w:cantSplit/>
        </w:trPr>
        <w:tc>
          <w:tcPr>
            <w:tcW w:type="dxa" w:w="2448"/>
          </w:tcPr>
          <w:p>
            <w:pPr>
              <w:spacing w:after="0" w:line="240" w:lineRule="auto"/>
            </w:pPr>
            <w:r>
              <w:rPr>
                <w:b w:val="0"/>
                <w:i w:val="0"/>
                <w:sz w:val="16"/>
              </w:rPr>
              <w:t>Recall campaigns</w:t>
            </w:r>
          </w:p>
        </w:tc>
        <w:tc>
          <w:tcPr>
            <w:tcW w:type="dxa" w:w="2016"/>
          </w:tcPr>
          <w:p>
            <w:pPr>
              <w:spacing w:after="0" w:line="240" w:lineRule="auto"/>
            </w:pPr>
            <w:r>
              <w:rPr>
                <w:b w:val="0"/>
                <w:i w:val="0"/>
                <w:sz w:val="16"/>
              </w:rPr>
              <w:t>NHTSA flat file</w:t>
            </w:r>
          </w:p>
        </w:tc>
        <w:tc>
          <w:tcPr>
            <w:tcW w:type="dxa" w:w="2448"/>
          </w:tcPr>
          <w:p>
            <w:pPr>
              <w:spacing w:after="0" w:line="240" w:lineRule="auto"/>
            </w:pPr>
            <w:r>
              <w:rPr>
                <w:b w:val="0"/>
                <w:i w:val="0"/>
                <w:sz w:val="16"/>
              </w:rPr>
              <w:t>Recall revenue (−$15m FY24)</w:t>
            </w:r>
          </w:p>
        </w:tc>
        <w:tc>
          <w:tcPr>
            <w:tcW w:type="dxa" w:w="2880"/>
          </w:tcPr>
          <w:p>
            <w:pPr>
              <w:spacing w:after="0" w:line="240" w:lineRule="auto"/>
            </w:pPr>
            <w:r>
              <w:rPr>
                <w:b/>
                <w:color w:val="E36C09"/>
                <w:sz w:val="16"/>
              </w:rPr>
              <w:t>[TO COLLECT #23: NHTSA recall campaigns and vehicles affected by year]</w:t>
            </w:r>
          </w:p>
        </w:tc>
      </w:tr>
      <w:tr>
        <w:trPr>
          <w:cantSplit/>
        </w:trPr>
        <w:tc>
          <w:tcPr>
            <w:tcW w:type="dxa" w:w="2448"/>
            <w:shd w:val="clear" w:color="auto" w:fill="D9E1F2"/>
          </w:tcPr>
          <w:p>
            <w:pPr>
              <w:spacing w:after="0" w:line="240" w:lineRule="auto"/>
            </w:pPr>
            <w:r>
              <w:rPr>
                <w:b w:val="0"/>
                <w:i w:val="0"/>
                <w:sz w:val="16"/>
              </w:rPr>
              <w:t>Vehicles in operation / average age</w:t>
            </w:r>
          </w:p>
        </w:tc>
        <w:tc>
          <w:tcPr>
            <w:tcW w:type="dxa" w:w="2016"/>
            <w:shd w:val="clear" w:color="auto" w:fill="D9E1F2"/>
          </w:tcPr>
          <w:p>
            <w:pPr>
              <w:spacing w:after="0" w:line="240" w:lineRule="auto"/>
            </w:pPr>
            <w:r>
              <w:rPr>
                <w:b w:val="0"/>
                <w:i w:val="0"/>
                <w:sz w:val="16"/>
              </w:rPr>
              <w:t>S&amp;P/MBGL releases; FHWA MV-1</w:t>
            </w:r>
          </w:p>
        </w:tc>
        <w:tc>
          <w:tcPr>
            <w:tcW w:type="dxa" w:w="2448"/>
            <w:shd w:val="clear" w:color="auto" w:fill="D9E1F2"/>
          </w:tcPr>
          <w:p>
            <w:pPr>
              <w:spacing w:after="0" w:line="240" w:lineRule="auto"/>
            </w:pPr>
            <w:r>
              <w:rPr>
                <w:b w:val="0"/>
                <w:i w:val="0"/>
                <w:sz w:val="16"/>
              </w:rPr>
              <w:t>Car Care / service lifecycle</w:t>
            </w:r>
          </w:p>
        </w:tc>
        <w:tc>
          <w:tcPr>
            <w:tcW w:type="dxa" w:w="2880"/>
            <w:shd w:val="clear" w:color="auto" w:fill="D9E1F2"/>
          </w:tcPr>
          <w:p>
            <w:pPr>
              <w:spacing w:after="0" w:line="240" w:lineRule="auto"/>
            </w:pPr>
            <w:r>
              <w:rPr>
                <w:b/>
                <w:color w:val="E36C09"/>
                <w:sz w:val="16"/>
              </w:rPr>
              <w:t>[TO COLLECT #24: US VIO and average age 2014–2026 (reconcile 12.0 slide label vs 12.5–12.8 press releases)]</w:t>
            </w:r>
          </w:p>
        </w:tc>
      </w:tr>
      <w:tr>
        <w:trPr>
          <w:cantSplit/>
        </w:trPr>
        <w:tc>
          <w:tcPr>
            <w:tcW w:type="dxa" w:w="2448"/>
          </w:tcPr>
          <w:p>
            <w:pPr>
              <w:spacing w:after="0" w:line="240" w:lineRule="auto"/>
            </w:pPr>
            <w:r>
              <w:rPr>
                <w:b w:val="0"/>
                <w:i w:val="0"/>
                <w:sz w:val="16"/>
              </w:rPr>
              <w:t>Auto lending</w:t>
            </w:r>
          </w:p>
        </w:tc>
        <w:tc>
          <w:tcPr>
            <w:tcW w:type="dxa" w:w="2016"/>
          </w:tcPr>
          <w:p>
            <w:pPr>
              <w:spacing w:after="0" w:line="240" w:lineRule="auto"/>
            </w:pPr>
            <w:r>
              <w:rPr>
                <w:b w:val="0"/>
                <w:i w:val="0"/>
                <w:sz w:val="16"/>
              </w:rPr>
              <w:t>Fed G.19; NY Fed; SLOOS</w:t>
            </w:r>
          </w:p>
        </w:tc>
        <w:tc>
          <w:tcPr>
            <w:tcW w:type="dxa" w:w="2448"/>
          </w:tcPr>
          <w:p>
            <w:pPr>
              <w:spacing w:after="0" w:line="240" w:lineRule="auto"/>
            </w:pPr>
            <w:r>
              <w:rPr>
                <w:b w:val="0"/>
                <w:i w:val="0"/>
                <w:sz w:val="16"/>
              </w:rPr>
              <w:t>Credit availability, BIG demand</w:t>
            </w:r>
          </w:p>
        </w:tc>
        <w:tc>
          <w:tcPr>
            <w:tcW w:type="dxa" w:w="2880"/>
          </w:tcPr>
          <w:p>
            <w:pPr>
              <w:spacing w:after="0" w:line="240" w:lineRule="auto"/>
            </w:pPr>
            <w:r>
              <w:rPr>
                <w:b/>
                <w:color w:val="E36C09"/>
                <w:sz w:val="16"/>
              </w:rPr>
              <w:t>[TO COLLECT #25: auto loan rates, 84-month share, delinquency and SLOOS standards]</w:t>
            </w:r>
          </w:p>
        </w:tc>
      </w:tr>
      <w:tr>
        <w:trPr>
          <w:cantSplit/>
        </w:trPr>
        <w:tc>
          <w:tcPr>
            <w:tcW w:type="dxa" w:w="2448"/>
            <w:shd w:val="clear" w:color="auto" w:fill="D9E1F2"/>
          </w:tcPr>
          <w:p>
            <w:pPr>
              <w:spacing w:after="0" w:line="240" w:lineRule="auto"/>
            </w:pPr>
            <w:r>
              <w:rPr>
                <w:b w:val="0"/>
                <w:i w:val="0"/>
                <w:sz w:val="16"/>
              </w:rPr>
              <w:t>Auto insurance</w:t>
            </w:r>
          </w:p>
        </w:tc>
        <w:tc>
          <w:tcPr>
            <w:tcW w:type="dxa" w:w="2016"/>
            <w:shd w:val="clear" w:color="auto" w:fill="D9E1F2"/>
          </w:tcPr>
          <w:p>
            <w:pPr>
              <w:spacing w:after="0" w:line="240" w:lineRule="auto"/>
            </w:pPr>
            <w:r>
              <w:rPr>
                <w:b w:val="0"/>
                <w:i w:val="0"/>
                <w:sz w:val="16"/>
              </w:rPr>
              <w:t>BLS CPI motor-vehicle insurance; LexisNexis</w:t>
            </w:r>
          </w:p>
        </w:tc>
        <w:tc>
          <w:tcPr>
            <w:tcW w:type="dxa" w:w="2448"/>
            <w:shd w:val="clear" w:color="auto" w:fill="D9E1F2"/>
          </w:tcPr>
          <w:p>
            <w:pPr>
              <w:spacing w:after="0" w:line="240" w:lineRule="auto"/>
            </w:pPr>
            <w:r>
              <w:rPr>
                <w:b w:val="0"/>
                <w:i w:val="0"/>
                <w:sz w:val="16"/>
              </w:rPr>
              <w:t>Underwriting volumes (BIG)</w:t>
            </w:r>
          </w:p>
        </w:tc>
        <w:tc>
          <w:tcPr>
            <w:tcW w:type="dxa" w:w="2880"/>
            <w:shd w:val="clear" w:color="auto" w:fill="D9E1F2"/>
          </w:tcPr>
          <w:p>
            <w:pPr>
              <w:spacing w:after="0" w:line="240" w:lineRule="auto"/>
            </w:pPr>
            <w:r>
              <w:rPr>
                <w:b/>
                <w:color w:val="E36C09"/>
                <w:sz w:val="16"/>
              </w:rPr>
              <w:t>[TO COLLECT #26: CPI CUSR0000SETE and insurance shopping index]</w:t>
            </w:r>
          </w:p>
        </w:tc>
      </w:tr>
      <w:tr>
        <w:trPr>
          <w:cantSplit/>
        </w:trPr>
        <w:tc>
          <w:tcPr>
            <w:tcW w:type="dxa" w:w="2448"/>
          </w:tcPr>
          <w:p>
            <w:pPr>
              <w:spacing w:after="0" w:line="240" w:lineRule="auto"/>
            </w:pPr>
            <w:r>
              <w:rPr>
                <w:b w:val="0"/>
                <w:i w:val="0"/>
                <w:sz w:val="16"/>
              </w:rPr>
              <w:t>International markets</w:t>
            </w:r>
          </w:p>
        </w:tc>
        <w:tc>
          <w:tcPr>
            <w:tcW w:type="dxa" w:w="2016"/>
          </w:tcPr>
          <w:p>
            <w:pPr>
              <w:spacing w:after="0" w:line="240" w:lineRule="auto"/>
            </w:pPr>
            <w:r>
              <w:rPr>
                <w:b w:val="0"/>
                <w:i w:val="0"/>
                <w:sz w:val="16"/>
              </w:rPr>
              <w:t>StatCan; KBA; ACI/UNRAE; ANFAC</w:t>
            </w:r>
          </w:p>
        </w:tc>
        <w:tc>
          <w:tcPr>
            <w:tcW w:type="dxa" w:w="2448"/>
          </w:tcPr>
          <w:p>
            <w:pPr>
              <w:spacing w:after="0" w:line="240" w:lineRule="auto"/>
            </w:pPr>
            <w:r>
              <w:rPr>
                <w:b w:val="0"/>
                <w:i w:val="0"/>
                <w:sz w:val="16"/>
              </w:rPr>
              <w:t>Canada softness; Germany/Italy/Spain TAM</w:t>
            </w:r>
          </w:p>
        </w:tc>
        <w:tc>
          <w:tcPr>
            <w:tcW w:type="dxa" w:w="2880"/>
          </w:tcPr>
          <w:p>
            <w:pPr>
              <w:spacing w:after="0" w:line="240" w:lineRule="auto"/>
            </w:pPr>
            <w:r>
              <w:rPr>
                <w:b/>
                <w:color w:val="E36C09"/>
                <w:sz w:val="16"/>
              </w:rPr>
              <w:t>[TO COLLECT #27: Canada sales and Germany/Italy/Spain used-vehicle ownership transfers]</w:t>
            </w:r>
          </w:p>
        </w:tc>
      </w:tr>
      <w:tr>
        <w:trPr>
          <w:cantSplit/>
        </w:trPr>
        <w:tc>
          <w:tcPr>
            <w:tcW w:type="dxa" w:w="2448"/>
            <w:shd w:val="clear" w:color="auto" w:fill="D9E1F2"/>
          </w:tcPr>
          <w:p>
            <w:pPr>
              <w:spacing w:after="0" w:line="240" w:lineRule="auto"/>
            </w:pPr>
            <w:r>
              <w:rPr>
                <w:b w:val="0"/>
                <w:i w:val="0"/>
                <w:sz w:val="16"/>
              </w:rPr>
              <w:t>OEM marketing / incentive spend</w:t>
            </w:r>
          </w:p>
        </w:tc>
        <w:tc>
          <w:tcPr>
            <w:tcW w:type="dxa" w:w="2016"/>
            <w:shd w:val="clear" w:color="auto" w:fill="D9E1F2"/>
          </w:tcPr>
          <w:p>
            <w:pPr>
              <w:spacing w:after="0" w:line="240" w:lineRule="auto"/>
            </w:pPr>
            <w:r>
              <w:rPr>
                <w:b w:val="0"/>
                <w:i w:val="0"/>
                <w:sz w:val="16"/>
              </w:rPr>
              <w:t>OEM 10-Ks; KBB / J.D. Power incentive data</w:t>
            </w:r>
          </w:p>
        </w:tc>
        <w:tc>
          <w:tcPr>
            <w:tcW w:type="dxa" w:w="2448"/>
            <w:shd w:val="clear" w:color="auto" w:fill="D9E1F2"/>
          </w:tcPr>
          <w:p>
            <w:pPr>
              <w:spacing w:after="0" w:line="240" w:lineRule="auto"/>
            </w:pPr>
            <w:r>
              <w:rPr>
                <w:b w:val="0"/>
                <w:i w:val="0"/>
                <w:sz w:val="16"/>
              </w:rPr>
              <w:t>B2B Marketing &amp; Sales demand</w:t>
            </w:r>
          </w:p>
        </w:tc>
        <w:tc>
          <w:tcPr>
            <w:tcW w:type="dxa" w:w="2880"/>
            <w:shd w:val="clear" w:color="auto" w:fill="D9E1F2"/>
          </w:tcPr>
          <w:p>
            <w:pPr>
              <w:spacing w:after="0" w:line="240" w:lineRule="auto"/>
            </w:pPr>
            <w:r>
              <w:rPr>
                <w:b/>
                <w:color w:val="E36C09"/>
                <w:sz w:val="16"/>
              </w:rPr>
              <w:t>[TO COLLECT #28: OEM advertising and incentive spend per unit 2018–2026]</w:t>
            </w:r>
          </w:p>
        </w:tc>
      </w:tr>
    </w:tbl>
    <w:p>
      <w:pPr>
        <w:spacing w:after="120"/>
      </w:pPr>
      <w:r>
        <w:rPr>
          <w:b w:val="0"/>
          <w:i/>
          <w:color w:val="595959"/>
          <w:sz w:val="15"/>
        </w:rPr>
        <w:t>Source: market/PART_B_SERIES_PLAN.md (nothing fetched yet; series IDs marked “verify” there are from memory).</w:t>
      </w:r>
    </w:p>
    <w:p>
      <w:pPr>
        <w:pStyle w:val="Heading1"/>
        <w:pageBreakBefore/>
      </w:pPr>
      <w:r>
        <w:t>5 Moat &amp; competitive position</w:t>
      </w:r>
    </w:p>
    <w:p>
      <w:r>
        <w:rPr>
          <w:b/>
          <w:i w:val="0"/>
        </w:rPr>
        <w:t>MBGL owns the only VIN-level vehicle record that a dealer can hand to a consumer.</w:t>
      </w:r>
      <w:r>
        <w:rPr>
          <w:b w:val="0"/>
          <w:i w:val="0"/>
        </w:rPr>
        <w:t xml:space="preserve"> It is built over decades through give-get contributions from about 177,000 sources and backed by a brand consumers ask for by name; its cost to replicate keeps rising as the archive ages (D1 §1). The dealer pays for the consumer's trust; contributors keep sending data because they get value back; every year of history that a newcomer did not collect is lost to that newcomer for good. Polk registration and ownership data is a second, related moat on the B2B side, but it has a credible low-cost substitute (Experian) and lower growth.</w:t>
      </w:r>
    </w:p>
    <w:p>
      <w:pPr>
        <w:pStyle w:val="Heading2"/>
      </w:pPr>
      <w:r>
        <w:t>5.1 Architecture of the moat</w:t>
      </w:r>
    </w:p>
    <w:p>
      <w:pPr>
        <w:keepNext/>
        <w:spacing w:before="80" w:after="40"/>
      </w:pPr>
      <w:r>
        <w:rPr>
          <w:b/>
          <w:i w:val="0"/>
          <w:color w:val="1F3864"/>
          <w:sz w:val="17"/>
        </w:rPr>
        <w:t>Exhibit 5.1 — Moat elements and evidence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304"/>
        <w:gridCol w:w="6335"/>
        <w:gridCol w:w="1152"/>
      </w:tblGrid>
      <w:tr>
        <w:trPr>
          <w:cantSplit/>
          <w:tblHeader/>
        </w:trPr>
        <w:tc>
          <w:tcPr>
            <w:tcW w:type="dxa" w:w="2304"/>
            <w:shd w:val="clear" w:color="auto" w:fill="1F3864"/>
          </w:tcPr>
          <w:p>
            <w:pPr>
              <w:spacing w:after="0" w:line="240" w:lineRule="auto"/>
            </w:pPr>
            <w:r>
              <w:rPr>
                <w:b/>
                <w:i w:val="0"/>
                <w:color w:val="FFFFFF"/>
                <w:sz w:val="16"/>
              </w:rPr>
              <w:t>Element</w:t>
            </w:r>
          </w:p>
        </w:tc>
        <w:tc>
          <w:tcPr>
            <w:tcW w:type="dxa" w:w="6336"/>
            <w:shd w:val="clear" w:color="auto" w:fill="1F3864"/>
          </w:tcPr>
          <w:p>
            <w:pPr>
              <w:spacing w:after="0" w:line="240" w:lineRule="auto"/>
            </w:pPr>
            <w:r>
              <w:rPr>
                <w:b/>
                <w:i w:val="0"/>
                <w:color w:val="FFFFFF"/>
                <w:sz w:val="16"/>
              </w:rPr>
              <w:t>Strongest evidence</w:t>
            </w:r>
          </w:p>
        </w:tc>
        <w:tc>
          <w:tcPr>
            <w:tcW w:type="dxa" w:w="1152"/>
            <w:shd w:val="clear" w:color="auto" w:fill="1F3864"/>
          </w:tcPr>
          <w:p>
            <w:pPr>
              <w:spacing w:after="0" w:line="240" w:lineRule="auto"/>
            </w:pPr>
            <w:r>
              <w:rPr>
                <w:b/>
                <w:i w:val="0"/>
                <w:color w:val="FFFFFF"/>
                <w:sz w:val="16"/>
              </w:rPr>
              <w:t>Tier</w:t>
            </w:r>
          </w:p>
        </w:tc>
      </w:tr>
      <w:tr>
        <w:trPr>
          <w:cantSplit/>
        </w:trPr>
        <w:tc>
          <w:tcPr>
            <w:tcW w:type="dxa" w:w="2304"/>
          </w:tcPr>
          <w:p>
            <w:pPr>
              <w:spacing w:after="0" w:line="240" w:lineRule="auto"/>
            </w:pPr>
            <w:r>
              <w:rPr>
                <w:b w:val="0"/>
                <w:i w:val="0"/>
                <w:sz w:val="16"/>
              </w:rPr>
              <w:t>Data contribution network</w:t>
            </w:r>
          </w:p>
        </w:tc>
        <w:tc>
          <w:tcPr>
            <w:tcW w:type="dxa" w:w="6336"/>
          </w:tcPr>
          <w:p>
            <w:pPr>
              <w:spacing w:after="0" w:line="240" w:lineRule="auto"/>
            </w:pPr>
            <w:r>
              <w:rPr>
                <w:b w:val="0"/>
                <w:i w:val="0"/>
                <w:sz w:val="16"/>
              </w:rPr>
              <w:t xml:space="preserve">177,000+ sources; 38bn+ VH records; ~6m records added a day </w:t>
            </w:r>
            <w:r>
              <w:rPr>
                <w:b/>
                <w:color w:val="2E548C"/>
                <w:sz w:val="13"/>
              </w:rPr>
              <w:t>[D]</w:t>
            </w:r>
            <w:r>
              <w:rPr>
                <w:b w:val="0"/>
                <w:i w:val="0"/>
                <w:sz w:val="16"/>
              </w:rPr>
              <w:t xml:space="preserve">; give-get relationships “often on an exclusive basis” </w:t>
            </w:r>
            <w:r>
              <w:rPr>
                <w:b/>
                <w:color w:val="2E548C"/>
                <w:sz w:val="13"/>
              </w:rPr>
              <w:t>[D]</w:t>
            </w:r>
            <w:r>
              <w:rPr>
                <w:b w:val="0"/>
                <w:i w:val="0"/>
                <w:sz w:val="16"/>
              </w:rPr>
              <w:t xml:space="preserve"> (10A p.381)</w:t>
            </w:r>
          </w:p>
        </w:tc>
        <w:tc>
          <w:tcPr>
            <w:tcW w:type="dxa" w:w="1152"/>
          </w:tcPr>
          <w:p>
            <w:pPr>
              <w:spacing w:after="0" w:line="240" w:lineRule="auto"/>
            </w:pPr>
            <w:r>
              <w:rPr>
                <w:b/>
                <w:color w:val="2E548C"/>
                <w:sz w:val="13"/>
              </w:rPr>
              <w:t>[D]</w:t>
            </w:r>
          </w:p>
        </w:tc>
      </w:tr>
      <w:tr>
        <w:trPr>
          <w:cantSplit/>
        </w:trPr>
        <w:tc>
          <w:tcPr>
            <w:tcW w:type="dxa" w:w="2304"/>
            <w:shd w:val="clear" w:color="auto" w:fill="D9E1F2"/>
          </w:tcPr>
          <w:p>
            <w:pPr>
              <w:spacing w:after="0" w:line="240" w:lineRule="auto"/>
            </w:pPr>
            <w:r>
              <w:rPr>
                <w:b w:val="0"/>
                <w:i w:val="0"/>
                <w:sz w:val="16"/>
              </w:rPr>
              <w:t>Archive that cannot be rebuilt</w:t>
            </w:r>
          </w:p>
        </w:tc>
        <w:tc>
          <w:tcPr>
            <w:tcW w:type="dxa" w:w="6336"/>
            <w:shd w:val="clear" w:color="auto" w:fill="D9E1F2"/>
          </w:tcPr>
          <w:p>
            <w:pPr>
              <w:spacing w:after="0" w:line="240" w:lineRule="auto"/>
            </w:pPr>
            <w:r>
              <w:rPr>
                <w:b w:val="0"/>
                <w:i w:val="0"/>
                <w:sz w:val="16"/>
              </w:rPr>
              <w:t xml:space="preserve">Records grew 17bn (FY16) → 38bn (FY25), ≈9.3% a year </w:t>
            </w:r>
            <w:r>
              <w:rPr>
                <w:b/>
                <w:color w:val="2E548C"/>
                <w:sz w:val="13"/>
              </w:rPr>
              <w:t>[C]</w:t>
            </w:r>
            <w:r>
              <w:rPr>
                <w:b w:val="0"/>
                <w:i w:val="0"/>
                <w:sz w:val="16"/>
              </w:rPr>
              <w:t xml:space="preserve">; old data “just doesn't exist anymore anywhere else” </w:t>
            </w:r>
            <w:r>
              <w:rPr>
                <w:b/>
                <w:color w:val="2E548C"/>
                <w:sz w:val="13"/>
              </w:rPr>
              <w:t>[IR]</w:t>
            </w:r>
          </w:p>
        </w:tc>
        <w:tc>
          <w:tcPr>
            <w:tcW w:type="dxa" w:w="1152"/>
            <w:shd w:val="clear" w:color="auto" w:fill="D9E1F2"/>
          </w:tcPr>
          <w:p>
            <w:pPr>
              <w:spacing w:after="0" w:line="240" w:lineRule="auto"/>
            </w:pPr>
            <w:r>
              <w:rPr>
                <w:b/>
                <w:color w:val="2E548C"/>
                <w:sz w:val="13"/>
              </w:rPr>
              <w:t>[D]</w:t>
            </w:r>
            <w:r>
              <w:rPr>
                <w:b w:val="0"/>
                <w:i w:val="0"/>
                <w:sz w:val="16"/>
              </w:rPr>
              <w:t>/</w:t>
            </w:r>
            <w:r>
              <w:rPr>
                <w:b/>
                <w:color w:val="2E548C"/>
                <w:sz w:val="13"/>
              </w:rPr>
              <w:t>[C]</w:t>
            </w:r>
            <w:r>
              <w:rPr>
                <w:b w:val="0"/>
                <w:i w:val="0"/>
                <w:sz w:val="16"/>
              </w:rPr>
              <w:t>/</w:t>
            </w:r>
            <w:r>
              <w:rPr>
                <w:b/>
                <w:color w:val="2E548C"/>
                <w:sz w:val="13"/>
              </w:rPr>
              <w:t>[IR]</w:t>
            </w:r>
          </w:p>
        </w:tc>
      </w:tr>
      <w:tr>
        <w:trPr>
          <w:cantSplit/>
        </w:trPr>
        <w:tc>
          <w:tcPr>
            <w:tcW w:type="dxa" w:w="2304"/>
          </w:tcPr>
          <w:p>
            <w:pPr>
              <w:spacing w:after="0" w:line="240" w:lineRule="auto"/>
            </w:pPr>
            <w:r>
              <w:rPr>
                <w:b w:val="0"/>
                <w:i w:val="0"/>
                <w:sz w:val="16"/>
              </w:rPr>
              <w:t>DMV / public data custody</w:t>
            </w:r>
          </w:p>
        </w:tc>
        <w:tc>
          <w:tcPr>
            <w:tcW w:type="dxa" w:w="6336"/>
          </w:tcPr>
          <w:p>
            <w:pPr>
              <w:spacing w:after="0" w:line="240" w:lineRule="auto"/>
            </w:pPr>
            <w:r>
              <w:rPr>
                <w:b w:val="0"/>
                <w:i w:val="0"/>
                <w:sz w:val="16"/>
              </w:rPr>
              <w:t xml:space="preserve">DMV data a “high barrier to entry … due to the significant cost relative to potential monetization” </w:t>
            </w:r>
            <w:r>
              <w:rPr>
                <w:b/>
                <w:color w:val="2E548C"/>
                <w:sz w:val="13"/>
              </w:rPr>
              <w:t>[D]</w:t>
            </w:r>
            <w:r>
              <w:rPr>
                <w:b w:val="0"/>
                <w:i w:val="0"/>
                <w:sz w:val="16"/>
              </w:rPr>
              <w:t xml:space="preserve">; DPPA custodianship &gt;30 years </w:t>
            </w:r>
            <w:r>
              <w:rPr>
                <w:b/>
                <w:color w:val="2E548C"/>
                <w:sz w:val="13"/>
              </w:rPr>
              <w:t>[D]</w:t>
            </w:r>
          </w:p>
        </w:tc>
        <w:tc>
          <w:tcPr>
            <w:tcW w:type="dxa" w:w="1152"/>
          </w:tcPr>
          <w:p>
            <w:pPr>
              <w:spacing w:after="0" w:line="240" w:lineRule="auto"/>
            </w:pPr>
            <w:r>
              <w:rPr>
                <w:b/>
                <w:color w:val="2E548C"/>
                <w:sz w:val="13"/>
              </w:rPr>
              <w:t>[D]</w:t>
            </w:r>
          </w:p>
        </w:tc>
      </w:tr>
      <w:tr>
        <w:trPr>
          <w:cantSplit/>
        </w:trPr>
        <w:tc>
          <w:tcPr>
            <w:tcW w:type="dxa" w:w="2304"/>
            <w:shd w:val="clear" w:color="auto" w:fill="D9E1F2"/>
          </w:tcPr>
          <w:p>
            <w:pPr>
              <w:spacing w:after="0" w:line="240" w:lineRule="auto"/>
            </w:pPr>
            <w:r>
              <w:rPr>
                <w:b w:val="0"/>
                <w:i w:val="0"/>
                <w:sz w:val="16"/>
              </w:rPr>
              <w:t>Two-sided brand</w:t>
            </w:r>
          </w:p>
        </w:tc>
        <w:tc>
          <w:tcPr>
            <w:tcW w:type="dxa" w:w="6336"/>
            <w:shd w:val="clear" w:color="auto" w:fill="D9E1F2"/>
          </w:tcPr>
          <w:p>
            <w:pPr>
              <w:spacing w:after="0" w:line="240" w:lineRule="auto"/>
            </w:pPr>
            <w:r>
              <w:rPr>
                <w:b w:val="0"/>
                <w:i w:val="0"/>
                <w:sz w:val="16"/>
              </w:rPr>
              <w:t xml:space="preserve">96% in-market awareness </w:t>
            </w:r>
            <w:r>
              <w:rPr>
                <w:b/>
                <w:color w:val="2E548C"/>
                <w:sz w:val="13"/>
              </w:rPr>
              <w:t>[D]</w:t>
            </w:r>
            <w:r>
              <w:rPr>
                <w:b w:val="0"/>
                <w:i w:val="0"/>
                <w:sz w:val="16"/>
              </w:rPr>
              <w:t xml:space="preserve">; ~2m “Show me the CARFAX” requests a month </w:t>
            </w:r>
            <w:r>
              <w:rPr>
                <w:b/>
                <w:color w:val="2E548C"/>
                <w:sz w:val="13"/>
              </w:rPr>
              <w:t>[X survey]</w:t>
            </w:r>
            <w:r>
              <w:rPr>
                <w:b w:val="0"/>
                <w:i w:val="0"/>
                <w:sz w:val="16"/>
              </w:rPr>
              <w:t xml:space="preserve">; $1.5bn media since 2000 </w:t>
            </w:r>
            <w:r>
              <w:rPr>
                <w:b/>
                <w:color w:val="2E548C"/>
                <w:sz w:val="13"/>
              </w:rPr>
              <w:t>[D-deck]</w:t>
            </w:r>
            <w:r>
              <w:rPr>
                <w:b w:val="0"/>
                <w:i w:val="0"/>
                <w:sz w:val="16"/>
              </w:rPr>
              <w:t xml:space="preserve">; ad expense $134m / $152m / $176m FY23–25 </w:t>
            </w:r>
            <w:r>
              <w:rPr>
                <w:b/>
                <w:color w:val="2E548C"/>
                <w:sz w:val="13"/>
              </w:rPr>
              <w:t>[D]</w:t>
            </w:r>
          </w:p>
        </w:tc>
        <w:tc>
          <w:tcPr>
            <w:tcW w:type="dxa" w:w="1152"/>
            <w:shd w:val="clear" w:color="auto" w:fill="D9E1F2"/>
          </w:tcPr>
          <w:p>
            <w:pPr>
              <w:spacing w:after="0" w:line="240" w:lineRule="auto"/>
            </w:pPr>
            <w:r>
              <w:rPr>
                <w:b/>
                <w:color w:val="2E548C"/>
                <w:sz w:val="13"/>
              </w:rPr>
              <w:t>[D]</w:t>
            </w:r>
            <w:r>
              <w:rPr>
                <w:b w:val="0"/>
                <w:i w:val="0"/>
                <w:sz w:val="16"/>
              </w:rPr>
              <w:t>/</w:t>
            </w:r>
            <w:r>
              <w:rPr>
                <w:b/>
                <w:color w:val="2E548C"/>
                <w:sz w:val="13"/>
              </w:rPr>
              <w:t>[X]</w:t>
            </w:r>
          </w:p>
        </w:tc>
      </w:tr>
      <w:tr>
        <w:trPr>
          <w:cantSplit/>
        </w:trPr>
        <w:tc>
          <w:tcPr>
            <w:tcW w:type="dxa" w:w="2304"/>
          </w:tcPr>
          <w:p>
            <w:pPr>
              <w:spacing w:after="0" w:line="240" w:lineRule="auto"/>
            </w:pPr>
            <w:r>
              <w:rPr>
                <w:b w:val="0"/>
                <w:i w:val="0"/>
                <w:sz w:val="16"/>
              </w:rPr>
              <w:t>OEM relationships</w:t>
            </w:r>
          </w:p>
        </w:tc>
        <w:tc>
          <w:tcPr>
            <w:tcW w:type="dxa" w:w="6336"/>
          </w:tcPr>
          <w:p>
            <w:pPr>
              <w:spacing w:after="0" w:line="240" w:lineRule="auto"/>
            </w:pPr>
            <w:r>
              <w:rPr>
                <w:b w:val="0"/>
                <w:i w:val="0"/>
                <w:sz w:val="16"/>
              </w:rPr>
              <w:t xml:space="preserve">36 OEM CPO programs require a CARFAX report </w:t>
            </w:r>
            <w:r>
              <w:rPr>
                <w:b/>
                <w:color w:val="2E548C"/>
                <w:sz w:val="13"/>
              </w:rPr>
              <w:t>[IR]</w:t>
            </w:r>
            <w:r>
              <w:rPr>
                <w:b w:val="0"/>
                <w:i w:val="0"/>
                <w:sz w:val="16"/>
              </w:rPr>
              <w:t xml:space="preserve">; 36 OEMs contribute data </w:t>
            </w:r>
            <w:r>
              <w:rPr>
                <w:b/>
                <w:color w:val="2E548C"/>
                <w:sz w:val="13"/>
              </w:rPr>
              <w:t>[D]</w:t>
            </w:r>
            <w:r>
              <w:rPr>
                <w:b w:val="0"/>
                <w:i w:val="0"/>
                <w:sz w:val="16"/>
              </w:rPr>
              <w:t xml:space="preserve">; 14 OEMs allow co-op dollars for Lifetime </w:t>
            </w:r>
            <w:r>
              <w:rPr>
                <w:b/>
                <w:color w:val="2E548C"/>
                <w:sz w:val="13"/>
              </w:rPr>
              <w:t>[IR]</w:t>
            </w:r>
          </w:p>
        </w:tc>
        <w:tc>
          <w:tcPr>
            <w:tcW w:type="dxa" w:w="1152"/>
          </w:tcPr>
          <w:p>
            <w:pPr>
              <w:spacing w:after="0" w:line="240" w:lineRule="auto"/>
            </w:pPr>
            <w:r>
              <w:rPr>
                <w:b/>
                <w:color w:val="2E548C"/>
                <w:sz w:val="13"/>
              </w:rPr>
              <w:t>[D]</w:t>
            </w:r>
            <w:r>
              <w:rPr>
                <w:b w:val="0"/>
                <w:i w:val="0"/>
                <w:sz w:val="16"/>
              </w:rPr>
              <w:t>/</w:t>
            </w:r>
            <w:r>
              <w:rPr>
                <w:b/>
                <w:color w:val="2E548C"/>
                <w:sz w:val="13"/>
              </w:rPr>
              <w:t>[IR]</w:t>
            </w:r>
          </w:p>
        </w:tc>
      </w:tr>
      <w:tr>
        <w:trPr>
          <w:cantSplit/>
        </w:trPr>
        <w:tc>
          <w:tcPr>
            <w:tcW w:type="dxa" w:w="2304"/>
            <w:shd w:val="clear" w:color="auto" w:fill="D9E1F2"/>
          </w:tcPr>
          <w:p>
            <w:pPr>
              <w:spacing w:after="0" w:line="240" w:lineRule="auto"/>
            </w:pPr>
            <w:r>
              <w:rPr>
                <w:b w:val="0"/>
                <w:i w:val="0"/>
                <w:sz w:val="16"/>
              </w:rPr>
              <w:t>Polk registration data (B2B)</w:t>
            </w:r>
          </w:p>
        </w:tc>
        <w:tc>
          <w:tcPr>
            <w:tcW w:type="dxa" w:w="6336"/>
            <w:shd w:val="clear" w:color="auto" w:fill="D9E1F2"/>
          </w:tcPr>
          <w:p>
            <w:pPr>
              <w:spacing w:after="0" w:line="240" w:lineRule="auto"/>
            </w:pPr>
            <w:r>
              <w:rPr>
                <w:b w:val="0"/>
                <w:i w:val="0"/>
                <w:sz w:val="16"/>
              </w:rPr>
              <w:t xml:space="preserve">30+ years ownership data; 13bn+ records; “gold standard” market reporting </w:t>
            </w:r>
            <w:r>
              <w:rPr>
                <w:b/>
                <w:color w:val="2E548C"/>
                <w:sz w:val="13"/>
              </w:rPr>
              <w:t>[D]</w:t>
            </w:r>
            <w:r>
              <w:rPr>
                <w:b w:val="0"/>
                <w:i w:val="0"/>
                <w:sz w:val="16"/>
              </w:rPr>
              <w:t xml:space="preserve">; serves &gt;90% of US volume (coverage, not share) </w:t>
            </w:r>
            <w:r>
              <w:rPr>
                <w:b/>
                <w:color w:val="2E548C"/>
                <w:sz w:val="13"/>
              </w:rPr>
              <w:t>[IR]</w:t>
            </w:r>
          </w:p>
        </w:tc>
        <w:tc>
          <w:tcPr>
            <w:tcW w:type="dxa" w:w="1152"/>
            <w:shd w:val="clear" w:color="auto" w:fill="D9E1F2"/>
          </w:tcPr>
          <w:p>
            <w:pPr>
              <w:spacing w:after="0" w:line="240" w:lineRule="auto"/>
            </w:pPr>
            <w:r>
              <w:rPr>
                <w:b/>
                <w:color w:val="2E548C"/>
                <w:sz w:val="13"/>
              </w:rPr>
              <w:t>[D]</w:t>
            </w:r>
            <w:r>
              <w:rPr>
                <w:b w:val="0"/>
                <w:i w:val="0"/>
                <w:sz w:val="16"/>
              </w:rPr>
              <w:t>/</w:t>
            </w:r>
            <w:r>
              <w:rPr>
                <w:b/>
                <w:color w:val="2E548C"/>
                <w:sz w:val="13"/>
              </w:rPr>
              <w:t>[IR]</w:t>
            </w:r>
          </w:p>
        </w:tc>
      </w:tr>
      <w:tr>
        <w:trPr>
          <w:cantSplit/>
        </w:trPr>
        <w:tc>
          <w:tcPr>
            <w:tcW w:type="dxa" w:w="2304"/>
          </w:tcPr>
          <w:p>
            <w:pPr>
              <w:spacing w:after="0" w:line="240" w:lineRule="auto"/>
            </w:pPr>
            <w:r>
              <w:rPr>
                <w:b w:val="0"/>
                <w:i w:val="0"/>
                <w:sz w:val="16"/>
              </w:rPr>
              <w:t>Workflow embedding</w:t>
            </w:r>
          </w:p>
        </w:tc>
        <w:tc>
          <w:tcPr>
            <w:tcW w:type="dxa" w:w="6336"/>
          </w:tcPr>
          <w:p>
            <w:pPr>
              <w:spacing w:after="0" w:line="240" w:lineRule="auto"/>
            </w:pPr>
            <w:r>
              <w:rPr>
                <w:b w:val="0"/>
                <w:i w:val="0"/>
                <w:sz w:val="16"/>
              </w:rPr>
              <w:t xml:space="preserve">95 dealer-tool integrations; 17 of top-20 FIs </w:t>
            </w:r>
            <w:r>
              <w:rPr>
                <w:b/>
                <w:color w:val="2E548C"/>
                <w:sz w:val="13"/>
              </w:rPr>
              <w:t>[D-deck]</w:t>
            </w:r>
            <w:r>
              <w:rPr>
                <w:b w:val="0"/>
                <w:i w:val="0"/>
                <w:sz w:val="16"/>
              </w:rPr>
              <w:t xml:space="preserve">; Market Scan in ~10,500 dealers </w:t>
            </w:r>
            <w:r>
              <w:rPr>
                <w:b/>
                <w:color w:val="2E548C"/>
                <w:sz w:val="13"/>
              </w:rPr>
              <w:t>[D]</w:t>
            </w:r>
          </w:p>
        </w:tc>
        <w:tc>
          <w:tcPr>
            <w:tcW w:type="dxa" w:w="1152"/>
          </w:tcPr>
          <w:p>
            <w:pPr>
              <w:spacing w:after="0" w:line="240" w:lineRule="auto"/>
            </w:pPr>
            <w:r>
              <w:rPr>
                <w:b/>
                <w:color w:val="2E548C"/>
                <w:sz w:val="13"/>
              </w:rPr>
              <w:t>[D]</w:t>
            </w:r>
          </w:p>
        </w:tc>
      </w:tr>
      <w:tr>
        <w:trPr>
          <w:cantSplit/>
        </w:trPr>
        <w:tc>
          <w:tcPr>
            <w:tcW w:type="dxa" w:w="2304"/>
            <w:shd w:val="clear" w:color="auto" w:fill="D9E1F2"/>
          </w:tcPr>
          <w:p>
            <w:pPr>
              <w:spacing w:after="0" w:line="240" w:lineRule="auto"/>
            </w:pPr>
            <w:r>
              <w:rPr>
                <w:b w:val="0"/>
                <w:i w:val="0"/>
                <w:sz w:val="16"/>
              </w:rPr>
              <w:t>Exclusivity tested in court</w:t>
            </w:r>
          </w:p>
        </w:tc>
        <w:tc>
          <w:tcPr>
            <w:tcW w:type="dxa" w:w="6336"/>
            <w:shd w:val="clear" w:color="auto" w:fill="D9E1F2"/>
          </w:tcPr>
          <w:p>
            <w:pPr>
              <w:spacing w:after="0" w:line="240" w:lineRule="auto"/>
            </w:pPr>
            <w:r>
              <w:rPr>
                <w:b w:val="0"/>
                <w:i w:val="0"/>
                <w:sz w:val="16"/>
              </w:rPr>
              <w:t xml:space="preserve">2013 dealer antitrust suit (~469 dealers) — summary judgment for CARFAX 2016-09-30; new complaint Jan-2017 </w:t>
            </w:r>
            <w:r>
              <w:rPr>
                <w:b/>
                <w:color w:val="2E548C"/>
                <w:sz w:val="13"/>
              </w:rPr>
              <w:t>[D]</w:t>
            </w:r>
          </w:p>
        </w:tc>
        <w:tc>
          <w:tcPr>
            <w:tcW w:type="dxa" w:w="1152"/>
            <w:shd w:val="clear" w:color="auto" w:fill="D9E1F2"/>
          </w:tcPr>
          <w:p>
            <w:pPr>
              <w:spacing w:after="0" w:line="240" w:lineRule="auto"/>
            </w:pPr>
            <w:r>
              <w:rPr>
                <w:b/>
                <w:color w:val="2E548C"/>
                <w:sz w:val="13"/>
              </w:rPr>
              <w:t>[D]</w:t>
            </w:r>
          </w:p>
        </w:tc>
      </w:tr>
    </w:tbl>
    <w:p>
      <w:pPr>
        <w:spacing w:after="120"/>
      </w:pPr>
      <w:r>
        <w:rPr>
          <w:b w:val="0"/>
          <w:i/>
          <w:color w:val="595959"/>
          <w:sz w:val="15"/>
        </w:rPr>
        <w:t>Source: analysis/D1_moat.md §2; QUALITATIVE.md §1, §4.</w:t>
      </w:r>
    </w:p>
    <w:p>
      <w:pPr>
        <w:keepNext/>
        <w:spacing w:before="80" w:after="40"/>
      </w:pPr>
      <w:r>
        <w:rPr>
          <w:b/>
          <w:i w:val="0"/>
          <w:color w:val="1F3864"/>
          <w:sz w:val="17"/>
        </w:rPr>
        <w:t xml:space="preserve">Exhibit 5.2 — Growth of the data network </w:t>
      </w:r>
      <w:r>
        <w:rPr>
          <w:b/>
          <w:color w:val="2E548C"/>
          <w:sz w:val="14"/>
        </w:rPr>
        <w:t>[D]</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813"/>
        <w:gridCol w:w="2538"/>
        <w:gridCol w:w="2538"/>
        <w:gridCol w:w="2901"/>
      </w:tblGrid>
      <w:tr>
        <w:trPr>
          <w:cantSplit/>
          <w:tblHeader/>
        </w:trPr>
        <w:tc>
          <w:tcPr>
            <w:tcW w:type="dxa" w:w="1813"/>
            <w:shd w:val="clear" w:color="auto" w:fill="1F3864"/>
          </w:tcPr>
          <w:p>
            <w:pPr>
              <w:spacing w:after="0" w:line="240" w:lineRule="auto"/>
            </w:pPr>
            <w:r>
              <w:rPr>
                <w:b/>
                <w:i w:val="0"/>
                <w:color w:val="FFFFFF"/>
                <w:sz w:val="16"/>
              </w:rPr>
              <w:t>FY</w:t>
            </w:r>
          </w:p>
        </w:tc>
        <w:tc>
          <w:tcPr>
            <w:tcW w:type="dxa" w:w="2539"/>
            <w:shd w:val="clear" w:color="auto" w:fill="1F3864"/>
          </w:tcPr>
          <w:p>
            <w:pPr>
              <w:spacing w:after="0" w:line="240" w:lineRule="auto"/>
            </w:pPr>
            <w:r>
              <w:rPr>
                <w:b/>
                <w:i w:val="0"/>
                <w:color w:val="FFFFFF"/>
                <w:sz w:val="16"/>
              </w:rPr>
              <w:t>Sources</w:t>
            </w:r>
          </w:p>
        </w:tc>
        <w:tc>
          <w:tcPr>
            <w:tcW w:type="dxa" w:w="2539"/>
            <w:shd w:val="clear" w:color="auto" w:fill="1F3864"/>
          </w:tcPr>
          <w:p>
            <w:pPr>
              <w:spacing w:after="0" w:line="240" w:lineRule="auto"/>
            </w:pPr>
            <w:r>
              <w:rPr>
                <w:b/>
                <w:i w:val="0"/>
                <w:color w:val="FFFFFF"/>
                <w:sz w:val="16"/>
              </w:rPr>
              <w:t>VH records</w:t>
            </w:r>
          </w:p>
        </w:tc>
        <w:tc>
          <w:tcPr>
            <w:tcW w:type="dxa" w:w="2901"/>
            <w:shd w:val="clear" w:color="auto" w:fill="1F3864"/>
          </w:tcPr>
          <w:p>
            <w:pPr>
              <w:spacing w:after="0" w:line="240" w:lineRule="auto"/>
            </w:pPr>
            <w:r>
              <w:rPr>
                <w:b/>
                <w:i w:val="0"/>
                <w:color w:val="FFFFFF"/>
                <w:sz w:val="16"/>
              </w:rPr>
              <w:t>Source</w:t>
            </w:r>
          </w:p>
        </w:tc>
      </w:tr>
      <w:tr>
        <w:trPr>
          <w:cantSplit/>
        </w:trPr>
        <w:tc>
          <w:tcPr>
            <w:tcW w:type="dxa" w:w="1813"/>
          </w:tcPr>
          <w:p>
            <w:pPr>
              <w:spacing w:after="0" w:line="240" w:lineRule="auto"/>
            </w:pPr>
            <w:r>
              <w:rPr>
                <w:b w:val="0"/>
                <w:i w:val="0"/>
                <w:sz w:val="16"/>
              </w:rPr>
              <w:t>FY16</w:t>
            </w:r>
          </w:p>
        </w:tc>
        <w:tc>
          <w:tcPr>
            <w:tcW w:type="dxa" w:w="2539"/>
          </w:tcPr>
          <w:p>
            <w:pPr>
              <w:spacing w:after="0" w:line="240" w:lineRule="auto"/>
            </w:pPr>
            <w:r>
              <w:rPr>
                <w:b w:val="0"/>
                <w:i w:val="0"/>
                <w:sz w:val="16"/>
              </w:rPr>
              <w:t>100k+</w:t>
            </w:r>
          </w:p>
        </w:tc>
        <w:tc>
          <w:tcPr>
            <w:tcW w:type="dxa" w:w="2539"/>
          </w:tcPr>
          <w:p>
            <w:pPr>
              <w:spacing w:after="0" w:line="240" w:lineRule="auto"/>
            </w:pPr>
            <w:r>
              <w:rPr>
                <w:b w:val="0"/>
                <w:i w:val="0"/>
                <w:sz w:val="16"/>
              </w:rPr>
              <w:t>17bn</w:t>
            </w:r>
          </w:p>
        </w:tc>
        <w:tc>
          <w:tcPr>
            <w:tcW w:type="dxa" w:w="2901"/>
          </w:tcPr>
          <w:p>
            <w:pPr>
              <w:spacing w:after="0" w:line="240" w:lineRule="auto"/>
            </w:pPr>
            <w:r>
              <w:rPr>
                <w:b w:val="0"/>
                <w:i w:val="0"/>
                <w:sz w:val="16"/>
              </w:rPr>
              <w:t>INFO16 p.10</w:t>
            </w:r>
          </w:p>
        </w:tc>
      </w:tr>
      <w:tr>
        <w:trPr>
          <w:cantSplit/>
        </w:trPr>
        <w:tc>
          <w:tcPr>
            <w:tcW w:type="dxa" w:w="1813"/>
            <w:shd w:val="clear" w:color="auto" w:fill="D9E1F2"/>
          </w:tcPr>
          <w:p>
            <w:pPr>
              <w:spacing w:after="0" w:line="240" w:lineRule="auto"/>
            </w:pPr>
            <w:r>
              <w:rPr>
                <w:b w:val="0"/>
                <w:i w:val="0"/>
                <w:sz w:val="16"/>
              </w:rPr>
              <w:t>FY18</w:t>
            </w:r>
          </w:p>
        </w:tc>
        <w:tc>
          <w:tcPr>
            <w:tcW w:type="dxa" w:w="2539"/>
            <w:shd w:val="clear" w:color="auto" w:fill="D9E1F2"/>
          </w:tcPr>
          <w:p>
            <w:pPr>
              <w:spacing w:after="0" w:line="240" w:lineRule="auto"/>
            </w:pPr>
            <w:r>
              <w:rPr>
                <w:b w:val="0"/>
                <w:i w:val="0"/>
                <w:sz w:val="16"/>
              </w:rPr>
              <w:t>112k+</w:t>
            </w:r>
          </w:p>
        </w:tc>
        <w:tc>
          <w:tcPr>
            <w:tcW w:type="dxa" w:w="2539"/>
            <w:shd w:val="clear" w:color="auto" w:fill="D9E1F2"/>
          </w:tcPr>
          <w:p>
            <w:pPr>
              <w:spacing w:after="0" w:line="240" w:lineRule="auto"/>
            </w:pPr>
            <w:r>
              <w:rPr>
                <w:b w:val="0"/>
                <w:i w:val="0"/>
                <w:sz w:val="16"/>
              </w:rPr>
              <w:t>20bn</w:t>
            </w:r>
          </w:p>
        </w:tc>
        <w:tc>
          <w:tcPr>
            <w:tcW w:type="dxa" w:w="2901"/>
            <w:shd w:val="clear" w:color="auto" w:fill="D9E1F2"/>
          </w:tcPr>
          <w:p>
            <w:pPr>
              <w:spacing w:after="0" w:line="240" w:lineRule="auto"/>
            </w:pPr>
            <w:r>
              <w:rPr>
                <w:b w:val="0"/>
                <w:i w:val="0"/>
                <w:sz w:val="16"/>
              </w:rPr>
              <w:t>INFO18 p.10</w:t>
            </w:r>
          </w:p>
        </w:tc>
      </w:tr>
      <w:tr>
        <w:trPr>
          <w:cantSplit/>
        </w:trPr>
        <w:tc>
          <w:tcPr>
            <w:tcW w:type="dxa" w:w="1813"/>
          </w:tcPr>
          <w:p>
            <w:pPr>
              <w:spacing w:after="0" w:line="240" w:lineRule="auto"/>
            </w:pPr>
            <w:r>
              <w:rPr>
                <w:b w:val="0"/>
                <w:i w:val="0"/>
                <w:sz w:val="16"/>
              </w:rPr>
              <w:t>FY19</w:t>
            </w:r>
          </w:p>
        </w:tc>
        <w:tc>
          <w:tcPr>
            <w:tcW w:type="dxa" w:w="2539"/>
          </w:tcPr>
          <w:p>
            <w:pPr>
              <w:spacing w:after="0" w:line="240" w:lineRule="auto"/>
            </w:pPr>
            <w:r>
              <w:rPr>
                <w:b w:val="0"/>
                <w:i w:val="0"/>
                <w:sz w:val="16"/>
              </w:rPr>
              <w:t>112k+</w:t>
            </w:r>
          </w:p>
        </w:tc>
        <w:tc>
          <w:tcPr>
            <w:tcW w:type="dxa" w:w="2539"/>
          </w:tcPr>
          <w:p>
            <w:pPr>
              <w:spacing w:after="0" w:line="240" w:lineRule="auto"/>
            </w:pPr>
            <w:r>
              <w:rPr>
                <w:b w:val="0"/>
                <w:i w:val="0"/>
                <w:sz w:val="16"/>
              </w:rPr>
              <w:t>23bn</w:t>
            </w:r>
          </w:p>
        </w:tc>
        <w:tc>
          <w:tcPr>
            <w:tcW w:type="dxa" w:w="2901"/>
          </w:tcPr>
          <w:p>
            <w:pPr>
              <w:spacing w:after="0" w:line="240" w:lineRule="auto"/>
            </w:pPr>
            <w:r>
              <w:rPr>
                <w:b w:val="0"/>
                <w:i w:val="0"/>
                <w:sz w:val="16"/>
              </w:rPr>
              <w:t>INFO19 p.10</w:t>
            </w:r>
          </w:p>
        </w:tc>
      </w:tr>
      <w:tr>
        <w:trPr>
          <w:cantSplit/>
        </w:trPr>
        <w:tc>
          <w:tcPr>
            <w:tcW w:type="dxa" w:w="1813"/>
            <w:shd w:val="clear" w:color="auto" w:fill="D9E1F2"/>
          </w:tcPr>
          <w:p>
            <w:pPr>
              <w:spacing w:after="0" w:line="240" w:lineRule="auto"/>
            </w:pPr>
            <w:r>
              <w:rPr>
                <w:b w:val="0"/>
                <w:i w:val="0"/>
                <w:sz w:val="16"/>
              </w:rPr>
              <w:t>FY21</w:t>
            </w:r>
          </w:p>
        </w:tc>
        <w:tc>
          <w:tcPr>
            <w:tcW w:type="dxa" w:w="2539"/>
            <w:shd w:val="clear" w:color="auto" w:fill="D9E1F2"/>
          </w:tcPr>
          <w:p>
            <w:pPr>
              <w:spacing w:after="0" w:line="240" w:lineRule="auto"/>
            </w:pPr>
            <w:r>
              <w:rPr>
                <w:b w:val="0"/>
                <w:i w:val="0"/>
                <w:sz w:val="16"/>
              </w:rPr>
              <w:t>130k+</w:t>
            </w:r>
          </w:p>
        </w:tc>
        <w:tc>
          <w:tcPr>
            <w:tcW w:type="dxa" w:w="2539"/>
            <w:shd w:val="clear" w:color="auto" w:fill="D9E1F2"/>
          </w:tcPr>
          <w:p>
            <w:pPr>
              <w:spacing w:after="0" w:line="240" w:lineRule="auto"/>
            </w:pPr>
            <w:r>
              <w:rPr>
                <w:b w:val="0"/>
                <w:i w:val="0"/>
                <w:sz w:val="16"/>
              </w:rPr>
              <w:t>27bn</w:t>
            </w:r>
          </w:p>
        </w:tc>
        <w:tc>
          <w:tcPr>
            <w:tcW w:type="dxa" w:w="2901"/>
            <w:shd w:val="clear" w:color="auto" w:fill="D9E1F2"/>
          </w:tcPr>
          <w:p>
            <w:pPr>
              <w:spacing w:after="0" w:line="240" w:lineRule="auto"/>
            </w:pPr>
            <w:r>
              <w:rPr>
                <w:b w:val="0"/>
                <w:i w:val="0"/>
                <w:sz w:val="16"/>
              </w:rPr>
              <w:t>INFO21 p.14</w:t>
            </w:r>
          </w:p>
        </w:tc>
      </w:tr>
      <w:tr>
        <w:trPr>
          <w:cantSplit/>
        </w:trPr>
        <w:tc>
          <w:tcPr>
            <w:tcW w:type="dxa" w:w="1813"/>
          </w:tcPr>
          <w:p>
            <w:pPr>
              <w:spacing w:after="0" w:line="240" w:lineRule="auto"/>
            </w:pPr>
            <w:r>
              <w:rPr>
                <w:b w:val="0"/>
                <w:i w:val="0"/>
                <w:sz w:val="16"/>
              </w:rPr>
              <w:t>FY25</w:t>
            </w:r>
          </w:p>
        </w:tc>
        <w:tc>
          <w:tcPr>
            <w:tcW w:type="dxa" w:w="2539"/>
          </w:tcPr>
          <w:p>
            <w:pPr>
              <w:spacing w:after="0" w:line="240" w:lineRule="auto"/>
            </w:pPr>
            <w:r>
              <w:rPr>
                <w:b w:val="0"/>
                <w:i w:val="0"/>
                <w:sz w:val="16"/>
              </w:rPr>
              <w:t>177k+</w:t>
            </w:r>
          </w:p>
        </w:tc>
        <w:tc>
          <w:tcPr>
            <w:tcW w:type="dxa" w:w="2539"/>
          </w:tcPr>
          <w:p>
            <w:pPr>
              <w:spacing w:after="0" w:line="240" w:lineRule="auto"/>
            </w:pPr>
            <w:r>
              <w:rPr>
                <w:b w:val="0"/>
                <w:i w:val="0"/>
                <w:sz w:val="16"/>
              </w:rPr>
              <w:t>38bn</w:t>
            </w:r>
          </w:p>
        </w:tc>
        <w:tc>
          <w:tcPr>
            <w:tcW w:type="dxa" w:w="2901"/>
          </w:tcPr>
          <w:p>
            <w:pPr>
              <w:spacing w:after="0" w:line="240" w:lineRule="auto"/>
            </w:pPr>
            <w:r>
              <w:rPr>
                <w:b w:val="0"/>
                <w:i w:val="0"/>
                <w:sz w:val="16"/>
              </w:rPr>
              <w:t>10A p.263</w:t>
            </w:r>
          </w:p>
        </w:tc>
      </w:tr>
    </w:tbl>
    <w:p>
      <w:pPr>
        <w:spacing w:after="120"/>
      </w:pPr>
      <w:r>
        <w:rPr>
          <w:b w:val="0"/>
          <w:i/>
          <w:color w:val="595959"/>
          <w:sz w:val="15"/>
        </w:rPr>
        <w:t xml:space="preserve">CAGR FY16–25 </w:t>
      </w:r>
      <w:r>
        <w:rPr>
          <w:b/>
          <w:color w:val="2E548C"/>
          <w:sz w:val="12"/>
        </w:rPr>
        <w:t>[C]</w:t>
      </w:r>
      <w:r>
        <w:rPr>
          <w:b w:val="0"/>
          <w:i/>
          <w:color w:val="595959"/>
          <w:sz w:val="15"/>
        </w:rPr>
        <w:t>: sources ≈ 6.5% a year; records ≈ 9.3% a year (K_session_tables.md, D1).</w:t>
      </w:r>
    </w:p>
    <w:tbl>
      <w:tblPr>
        <w:tblW w:type="auto" w:w="0"/>
        <w:jc w:val="center"/>
        <w:tblLook w:firstColumn="1" w:firstRow="1" w:lastColumn="0" w:lastRow="0" w:noHBand="0" w:noVBand="1" w:val="04A0"/>
        <w:tblBorders>
          <w:top w:val="nil" w:sz="0" w:space="0" w:color="auto"/>
          <w:left w:val="single" w:sz="24" w:space="0" w:color="1F3864"/>
          <w:bottom w:val="nil" w:sz="0" w:space="0" w:color="auto"/>
          <w:right w:val="nil" w:sz="0" w:space="0" w:color="auto"/>
          <w:insideH w:val="nil" w:sz="0" w:space="0" w:color="auto"/>
          <w:insideV w:val="nil" w:sz="0" w:space="0" w:color="auto"/>
        </w:tblBorders>
        <w:tblCellMar>
          <w:top w:w="90" w:type="dxa"/>
          <w:left w:w="160" w:type="dxa"/>
          <w:bottom w:w="90" w:type="dxa"/>
          <w:right w:w="120" w:type="dxa"/>
        </w:tblCellMar>
      </w:tblPr>
      <w:tblGrid>
        <w:gridCol w:w="8928"/>
      </w:tblGrid>
      <w:tr>
        <w:trPr>
          <w:cantSplit/>
        </w:trPr>
        <w:tc>
          <w:tcPr>
            <w:tcW w:type="dxa" w:w="8928"/>
            <w:shd w:val="clear" w:color="auto" w:fill="EEF2F9"/>
          </w:tcPr>
          <w:p>
            <w:pPr>
              <w:spacing w:after="60"/>
            </w:pPr>
            <w:r>
              <w:rPr>
                <w:i/>
                <w:color w:val="262626"/>
                <w:sz w:val="19"/>
              </w:rPr>
              <w:t>“Every one of those 177,000 sources are contractual relationships that are slow to replicate.”</w:t>
            </w:r>
          </w:p>
          <w:p>
            <w:pPr>
              <w:spacing w:after="0"/>
            </w:pPr>
            <w:r>
              <w:rPr>
                <w:b w:val="0"/>
                <w:i w:val="0"/>
                <w:color w:val="1F3864"/>
                <w:sz w:val="15"/>
              </w:rPr>
              <w:t xml:space="preserve">— Jeremy Morehouse (Head of AI Office), Investor Day 2026, 2026-05-12 · Quartr t=6770.59s </w:t>
            </w:r>
            <w:r>
              <w:rPr>
                <w:b/>
                <w:color w:val="2E548C"/>
                <w:sz w:val="12"/>
              </w:rPr>
              <w:t>[IR]</w:t>
            </w:r>
          </w:p>
        </w:tc>
      </w:tr>
    </w:tbl>
    <w:p>
      <w:pPr>
        <w:spacing w:after="40"/>
      </w:pPr>
    </w:p>
    <w:tbl>
      <w:tblPr>
        <w:tblW w:type="auto" w:w="0"/>
        <w:jc w:val="center"/>
        <w:tblLook w:firstColumn="1" w:firstRow="1" w:lastColumn="0" w:lastRow="0" w:noHBand="0" w:noVBand="1" w:val="04A0"/>
        <w:tblBorders>
          <w:top w:val="nil" w:sz="0" w:space="0" w:color="auto"/>
          <w:left w:val="single" w:sz="24" w:space="0" w:color="1F3864"/>
          <w:bottom w:val="nil" w:sz="0" w:space="0" w:color="auto"/>
          <w:right w:val="nil" w:sz="0" w:space="0" w:color="auto"/>
          <w:insideH w:val="nil" w:sz="0" w:space="0" w:color="auto"/>
          <w:insideV w:val="nil" w:sz="0" w:space="0" w:color="auto"/>
        </w:tblBorders>
        <w:tblCellMar>
          <w:top w:w="90" w:type="dxa"/>
          <w:left w:w="160" w:type="dxa"/>
          <w:bottom w:w="90" w:type="dxa"/>
          <w:right w:w="120" w:type="dxa"/>
        </w:tblCellMar>
      </w:tblPr>
      <w:tblGrid>
        <w:gridCol w:w="8928"/>
      </w:tblGrid>
      <w:tr>
        <w:trPr>
          <w:cantSplit/>
        </w:trPr>
        <w:tc>
          <w:tcPr>
            <w:tcW w:type="dxa" w:w="8928"/>
            <w:shd w:val="clear" w:color="auto" w:fill="EEF2F9"/>
          </w:tcPr>
          <w:p>
            <w:pPr>
              <w:spacing w:after="60"/>
            </w:pPr>
            <w:r>
              <w:rPr>
                <w:i/>
                <w:color w:val="262626"/>
                <w:sz w:val="19"/>
              </w:rPr>
              <w:t>“When you look at a lot of that data, some of that data that's seven years old, 12 years old, 15 years old just doesn't exist anymore anywhere else.”</w:t>
            </w:r>
          </w:p>
          <w:p>
            <w:pPr>
              <w:spacing w:after="0"/>
            </w:pPr>
            <w:r>
              <w:rPr>
                <w:b w:val="0"/>
                <w:i w:val="0"/>
                <w:color w:val="1F3864"/>
                <w:sz w:val="15"/>
              </w:rPr>
              <w:t xml:space="preserve">— Bill Eager (CEO), Q2 2026 Earnings Call, 2026-08-07 · Quartr t=3497.87s </w:t>
            </w:r>
            <w:r>
              <w:rPr>
                <w:b/>
                <w:color w:val="2E548C"/>
                <w:sz w:val="12"/>
              </w:rPr>
              <w:t>[IR]</w:t>
            </w:r>
          </w:p>
        </w:tc>
      </w:tr>
    </w:tbl>
    <w:p>
      <w:pPr>
        <w:spacing w:after="40"/>
      </w:pPr>
    </w:p>
    <w:tbl>
      <w:tblPr>
        <w:tblW w:type="auto" w:w="0"/>
        <w:jc w:val="center"/>
        <w:tblLook w:firstColumn="1" w:firstRow="1" w:lastColumn="0" w:lastRow="0" w:noHBand="0" w:noVBand="1" w:val="04A0"/>
        <w:tblBorders>
          <w:top w:val="nil" w:sz="0" w:space="0" w:color="auto"/>
          <w:left w:val="single" w:sz="24" w:space="0" w:color="1F3864"/>
          <w:bottom w:val="nil" w:sz="0" w:space="0" w:color="auto"/>
          <w:right w:val="nil" w:sz="0" w:space="0" w:color="auto"/>
          <w:insideH w:val="nil" w:sz="0" w:space="0" w:color="auto"/>
          <w:insideV w:val="nil" w:sz="0" w:space="0" w:color="auto"/>
        </w:tblBorders>
        <w:tblCellMar>
          <w:top w:w="90" w:type="dxa"/>
          <w:left w:w="160" w:type="dxa"/>
          <w:bottom w:w="90" w:type="dxa"/>
          <w:right w:w="120" w:type="dxa"/>
        </w:tblCellMar>
      </w:tblPr>
      <w:tblGrid>
        <w:gridCol w:w="8928"/>
      </w:tblGrid>
      <w:tr>
        <w:trPr>
          <w:cantSplit/>
        </w:trPr>
        <w:tc>
          <w:tcPr>
            <w:tcW w:type="dxa" w:w="8928"/>
            <w:shd w:val="clear" w:color="auto" w:fill="EEF2F9"/>
          </w:tcPr>
          <w:p>
            <w:pPr>
              <w:spacing w:after="60"/>
            </w:pPr>
            <w:r>
              <w:rPr>
                <w:i/>
                <w:color w:val="262626"/>
                <w:sz w:val="19"/>
              </w:rPr>
              <w:t>“The consumer walked in and said, "Show me the CARFAX." You want to put in brand Z in front of them, the dealer loses confidence with the consumer.”</w:t>
            </w:r>
          </w:p>
          <w:p>
            <w:pPr>
              <w:spacing w:after="0"/>
            </w:pPr>
            <w:r>
              <w:rPr>
                <w:b w:val="0"/>
                <w:i w:val="0"/>
                <w:color w:val="1F3864"/>
                <w:sz w:val="15"/>
              </w:rPr>
              <w:t xml:space="preserve">— Scott Fredericks (President, CARFAX), Investor Day 2026, 2026-05-12 · Quartr t=9459.13s </w:t>
            </w:r>
            <w:r>
              <w:rPr>
                <w:b/>
                <w:color w:val="2E548C"/>
                <w:sz w:val="12"/>
              </w:rPr>
              <w:t>[IR]</w:t>
            </w:r>
          </w:p>
        </w:tc>
      </w:tr>
    </w:tbl>
    <w:p>
      <w:pPr>
        <w:spacing w:after="40"/>
      </w:pPr>
    </w:p>
    <w:p>
      <w:pPr>
        <w:pStyle w:val="Heading2"/>
      </w:pPr>
      <w:r>
        <w:t>5.2 Defensibility against each competitor class</w:t>
      </w:r>
    </w:p>
    <w:p>
      <w:pPr>
        <w:keepNext/>
        <w:spacing w:before="80" w:after="40"/>
      </w:pPr>
      <w:r>
        <w:rPr>
          <w:b/>
          <w:i w:val="0"/>
          <w:color w:val="1F3864"/>
          <w:sz w:val="17"/>
        </w:rPr>
        <w:t>Exhibit 5.3 — Competitor classes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159"/>
        <w:gridCol w:w="2304"/>
        <w:gridCol w:w="5328"/>
      </w:tblGrid>
      <w:tr>
        <w:trPr>
          <w:cantSplit/>
          <w:tblHeader/>
        </w:trPr>
        <w:tc>
          <w:tcPr>
            <w:tcW w:type="dxa" w:w="2160"/>
            <w:shd w:val="clear" w:color="auto" w:fill="1F3864"/>
          </w:tcPr>
          <w:p>
            <w:pPr>
              <w:spacing w:after="0" w:line="240" w:lineRule="auto"/>
            </w:pPr>
            <w:r>
              <w:rPr>
                <w:b/>
                <w:i w:val="0"/>
                <w:color w:val="FFFFFF"/>
                <w:sz w:val="15"/>
              </w:rPr>
              <w:t>Competitor class</w:t>
            </w:r>
          </w:p>
        </w:tc>
        <w:tc>
          <w:tcPr>
            <w:tcW w:type="dxa" w:w="2304"/>
            <w:shd w:val="clear" w:color="auto" w:fill="1F3864"/>
          </w:tcPr>
          <w:p>
            <w:pPr>
              <w:spacing w:after="0" w:line="240" w:lineRule="auto"/>
            </w:pPr>
            <w:r>
              <w:rPr>
                <w:b/>
                <w:i w:val="0"/>
                <w:color w:val="FFFFFF"/>
                <w:sz w:val="15"/>
              </w:rPr>
              <w:t>Where it overlaps</w:t>
            </w:r>
          </w:p>
        </w:tc>
        <w:tc>
          <w:tcPr>
            <w:tcW w:type="dxa" w:w="5328"/>
            <w:shd w:val="clear" w:color="auto" w:fill="1F3864"/>
          </w:tcPr>
          <w:p>
            <w:pPr>
              <w:spacing w:after="0" w:line="240" w:lineRule="auto"/>
            </w:pPr>
            <w:r>
              <w:rPr>
                <w:b/>
                <w:i w:val="0"/>
                <w:color w:val="FFFFFF"/>
                <w:sz w:val="15"/>
              </w:rPr>
              <w:t>Assessment</w:t>
            </w:r>
          </w:p>
        </w:tc>
      </w:tr>
      <w:tr>
        <w:trPr>
          <w:cantSplit/>
        </w:trPr>
        <w:tc>
          <w:tcPr>
            <w:tcW w:type="dxa" w:w="2160"/>
          </w:tcPr>
          <w:p>
            <w:pPr>
              <w:spacing w:after="0" w:line="240" w:lineRule="auto"/>
            </w:pPr>
            <w:r>
              <w:rPr>
                <w:b/>
                <w:i w:val="0"/>
                <w:sz w:val="15"/>
              </w:rPr>
              <w:t>Experian (AutoCheck VHR; AutoCount registration data)</w:t>
            </w:r>
          </w:p>
        </w:tc>
        <w:tc>
          <w:tcPr>
            <w:tcW w:type="dxa" w:w="2304"/>
          </w:tcPr>
          <w:p>
            <w:pPr>
              <w:spacing w:after="0" w:line="240" w:lineRule="auto"/>
            </w:pPr>
            <w:r>
              <w:rPr>
                <w:b w:val="0"/>
                <w:i w:val="0"/>
                <w:sz w:val="15"/>
              </w:rPr>
              <w:t>Vehicle history reports (CARFAX); registration-based market share (Polk)</w:t>
            </w:r>
          </w:p>
        </w:tc>
        <w:tc>
          <w:tcPr>
            <w:tcW w:type="dxa" w:w="5328"/>
          </w:tcPr>
          <w:p>
            <w:pPr>
              <w:spacing w:after="0" w:line="240" w:lineRule="auto"/>
            </w:pPr>
            <w:r>
              <w:rPr>
                <w:b/>
                <w:i w:val="0"/>
                <w:sz w:val="15"/>
              </w:rPr>
              <w:t>High for CARFAX; medium for Polk.</w:t>
            </w:r>
            <w:r>
              <w:rPr>
                <w:b w:val="0"/>
                <w:i w:val="0"/>
                <w:sz w:val="15"/>
              </w:rPr>
              <w:t xml:space="preserve"> AutoCheck has existed for decades without displacing CARFAX at the consumer </w:t>
            </w:r>
            <w:r>
              <w:rPr>
                <w:b/>
                <w:color w:val="2E548C"/>
                <w:sz w:val="12"/>
              </w:rPr>
              <w:t>[context]</w:t>
            </w:r>
            <w:r>
              <w:rPr>
                <w:b w:val="0"/>
                <w:i w:val="0"/>
                <w:sz w:val="15"/>
              </w:rPr>
              <w:t>. In registration data, Experian is the "low-cost alternative" management describes for planning and B2B [ID : LaFeir]. Analysts at ID named "Experian AutoCheck" [ID summary].</w:t>
            </w:r>
          </w:p>
        </w:tc>
      </w:tr>
      <w:tr>
        <w:trPr>
          <w:cantSplit/>
        </w:trPr>
        <w:tc>
          <w:tcPr>
            <w:tcW w:type="dxa" w:w="2160"/>
            <w:shd w:val="clear" w:color="auto" w:fill="D9E1F2"/>
          </w:tcPr>
          <w:p>
            <w:pPr>
              <w:spacing w:after="0" w:line="240" w:lineRule="auto"/>
            </w:pPr>
            <w:r>
              <w:rPr>
                <w:b/>
                <w:i w:val="0"/>
                <w:sz w:val="15"/>
              </w:rPr>
              <w:t>Cox Automotive (vAuto, KBB, Autotrader, Manheim, Dealertrack)</w:t>
            </w:r>
          </w:p>
        </w:tc>
        <w:tc>
          <w:tcPr>
            <w:tcW w:type="dxa" w:w="2304"/>
            <w:shd w:val="clear" w:color="auto" w:fill="D9E1F2"/>
          </w:tcPr>
          <w:p>
            <w:pPr>
              <w:spacing w:after="0" w:line="240" w:lineRule="auto"/>
            </w:pPr>
            <w:r>
              <w:rPr>
                <w:b w:val="0"/>
                <w:i w:val="0"/>
                <w:sz w:val="15"/>
              </w:rPr>
              <w:t>Listings (Autotrader vs CARFAX Listings); valuation (KBB vs CARFAX valuations); dealer workflow</w:t>
            </w:r>
          </w:p>
        </w:tc>
        <w:tc>
          <w:tcPr>
            <w:tcW w:type="dxa" w:w="5328"/>
            <w:shd w:val="clear" w:color="auto" w:fill="D9E1F2"/>
          </w:tcPr>
          <w:p>
            <w:pPr>
              <w:spacing w:after="0" w:line="240" w:lineRule="auto"/>
            </w:pPr>
            <w:r>
              <w:rPr>
                <w:b/>
                <w:i w:val="0"/>
                <w:sz w:val="15"/>
              </w:rPr>
              <w:t>Medium.</w:t>
            </w:r>
            <w:r>
              <w:rPr>
                <w:b w:val="0"/>
                <w:i w:val="0"/>
                <w:sz w:val="15"/>
              </w:rPr>
              <w:t xml:space="preserve"> In listings, MBGL is the challenger, not the incumbent: "Of the four players in that space, we're the newest of the four." [Q2 : Eager] US listings are &gt;$3bn with CARFAX at &lt;10% [GS]. </w:t>
            </w:r>
            <w:r>
              <w:rPr>
                <w:b/>
                <w:i w:val="0"/>
                <w:sz w:val="15"/>
              </w:rPr>
              <w:t>Inference:</w:t>
            </w:r>
            <w:r>
              <w:rPr>
                <w:b w:val="0"/>
                <w:i w:val="0"/>
                <w:sz w:val="15"/>
              </w:rPr>
              <w:t xml:space="preserve"> Cox is the one firm with both dealer workflow and consumer brands (KBB). It is the most capable potential VHR entrant if contribution data were obtainable.</w:t>
            </w:r>
          </w:p>
        </w:tc>
      </w:tr>
      <w:tr>
        <w:trPr>
          <w:cantSplit/>
        </w:trPr>
        <w:tc>
          <w:tcPr>
            <w:tcW w:type="dxa" w:w="2160"/>
          </w:tcPr>
          <w:p>
            <w:pPr>
              <w:spacing w:after="0" w:line="240" w:lineRule="auto"/>
            </w:pPr>
            <w:r>
              <w:rPr>
                <w:b/>
                <w:i w:val="0"/>
                <w:sz w:val="15"/>
              </w:rPr>
              <w:t>CarGurus / Cars.com (listings marketplaces)</w:t>
            </w:r>
          </w:p>
        </w:tc>
        <w:tc>
          <w:tcPr>
            <w:tcW w:type="dxa" w:w="2304"/>
          </w:tcPr>
          <w:p>
            <w:pPr>
              <w:spacing w:after="0" w:line="240" w:lineRule="auto"/>
            </w:pPr>
            <w:r>
              <w:rPr>
                <w:b w:val="0"/>
                <w:i w:val="0"/>
                <w:sz w:val="15"/>
              </w:rPr>
              <w:t xml:space="preserve">Listings (CARFAX Listings is ~22% of CARFAX revenue ≈ </w:t>
            </w:r>
            <w:r>
              <w:rPr>
                <w:b/>
                <w:i w:val="0"/>
                <w:sz w:val="15"/>
              </w:rPr>
              <w:t xml:space="preserve">$251m </w:t>
            </w:r>
            <w:r>
              <w:rPr>
                <w:b/>
                <w:color w:val="2E548C"/>
                <w:sz w:val="12"/>
              </w:rPr>
              <w:t>[C]</w:t>
            </w:r>
            <w:r>
              <w:rPr>
                <w:b w:val="0"/>
                <w:i w:val="0"/>
                <w:sz w:val="15"/>
              </w:rPr>
              <w:t>, 22% × $1,142m, PRES s.57)</w:t>
            </w:r>
          </w:p>
        </w:tc>
        <w:tc>
          <w:tcPr>
            <w:tcW w:type="dxa" w:w="5328"/>
          </w:tcPr>
          <w:p>
            <w:pPr>
              <w:spacing w:after="0" w:line="240" w:lineRule="auto"/>
            </w:pPr>
            <w:r>
              <w:rPr>
                <w:b/>
                <w:i w:val="0"/>
                <w:sz w:val="15"/>
              </w:rPr>
              <w:t>Medium/low threat to the VHR moat; high competition in listings.</w:t>
            </w:r>
            <w:r>
              <w:rPr>
                <w:b w:val="0"/>
                <w:i w:val="0"/>
                <w:sz w:val="15"/>
              </w:rPr>
              <w:t xml:space="preserve"> The marketplaces are distributors of the CARFAX report as well as rivals for listing budgets.</w:t>
            </w:r>
          </w:p>
        </w:tc>
      </w:tr>
      <w:tr>
        <w:trPr>
          <w:cantSplit/>
        </w:trPr>
        <w:tc>
          <w:tcPr>
            <w:tcW w:type="dxa" w:w="2160"/>
            <w:shd w:val="clear" w:color="auto" w:fill="D9E1F2"/>
          </w:tcPr>
          <w:p>
            <w:pPr>
              <w:spacing w:after="0" w:line="240" w:lineRule="auto"/>
            </w:pPr>
            <w:r>
              <w:rPr>
                <w:b/>
                <w:i w:val="0"/>
                <w:sz w:val="15"/>
              </w:rPr>
              <w:t>CDK / Reynolds (DMS)</w:t>
            </w:r>
          </w:p>
        </w:tc>
        <w:tc>
          <w:tcPr>
            <w:tcW w:type="dxa" w:w="2304"/>
            <w:shd w:val="clear" w:color="auto" w:fill="D9E1F2"/>
          </w:tcPr>
          <w:p>
            <w:pPr>
              <w:spacing w:after="0" w:line="240" w:lineRule="auto"/>
            </w:pPr>
            <w:r>
              <w:rPr>
                <w:b w:val="0"/>
                <w:i w:val="0"/>
                <w:sz w:val="15"/>
              </w:rPr>
              <w:t>They hold the service and sales records that feed CARFAX and automotiveMastermind (aM integrates "CRM and DMS data", 10A p.264)</w:t>
            </w:r>
          </w:p>
        </w:tc>
        <w:tc>
          <w:tcPr>
            <w:tcW w:type="dxa" w:w="5328"/>
            <w:shd w:val="clear" w:color="auto" w:fill="D9E1F2"/>
          </w:tcPr>
          <w:p>
            <w:pPr>
              <w:spacing w:after="0" w:line="240" w:lineRule="auto"/>
            </w:pPr>
            <w:r>
              <w:rPr>
                <w:b/>
                <w:i w:val="0"/>
                <w:sz w:val="15"/>
              </w:rPr>
              <w:t>Watch, not a direct competitor.</w:t>
            </w:r>
            <w:r>
              <w:rPr>
                <w:b w:val="0"/>
                <w:i w:val="0"/>
                <w:sz w:val="15"/>
              </w:rPr>
              <w:t xml:space="preserve"> The 10/A warns that "Some of our suppliers are also our competitors, and from time to time they negotiate to change the terms" [10A : 304]. </w:t>
            </w:r>
            <w:r>
              <w:rPr>
                <w:b/>
                <w:color w:val="2E548C"/>
                <w:sz w:val="12"/>
              </w:rPr>
              <w:t>[context]</w:t>
            </w:r>
            <w:r>
              <w:rPr>
                <w:b/>
                <w:i w:val="0"/>
                <w:sz w:val="15"/>
              </w:rPr>
              <w:t>:</w:t>
            </w:r>
            <w:r>
              <w:rPr>
                <w:b w:val="0"/>
                <w:i w:val="0"/>
                <w:sz w:val="15"/>
              </w:rPr>
              <w:t xml:space="preserve"> DMS vendors have historically restricted third-party data access (the 2015–2020 Authenticom litigation), and CDK had a major outage in 2024. </w:t>
            </w:r>
            <w:r>
              <w:rPr>
                <w:b/>
                <w:i w:val="0"/>
                <w:sz w:val="15"/>
              </w:rPr>
              <w:t>Inference:</w:t>
            </w:r>
            <w:r>
              <w:rPr>
                <w:b w:val="0"/>
                <w:i w:val="0"/>
                <w:sz w:val="15"/>
              </w:rPr>
              <w:t xml:space="preserve"> DMS gatekeeping is the most plausible supply-side squeeze.</w:t>
            </w:r>
          </w:p>
        </w:tc>
      </w:tr>
      <w:tr>
        <w:trPr>
          <w:cantSplit/>
        </w:trPr>
        <w:tc>
          <w:tcPr>
            <w:tcW w:type="dxa" w:w="2160"/>
          </w:tcPr>
          <w:p>
            <w:pPr>
              <w:spacing w:after="0" w:line="240" w:lineRule="auto"/>
            </w:pPr>
            <w:r>
              <w:rPr>
                <w:b/>
                <w:i w:val="0"/>
                <w:sz w:val="15"/>
              </w:rPr>
              <w:t>J.D. Power (valuation, PIN transaction data, forecasting)</w:t>
            </w:r>
          </w:p>
        </w:tc>
        <w:tc>
          <w:tcPr>
            <w:tcW w:type="dxa" w:w="2304"/>
          </w:tcPr>
          <w:p>
            <w:pPr>
              <w:spacing w:after="0" w:line="240" w:lineRule="auto"/>
            </w:pPr>
            <w:r>
              <w:rPr>
                <w:b w:val="0"/>
                <w:i w:val="0"/>
                <w:sz w:val="15"/>
              </w:rPr>
              <w:t>Strategy &amp; Planning; dealer and OEM analytics; valuation</w:t>
            </w:r>
          </w:p>
        </w:tc>
        <w:tc>
          <w:tcPr>
            <w:tcW w:type="dxa" w:w="5328"/>
          </w:tcPr>
          <w:p>
            <w:pPr>
              <w:spacing w:after="0" w:line="240" w:lineRule="auto"/>
            </w:pPr>
            <w:r>
              <w:rPr>
                <w:b/>
                <w:i w:val="0"/>
                <w:sz w:val="15"/>
              </w:rPr>
              <w:t>Medium.</w:t>
            </w:r>
            <w:r>
              <w:rPr>
                <w:b w:val="0"/>
                <w:i w:val="0"/>
                <w:sz w:val="15"/>
              </w:rPr>
              <w:t xml:space="preserve"> No share data. B2B growth (+3% FY24, +6% FY25 </w:t>
            </w:r>
            <w:r>
              <w:rPr>
                <w:b/>
                <w:color w:val="2E548C"/>
                <w:sz w:val="12"/>
              </w:rPr>
              <w:t>[C]</w:t>
            </w:r>
            <w:r>
              <w:rPr>
                <w:b w:val="0"/>
                <w:i w:val="0"/>
                <w:sz w:val="15"/>
              </w:rPr>
              <w:t xml:space="preserve">) is much slower than CARFAX's. </w:t>
            </w:r>
            <w:r>
              <w:rPr>
                <w:b/>
                <w:i w:val="0"/>
                <w:sz w:val="15"/>
              </w:rPr>
              <w:t>Inference:</w:t>
            </w:r>
            <w:r>
              <w:rPr>
                <w:b w:val="0"/>
                <w:i w:val="0"/>
                <w:sz w:val="15"/>
              </w:rPr>
              <w:t xml:space="preserve"> this side of the business is the less defended one.</w:t>
            </w:r>
          </w:p>
        </w:tc>
      </w:tr>
      <w:tr>
        <w:trPr>
          <w:cantSplit/>
        </w:trPr>
        <w:tc>
          <w:tcPr>
            <w:tcW w:type="dxa" w:w="2160"/>
            <w:shd w:val="clear" w:color="auto" w:fill="D9E1F2"/>
          </w:tcPr>
          <w:p>
            <w:pPr>
              <w:spacing w:after="0" w:line="240" w:lineRule="auto"/>
            </w:pPr>
            <w:r>
              <w:rPr>
                <w:b/>
                <w:i w:val="0"/>
                <w:sz w:val="15"/>
              </w:rPr>
              <w:t>GlobalData / LMC (forecasting)</w:t>
            </w:r>
          </w:p>
        </w:tc>
        <w:tc>
          <w:tcPr>
            <w:tcW w:type="dxa" w:w="2304"/>
            <w:shd w:val="clear" w:color="auto" w:fill="D9E1F2"/>
          </w:tcPr>
          <w:p>
            <w:pPr>
              <w:spacing w:after="0" w:line="240" w:lineRule="auto"/>
            </w:pPr>
            <w:r>
              <w:rPr>
                <w:b w:val="0"/>
                <w:i w:val="0"/>
                <w:sz w:val="15"/>
              </w:rPr>
              <w:t>Planning Solutions</w:t>
            </w:r>
          </w:p>
        </w:tc>
        <w:tc>
          <w:tcPr>
            <w:tcW w:type="dxa" w:w="5328"/>
            <w:shd w:val="clear" w:color="auto" w:fill="D9E1F2"/>
          </w:tcPr>
          <w:p>
            <w:pPr>
              <w:spacing w:after="0" w:line="240" w:lineRule="auto"/>
            </w:pPr>
            <w:r>
              <w:rPr>
                <w:b/>
                <w:i w:val="0"/>
                <w:sz w:val="15"/>
              </w:rPr>
              <w:t>Medium.</w:t>
            </w:r>
            <w:r>
              <w:rPr>
                <w:b w:val="0"/>
                <w:i w:val="0"/>
                <w:sz w:val="15"/>
              </w:rPr>
              <w:t xml:space="preserve"> Management's own word for GlobalData/LMC is "low-cost alternative". Planning projects slipped in Q2-26 on macro [Q2].</w:t>
            </w:r>
          </w:p>
        </w:tc>
      </w:tr>
      <w:tr>
        <w:trPr>
          <w:cantSplit/>
        </w:trPr>
        <w:tc>
          <w:tcPr>
            <w:tcW w:type="dxa" w:w="2160"/>
          </w:tcPr>
          <w:p>
            <w:pPr>
              <w:spacing w:after="0" w:line="240" w:lineRule="auto"/>
            </w:pPr>
            <w:r>
              <w:rPr>
                <w:b/>
                <w:i w:val="0"/>
                <w:sz w:val="15"/>
              </w:rPr>
              <w:t>Free, government and OEM data</w:t>
            </w:r>
            <w:r>
              <w:rPr>
                <w:b w:val="0"/>
                <w:i w:val="0"/>
                <w:sz w:val="15"/>
              </w:rPr>
              <w:t xml:space="preserve"> (NMVTIS title checks; NICB VINCheck; OEM connected-car and service data)</w:t>
            </w:r>
          </w:p>
        </w:tc>
        <w:tc>
          <w:tcPr>
            <w:tcW w:type="dxa" w:w="2304"/>
          </w:tcPr>
          <w:p>
            <w:pPr>
              <w:spacing w:after="0" w:line="240" w:lineRule="auto"/>
            </w:pPr>
            <w:r>
              <w:rPr>
                <w:b w:val="0"/>
                <w:i w:val="0"/>
                <w:sz w:val="15"/>
              </w:rPr>
              <w:t>Basic title, salvage and theft checks; OEM-owned service histories</w:t>
            </w:r>
          </w:p>
        </w:tc>
        <w:tc>
          <w:tcPr>
            <w:tcW w:type="dxa" w:w="5328"/>
          </w:tcPr>
          <w:p>
            <w:pPr>
              <w:spacing w:after="0" w:line="240" w:lineRule="auto"/>
            </w:pPr>
            <w:r>
              <w:rPr>
                <w:b/>
                <w:i w:val="0"/>
                <w:sz w:val="15"/>
              </w:rPr>
              <w:t>High for now.</w:t>
            </w:r>
            <w:r>
              <w:rPr>
                <w:b w:val="0"/>
                <w:i w:val="0"/>
                <w:sz w:val="15"/>
              </w:rPr>
              <w:t xml:space="preserve"> The 10/A carries a specific risk factor on "free or relatively inexpensive information sources", amplified by AI [10A : 296–297]. </w:t>
            </w:r>
            <w:r>
              <w:rPr>
                <w:b/>
                <w:color w:val="2E548C"/>
                <w:sz w:val="12"/>
              </w:rPr>
              <w:t>[context]</w:t>
            </w:r>
            <w:r>
              <w:rPr>
                <w:b/>
                <w:i w:val="0"/>
                <w:sz w:val="15"/>
              </w:rPr>
              <w:t>:</w:t>
            </w:r>
            <w:r>
              <w:rPr>
                <w:b w:val="0"/>
                <w:i w:val="0"/>
                <w:sz w:val="15"/>
              </w:rPr>
              <w:t xml:space="preserve"> NMVTIS reports cost a few dollars through approved providers. </w:t>
            </w:r>
            <w:r>
              <w:rPr>
                <w:b/>
                <w:i w:val="0"/>
                <w:sz w:val="15"/>
              </w:rPr>
              <w:t>Inference:</w:t>
            </w:r>
            <w:r>
              <w:rPr>
                <w:b w:val="0"/>
                <w:i w:val="0"/>
                <w:sz w:val="15"/>
              </w:rPr>
              <w:t xml:space="preserve"> OEM connected-vehicle data is the long-dated threat. OEMs could, in principle, publish their own service histories, but 36 OEMs currently *mandate* CARFAX in CPO.</w:t>
            </w:r>
          </w:p>
        </w:tc>
      </w:tr>
      <w:tr>
        <w:trPr>
          <w:cantSplit/>
        </w:trPr>
        <w:tc>
          <w:tcPr>
            <w:tcW w:type="dxa" w:w="2160"/>
            <w:shd w:val="clear" w:color="auto" w:fill="D9E1F2"/>
          </w:tcPr>
          <w:p>
            <w:pPr>
              <w:spacing w:after="0" w:line="240" w:lineRule="auto"/>
            </w:pPr>
            <w:r>
              <w:rPr>
                <w:b/>
                <w:i w:val="0"/>
                <w:sz w:val="15"/>
              </w:rPr>
              <w:t>AI entrants and LLM answer engines</w:t>
            </w:r>
          </w:p>
        </w:tc>
        <w:tc>
          <w:tcPr>
            <w:tcW w:type="dxa" w:w="2304"/>
            <w:shd w:val="clear" w:color="auto" w:fill="D9E1F2"/>
          </w:tcPr>
          <w:p>
            <w:pPr>
              <w:spacing w:after="0" w:line="240" w:lineRule="auto"/>
            </w:pPr>
            <w:r>
              <w:rPr>
                <w:b w:val="0"/>
                <w:i w:val="0"/>
                <w:sz w:val="15"/>
              </w:rPr>
              <w:t>Consumer research traffic (search/answer engines); cheap data processing</w:t>
            </w:r>
          </w:p>
        </w:tc>
        <w:tc>
          <w:tcPr>
            <w:tcW w:type="dxa" w:w="5328"/>
            <w:shd w:val="clear" w:color="auto" w:fill="D9E1F2"/>
          </w:tcPr>
          <w:p>
            <w:pPr>
              <w:spacing w:after="0" w:line="240" w:lineRule="auto"/>
            </w:pPr>
            <w:r>
              <w:rPr>
                <w:b/>
                <w:i w:val="0"/>
                <w:sz w:val="15"/>
              </w:rPr>
              <w:t>High on data, weak on traffic.</w:t>
            </w:r>
            <w:r>
              <w:rPr>
                <w:b w:val="0"/>
                <w:i w:val="0"/>
                <w:sz w:val="15"/>
              </w:rPr>
              <w:t xml:space="preserve"> The 10/A names search and AI as threats to traffic [10A : 299] and says customer-acquisition costs are rising as ad platforms "dial up their monetization" [10A : 343]. The IP risk factor admits: "We do not yet know whether intellectual property laws … will enable us to effectively protect our data … from unintended use by AI" [10A : 298]. </w:t>
            </w:r>
            <w:r>
              <w:rPr>
                <w:b/>
                <w:i w:val="0"/>
                <w:sz w:val="15"/>
              </w:rPr>
              <w:t>Inference:</w:t>
            </w:r>
            <w:r>
              <w:rPr>
                <w:b w:val="0"/>
                <w:i w:val="0"/>
                <w:sz w:val="15"/>
              </w:rPr>
              <w:t xml:space="preserve"> AI threatens the consumer-traffic leg of the moat, not the data leg.</w:t>
            </w:r>
          </w:p>
        </w:tc>
      </w:tr>
    </w:tbl>
    <w:p>
      <w:pPr>
        <w:spacing w:after="120"/>
      </w:pPr>
      <w:r>
        <w:rPr>
          <w:b w:val="0"/>
          <w:i/>
          <w:color w:val="595959"/>
          <w:sz w:val="15"/>
        </w:rPr>
        <w:t xml:space="preserve">Source: analysis/D1_moat.md §3. </w:t>
      </w:r>
      <w:r>
        <w:rPr>
          <w:b/>
          <w:color w:val="2E548C"/>
          <w:sz w:val="12"/>
        </w:rPr>
        <w:t>[context]</w:t>
      </w:r>
      <w:r>
        <w:rPr>
          <w:b w:val="0"/>
          <w:i/>
          <w:color w:val="595959"/>
          <w:sz w:val="15"/>
        </w:rPr>
        <w:t xml:space="preserve"> items are general knowledge, not from the filings.</w:t>
      </w:r>
    </w:p>
    <w:p>
      <w:pPr>
        <w:pStyle w:val="Heading2"/>
      </w:pPr>
      <w:r>
        <w:t>5.3 What the moat is not</w:t>
      </w:r>
    </w:p>
    <w:p>
      <w:pPr>
        <w:pStyle w:val="ListBullet"/>
      </w:pPr>
      <w:r>
        <w:rPr>
          <w:b/>
          <w:i w:val="0"/>
        </w:rPr>
        <w:t>Not exclusivity across the board.</w:t>
      </w:r>
      <w:r>
        <w:rPr>
          <w:b w:val="0"/>
          <w:i w:val="0"/>
        </w:rPr>
        <w:t xml:space="preserve"> Management called data rights “a mix” </w:t>
      </w:r>
      <w:r>
        <w:rPr>
          <w:b/>
          <w:color w:val="2E548C"/>
          <w:sz w:val="16"/>
        </w:rPr>
        <w:t>[IR]</w:t>
      </w:r>
      <w:r>
        <w:rPr>
          <w:b w:val="0"/>
          <w:i w:val="0"/>
        </w:rPr>
        <w:t>.</w:t>
      </w:r>
    </w:p>
    <w:p>
      <w:pPr>
        <w:pStyle w:val="ListBullet"/>
      </w:pPr>
      <w:r>
        <w:rPr>
          <w:b/>
          <w:i w:val="0"/>
        </w:rPr>
        <w:t>Not software.</w:t>
      </w:r>
      <w:r>
        <w:rPr>
          <w:b w:val="0"/>
          <w:i w:val="0"/>
        </w:rPr>
        <w:t xml:space="preserve"> Management: “We're not a software company, right?” </w:t>
      </w:r>
      <w:r>
        <w:rPr>
          <w:b/>
          <w:color w:val="2E548C"/>
          <w:sz w:val="16"/>
        </w:rPr>
        <w:t>[IR]</w:t>
      </w:r>
      <w:r>
        <w:rPr>
          <w:b w:val="0"/>
          <w:i w:val="0"/>
        </w:rPr>
        <w:t xml:space="preserve">; MBGL has been “application agnostic for decades” </w:t>
      </w:r>
      <w:r>
        <w:rPr>
          <w:b/>
          <w:color w:val="2E548C"/>
          <w:sz w:val="16"/>
        </w:rPr>
        <w:t>[IR]</w:t>
      </w:r>
      <w:r>
        <w:rPr>
          <w:b w:val="0"/>
          <w:i w:val="0"/>
        </w:rPr>
        <w:t>.</w:t>
      </w:r>
    </w:p>
    <w:p>
      <w:pPr>
        <w:pStyle w:val="ListBullet"/>
      </w:pPr>
      <w:r>
        <w:rPr>
          <w:b/>
          <w:i w:val="0"/>
        </w:rPr>
        <w:t>Not proven by retention data.</w:t>
      </w:r>
      <w:r>
        <w:rPr>
          <w:b w:val="0"/>
          <w:i w:val="0"/>
        </w:rPr>
        <w:t xml:space="preserve"> NRR was pulled from the Investor Day deck and described only as “meaningfully north of 100%” </w:t>
      </w:r>
      <w:r>
        <w:rPr>
          <w:b/>
          <w:color w:val="2E548C"/>
          <w:sz w:val="16"/>
        </w:rPr>
        <w:t>[IR]</w:t>
      </w:r>
      <w:r>
        <w:rPr>
          <w:b w:val="0"/>
          <w:i w:val="0"/>
        </w:rPr>
        <w:t xml:space="preserve">; no churn, ARPU or price per rooftop is disclosed </w:t>
      </w:r>
      <w:r>
        <w:rPr>
          <w:b/>
          <w:color w:val="2E548C"/>
          <w:sz w:val="16"/>
        </w:rPr>
        <w:t>[D]</w:t>
      </w:r>
      <w:r>
        <w:rPr>
          <w:b w:val="0"/>
          <w:i w:val="0"/>
        </w:rPr>
        <w:t xml:space="preserve">. </w:t>
      </w:r>
      <w:r>
        <w:rPr>
          <w:b/>
          <w:color w:val="E36C09"/>
        </w:rPr>
        <w:t>[TO COLLECT #29: gross revenue retention and NRR for CARFAX dealers and B2B enterprise contracts]</w:t>
      </w:r>
      <w:r>
        <w:rPr>
          <w:b w:val="0"/>
          <w:i w:val="0"/>
        </w:rPr>
        <w:t>.</w:t>
      </w:r>
    </w:p>
    <w:p>
      <w:pPr>
        <w:pStyle w:val="ListBullet"/>
      </w:pPr>
      <w:r>
        <w:rPr>
          <w:b/>
          <w:i w:val="0"/>
        </w:rPr>
        <w:t>Not a transaction owner.</w:t>
      </w:r>
      <w:r>
        <w:rPr>
          <w:b w:val="0"/>
          <w:i w:val="0"/>
        </w:rPr>
        <w:t xml:space="preserve"> In listings MBGL is “the newest of the four” with &lt;10% of a &gt;$3bn market after 12 years </w:t>
      </w:r>
      <w:r>
        <w:rPr>
          <w:b/>
          <w:color w:val="2E548C"/>
          <w:sz w:val="16"/>
        </w:rPr>
        <w:t>[IR]</w:t>
      </w:r>
      <w:r>
        <w:rPr>
          <w:b w:val="0"/>
          <w:i w:val="0"/>
        </w:rPr>
        <w:t>/</w:t>
      </w:r>
      <w:r>
        <w:rPr>
          <w:b/>
          <w:color w:val="2E548C"/>
          <w:sz w:val="16"/>
        </w:rPr>
        <w:t>[C]</w:t>
      </w:r>
      <w:r>
        <w:rPr>
          <w:b w:val="0"/>
          <w:i w:val="0"/>
        </w:rPr>
        <w:t>: the brand does not carry automatically into adjacent categories.</w:t>
      </w:r>
    </w:p>
    <w:p>
      <w:pPr>
        <w:pStyle w:val="Heading2"/>
      </w:pPr>
      <w:r>
        <w:t>5.4 Barriers to entry</w:t>
      </w:r>
    </w:p>
    <w:p>
      <w:pPr>
        <w:keepNext/>
        <w:spacing w:before="80" w:after="40"/>
      </w:pPr>
      <w:r>
        <w:rPr>
          <w:b/>
          <w:i w:val="0"/>
          <w:color w:val="1F3864"/>
          <w:sz w:val="17"/>
        </w:rPr>
        <w:t xml:space="preserve">Exhibit 5.4 — Entry-cost stack for a vehicle-history entrant </w:t>
      </w:r>
      <w:r>
        <w:rPr>
          <w:b/>
          <w:color w:val="2E548C"/>
          <w:sz w:val="14"/>
        </w:rPr>
        <w:t>[E]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872"/>
        <w:gridCol w:w="3456"/>
        <w:gridCol w:w="2880"/>
        <w:gridCol w:w="1584"/>
      </w:tblGrid>
      <w:tr>
        <w:trPr>
          <w:cantSplit/>
          <w:tblHeader/>
        </w:trPr>
        <w:tc>
          <w:tcPr>
            <w:tcW w:type="dxa" w:w="1872"/>
            <w:shd w:val="clear" w:color="auto" w:fill="1F3864"/>
          </w:tcPr>
          <w:p>
            <w:pPr>
              <w:spacing w:after="0" w:line="240" w:lineRule="auto"/>
            </w:pPr>
            <w:r>
              <w:rPr>
                <w:b/>
                <w:i w:val="0"/>
                <w:color w:val="FFFFFF"/>
                <w:sz w:val="15"/>
              </w:rPr>
              <w:t>Layer</w:t>
            </w:r>
          </w:p>
        </w:tc>
        <w:tc>
          <w:tcPr>
            <w:tcW w:type="dxa" w:w="3456"/>
            <w:shd w:val="clear" w:color="auto" w:fill="1F3864"/>
          </w:tcPr>
          <w:p>
            <w:pPr>
              <w:spacing w:after="0" w:line="240" w:lineRule="auto"/>
            </w:pPr>
            <w:r>
              <w:rPr>
                <w:b/>
                <w:i w:val="0"/>
                <w:color w:val="FFFFFF"/>
                <w:sz w:val="15"/>
              </w:rPr>
              <w:t>Anchor evidence</w:t>
            </w:r>
          </w:p>
        </w:tc>
        <w:tc>
          <w:tcPr>
            <w:tcW w:type="dxa" w:w="2880"/>
            <w:shd w:val="clear" w:color="auto" w:fill="1F3864"/>
          </w:tcPr>
          <w:p>
            <w:pPr>
              <w:spacing w:after="0" w:line="240" w:lineRule="auto"/>
            </w:pPr>
            <w:r>
              <w:rPr>
                <w:b/>
                <w:i w:val="0"/>
                <w:color w:val="FFFFFF"/>
                <w:sz w:val="15"/>
              </w:rPr>
              <w:t xml:space="preserve">Rough cost / time </w:t>
            </w:r>
            <w:r>
              <w:rPr>
                <w:b/>
                <w:color w:val="FFFFFF"/>
                <w:sz w:val="12"/>
              </w:rPr>
              <w:t>[E]</w:t>
            </w:r>
          </w:p>
        </w:tc>
        <w:tc>
          <w:tcPr>
            <w:tcW w:type="dxa" w:w="1584"/>
            <w:shd w:val="clear" w:color="auto" w:fill="1F3864"/>
          </w:tcPr>
          <w:p>
            <w:pPr>
              <w:spacing w:after="0" w:line="240" w:lineRule="auto"/>
            </w:pPr>
            <w:r>
              <w:rPr>
                <w:b/>
                <w:i w:val="0"/>
                <w:color w:val="FFFFFF"/>
                <w:sz w:val="15"/>
              </w:rPr>
              <w:t>Rising?</w:t>
            </w:r>
          </w:p>
        </w:tc>
      </w:tr>
      <w:tr>
        <w:trPr>
          <w:cantSplit/>
        </w:trPr>
        <w:tc>
          <w:tcPr>
            <w:tcW w:type="dxa" w:w="1872"/>
          </w:tcPr>
          <w:p>
            <w:pPr>
              <w:spacing w:after="0" w:line="240" w:lineRule="auto"/>
            </w:pPr>
            <w:r>
              <w:rPr>
                <w:b w:val="0"/>
                <w:i w:val="0"/>
                <w:sz w:val="15"/>
              </w:rPr>
              <w:t>1. Contribution contracts</w:t>
            </w:r>
          </w:p>
        </w:tc>
        <w:tc>
          <w:tcPr>
            <w:tcW w:type="dxa" w:w="3456"/>
          </w:tcPr>
          <w:p>
            <w:pPr>
              <w:spacing w:after="0" w:line="240" w:lineRule="auto"/>
            </w:pPr>
            <w:r>
              <w:rPr>
                <w:b w:val="0"/>
                <w:i w:val="0"/>
                <w:sz w:val="15"/>
              </w:rPr>
              <w:t xml:space="preserve">177k sources, growing ~6.5%/yr </w:t>
            </w:r>
            <w:r>
              <w:rPr>
                <w:b/>
                <w:color w:val="2E548C"/>
                <w:sz w:val="12"/>
              </w:rPr>
              <w:t>[C]</w:t>
            </w:r>
            <w:r>
              <w:rPr>
                <w:b w:val="0"/>
                <w:i w:val="0"/>
                <w:sz w:val="15"/>
              </w:rPr>
              <w:t xml:space="preserve">. "Slow to replicate" </w:t>
            </w:r>
            <w:r>
              <w:rPr>
                <w:b/>
                <w:color w:val="2E548C"/>
                <w:sz w:val="12"/>
              </w:rPr>
              <w:t>[IR]</w:t>
            </w:r>
            <w:r>
              <w:rPr>
                <w:b w:val="0"/>
                <w:i w:val="0"/>
                <w:sz w:val="15"/>
              </w:rPr>
              <w:t>.</w:t>
            </w:r>
          </w:p>
        </w:tc>
        <w:tc>
          <w:tcPr>
            <w:tcW w:type="dxa" w:w="2880"/>
          </w:tcPr>
          <w:p>
            <w:pPr>
              <w:spacing w:after="0" w:line="240" w:lineRule="auto"/>
            </w:pPr>
            <w:r>
              <w:rPr>
                <w:b w:val="0"/>
                <w:i w:val="0"/>
                <w:sz w:val="15"/>
              </w:rPr>
              <w:t>Years to reach critical mass. The cost is mostly the value-exchange product that must be built first (MBGL uses Car Care traffic for shops).</w:t>
            </w:r>
          </w:p>
        </w:tc>
        <w:tc>
          <w:tcPr>
            <w:tcW w:type="dxa" w:w="1584"/>
          </w:tcPr>
          <w:p>
            <w:pPr>
              <w:spacing w:after="0" w:line="240" w:lineRule="auto"/>
            </w:pPr>
            <w:r>
              <w:rPr>
                <w:b/>
                <w:i w:val="0"/>
                <w:sz w:val="15"/>
              </w:rPr>
              <w:t>Yes.</w:t>
            </w:r>
            <w:r>
              <w:rPr>
                <w:b w:val="0"/>
                <w:i w:val="0"/>
                <w:sz w:val="15"/>
              </w:rPr>
              <w:t xml:space="preserve"> Source count up 77% FY16→FY25 </w:t>
            </w:r>
            <w:r>
              <w:rPr>
                <w:b/>
                <w:color w:val="2E548C"/>
                <w:sz w:val="12"/>
              </w:rPr>
              <w:t>[C]</w:t>
            </w:r>
          </w:p>
        </w:tc>
      </w:tr>
      <w:tr>
        <w:trPr>
          <w:cantSplit/>
        </w:trPr>
        <w:tc>
          <w:tcPr>
            <w:tcW w:type="dxa" w:w="1872"/>
            <w:shd w:val="clear" w:color="auto" w:fill="D9E1F2"/>
          </w:tcPr>
          <w:p>
            <w:pPr>
              <w:spacing w:after="0" w:line="240" w:lineRule="auto"/>
            </w:pPr>
            <w:r>
              <w:rPr>
                <w:b w:val="0"/>
                <w:i w:val="0"/>
                <w:sz w:val="15"/>
              </w:rPr>
              <w:t>2. Historical archive</w:t>
            </w:r>
          </w:p>
        </w:tc>
        <w:tc>
          <w:tcPr>
            <w:tcW w:type="dxa" w:w="3456"/>
            <w:shd w:val="clear" w:color="auto" w:fill="D9E1F2"/>
          </w:tcPr>
          <w:p>
            <w:pPr>
              <w:spacing w:after="0" w:line="240" w:lineRule="auto"/>
            </w:pPr>
            <w:r>
              <w:rPr>
                <w:b w:val="0"/>
                <w:i w:val="0"/>
                <w:sz w:val="15"/>
              </w:rPr>
              <w:t xml:space="preserve">38bn records; "data that's … 15 years old just doesn't exist anymore anywhere else" </w:t>
            </w:r>
            <w:r>
              <w:rPr>
                <w:b/>
                <w:color w:val="2E548C"/>
                <w:sz w:val="12"/>
              </w:rPr>
              <w:t>[IR]</w:t>
            </w:r>
          </w:p>
        </w:tc>
        <w:tc>
          <w:tcPr>
            <w:tcW w:type="dxa" w:w="2880"/>
            <w:shd w:val="clear" w:color="auto" w:fill="D9E1F2"/>
          </w:tcPr>
          <w:p>
            <w:pPr>
              <w:spacing w:after="0" w:line="240" w:lineRule="auto"/>
            </w:pPr>
            <w:r>
              <w:rPr>
                <w:b/>
                <w:i w:val="0"/>
                <w:sz w:val="15"/>
              </w:rPr>
              <w:t>Cannot be bought.</w:t>
            </w:r>
            <w:r>
              <w:rPr>
                <w:b w:val="0"/>
                <w:i w:val="0"/>
                <w:sz w:val="15"/>
              </w:rPr>
              <w:t xml:space="preserve"> Only partially licensable from title and auction sources.</w:t>
            </w:r>
          </w:p>
        </w:tc>
        <w:tc>
          <w:tcPr>
            <w:tcW w:type="dxa" w:w="1584"/>
            <w:shd w:val="clear" w:color="auto" w:fill="D9E1F2"/>
          </w:tcPr>
          <w:p>
            <w:pPr>
              <w:spacing w:after="0" w:line="240" w:lineRule="auto"/>
            </w:pPr>
            <w:r>
              <w:rPr>
                <w:b/>
                <w:i w:val="0"/>
                <w:sz w:val="15"/>
              </w:rPr>
              <w:t>Yes, by definition</w:t>
            </w:r>
          </w:p>
        </w:tc>
      </w:tr>
      <w:tr>
        <w:trPr>
          <w:cantSplit/>
        </w:trPr>
        <w:tc>
          <w:tcPr>
            <w:tcW w:type="dxa" w:w="1872"/>
          </w:tcPr>
          <w:p>
            <w:pPr>
              <w:spacing w:after="0" w:line="240" w:lineRule="auto"/>
            </w:pPr>
            <w:r>
              <w:rPr>
                <w:b w:val="0"/>
                <w:i w:val="0"/>
                <w:sz w:val="15"/>
              </w:rPr>
              <w:t>3. Public / DMV data</w:t>
            </w:r>
          </w:p>
        </w:tc>
        <w:tc>
          <w:tcPr>
            <w:tcW w:type="dxa" w:w="3456"/>
          </w:tcPr>
          <w:p>
            <w:pPr>
              <w:spacing w:after="0" w:line="240" w:lineRule="auto"/>
            </w:pPr>
            <w:r>
              <w:rPr>
                <w:b w:val="0"/>
                <w:i w:val="0"/>
                <w:sz w:val="15"/>
              </w:rPr>
              <w:t>DMV cost is "significant relative to potential monetization" [10A : 381–382]. DPPA liquidated damages of $2,500 per individual [10A : 312–314, 383–384].</w:t>
            </w:r>
          </w:p>
        </w:tc>
        <w:tc>
          <w:tcPr>
            <w:tcW w:type="dxa" w:w="2880"/>
          </w:tcPr>
          <w:p>
            <w:pPr>
              <w:spacing w:after="0" w:line="240" w:lineRule="auto"/>
            </w:pPr>
            <w:r>
              <w:rPr>
                <w:b w:val="0"/>
                <w:i w:val="0"/>
                <w:sz w:val="15"/>
              </w:rPr>
              <w:t>Material fixed cost, before any revenue</w:t>
            </w:r>
          </w:p>
        </w:tc>
        <w:tc>
          <w:tcPr>
            <w:tcW w:type="dxa" w:w="1584"/>
          </w:tcPr>
          <w:p>
            <w:pPr>
              <w:spacing w:after="0" w:line="240" w:lineRule="auto"/>
            </w:pPr>
            <w:r>
              <w:rPr>
                <w:b w:val="0"/>
                <w:i w:val="0"/>
                <w:sz w:val="15"/>
              </w:rPr>
              <w:t>Likely yes. Data fees are rising: "have increased and may continue to increase" [10A : 302]</w:t>
            </w:r>
          </w:p>
        </w:tc>
      </w:tr>
      <w:tr>
        <w:trPr>
          <w:cantSplit/>
        </w:trPr>
        <w:tc>
          <w:tcPr>
            <w:tcW w:type="dxa" w:w="1872"/>
            <w:shd w:val="clear" w:color="auto" w:fill="D9E1F2"/>
          </w:tcPr>
          <w:p>
            <w:pPr>
              <w:spacing w:after="0" w:line="240" w:lineRule="auto"/>
            </w:pPr>
            <w:r>
              <w:rPr>
                <w:b w:val="0"/>
                <w:i w:val="0"/>
                <w:sz w:val="15"/>
              </w:rPr>
              <w:t>4. Brand</w:t>
            </w:r>
          </w:p>
        </w:tc>
        <w:tc>
          <w:tcPr>
            <w:tcW w:type="dxa" w:w="3456"/>
            <w:shd w:val="clear" w:color="auto" w:fill="D9E1F2"/>
          </w:tcPr>
          <w:p>
            <w:pPr>
              <w:spacing w:after="0" w:line="240" w:lineRule="auto"/>
            </w:pPr>
            <w:r>
              <w:rPr>
                <w:b w:val="0"/>
                <w:i w:val="0"/>
                <w:sz w:val="15"/>
              </w:rPr>
              <w:t xml:space="preserve">$1.5bn of media since 2000. Ad expense $134m → $176m (FY23→25) </w:t>
            </w:r>
            <w:r>
              <w:rPr>
                <w:b/>
                <w:color w:val="2E548C"/>
                <w:sz w:val="12"/>
              </w:rPr>
              <w:t>[D]</w:t>
            </w:r>
            <w:r>
              <w:rPr>
                <w:b w:val="0"/>
                <w:i w:val="0"/>
                <w:sz w:val="15"/>
              </w:rPr>
              <w:t>.</w:t>
            </w:r>
          </w:p>
        </w:tc>
        <w:tc>
          <w:tcPr>
            <w:tcW w:type="dxa" w:w="2880"/>
            <w:shd w:val="clear" w:color="auto" w:fill="D9E1F2"/>
          </w:tcPr>
          <w:p>
            <w:pPr>
              <w:spacing w:after="0" w:line="240" w:lineRule="auto"/>
            </w:pPr>
            <w:r>
              <w:rPr>
                <w:b/>
                <w:color w:val="2E548C"/>
                <w:sz w:val="12"/>
              </w:rPr>
              <w:t>[E]</w:t>
            </w:r>
            <w:r>
              <w:rPr>
                <w:b w:val="0"/>
                <w:i w:val="0"/>
                <w:sz w:val="15"/>
              </w:rPr>
              <w:t xml:space="preserve"> ≥$1bn and ≥10 years to approach parity. The incumbent's run-rate spend alone is ~$176m/yr.</w:t>
            </w:r>
          </w:p>
        </w:tc>
        <w:tc>
          <w:tcPr>
            <w:tcW w:type="dxa" w:w="1584"/>
            <w:shd w:val="clear" w:color="auto" w:fill="D9E1F2"/>
          </w:tcPr>
          <w:p>
            <w:pPr>
              <w:spacing w:after="0" w:line="240" w:lineRule="auto"/>
            </w:pPr>
            <w:r>
              <w:rPr>
                <w:b/>
                <w:i w:val="0"/>
                <w:sz w:val="15"/>
              </w:rPr>
              <w:t>Yes.</w:t>
            </w:r>
            <w:r>
              <w:rPr>
                <w:b w:val="0"/>
                <w:i w:val="0"/>
                <w:sz w:val="15"/>
              </w:rPr>
              <w:t xml:space="preserve"> CAC is rising as platforms "dial up their monetization" [10A : 343]</w:t>
            </w:r>
          </w:p>
        </w:tc>
      </w:tr>
      <w:tr>
        <w:trPr>
          <w:cantSplit/>
        </w:trPr>
        <w:tc>
          <w:tcPr>
            <w:tcW w:type="dxa" w:w="1872"/>
          </w:tcPr>
          <w:p>
            <w:pPr>
              <w:spacing w:after="0" w:line="240" w:lineRule="auto"/>
            </w:pPr>
            <w:r>
              <w:rPr>
                <w:b w:val="0"/>
                <w:i w:val="0"/>
                <w:sz w:val="15"/>
              </w:rPr>
              <w:t>5. OEM CPO mandates</w:t>
            </w:r>
          </w:p>
        </w:tc>
        <w:tc>
          <w:tcPr>
            <w:tcW w:type="dxa" w:w="3456"/>
          </w:tcPr>
          <w:p>
            <w:pPr>
              <w:spacing w:after="0" w:line="240" w:lineRule="auto"/>
            </w:pPr>
            <w:r>
              <w:rPr>
                <w:b w:val="0"/>
                <w:i w:val="0"/>
                <w:sz w:val="15"/>
              </w:rPr>
              <w:t xml:space="preserve">36 programs mandate CARFAX </w:t>
            </w:r>
            <w:r>
              <w:rPr>
                <w:b/>
                <w:color w:val="2E548C"/>
                <w:sz w:val="12"/>
              </w:rPr>
              <w:t>[IR]</w:t>
            </w:r>
          </w:p>
        </w:tc>
        <w:tc>
          <w:tcPr>
            <w:tcW w:type="dxa" w:w="2880"/>
          </w:tcPr>
          <w:p>
            <w:pPr>
              <w:spacing w:after="0" w:line="240" w:lineRule="auto"/>
            </w:pPr>
            <w:r>
              <w:rPr>
                <w:b w:val="0"/>
                <w:i w:val="0"/>
                <w:sz w:val="15"/>
              </w:rPr>
              <w:t>Relationship- and time-bound</w:t>
            </w:r>
          </w:p>
        </w:tc>
        <w:tc>
          <w:tcPr>
            <w:tcW w:type="dxa" w:w="1584"/>
          </w:tcPr>
          <w:p>
            <w:pPr>
              <w:spacing w:after="0" w:line="240" w:lineRule="auto"/>
            </w:pPr>
            <w:r>
              <w:rPr>
                <w:b w:val="0"/>
                <w:i w:val="0"/>
                <w:sz w:val="15"/>
              </w:rPr>
              <w:t>Stable</w:t>
            </w:r>
          </w:p>
        </w:tc>
      </w:tr>
      <w:tr>
        <w:trPr>
          <w:cantSplit/>
        </w:trPr>
        <w:tc>
          <w:tcPr>
            <w:tcW w:type="dxa" w:w="1872"/>
            <w:shd w:val="clear" w:color="auto" w:fill="D9E1F2"/>
          </w:tcPr>
          <w:p>
            <w:pPr>
              <w:spacing w:after="0" w:line="240" w:lineRule="auto"/>
            </w:pPr>
            <w:r>
              <w:rPr>
                <w:b w:val="0"/>
                <w:i w:val="0"/>
                <w:sz w:val="15"/>
              </w:rPr>
              <w:t>6. Workflow integrations</w:t>
            </w:r>
          </w:p>
        </w:tc>
        <w:tc>
          <w:tcPr>
            <w:tcW w:type="dxa" w:w="3456"/>
            <w:shd w:val="clear" w:color="auto" w:fill="D9E1F2"/>
          </w:tcPr>
          <w:p>
            <w:pPr>
              <w:spacing w:after="0" w:line="240" w:lineRule="auto"/>
            </w:pPr>
            <w:r>
              <w:rPr>
                <w:b w:val="0"/>
                <w:i w:val="0"/>
                <w:sz w:val="15"/>
              </w:rPr>
              <w:t>95 dealer and 36 CPO integrations [PRES s.66]</w:t>
            </w:r>
          </w:p>
        </w:tc>
        <w:tc>
          <w:tcPr>
            <w:tcW w:type="dxa" w:w="2880"/>
            <w:shd w:val="clear" w:color="auto" w:fill="D9E1F2"/>
          </w:tcPr>
          <w:p>
            <w:pPr>
              <w:spacing w:after="0" w:line="240" w:lineRule="auto"/>
            </w:pPr>
            <w:r>
              <w:rPr>
                <w:b w:val="0"/>
                <w:i w:val="0"/>
                <w:sz w:val="15"/>
              </w:rPr>
              <w:t>Moderate, but DMS gatekeepers can block access [10A : 304]</w:t>
            </w:r>
          </w:p>
        </w:tc>
        <w:tc>
          <w:tcPr>
            <w:tcW w:type="dxa" w:w="1584"/>
            <w:shd w:val="clear" w:color="auto" w:fill="D9E1F2"/>
          </w:tcPr>
          <w:p>
            <w:pPr>
              <w:spacing w:after="0" w:line="240" w:lineRule="auto"/>
            </w:pPr>
            <w:r>
              <w:rPr>
                <w:b w:val="0"/>
                <w:i w:val="0"/>
                <w:sz w:val="15"/>
              </w:rPr>
              <w:t>Mixed</w:t>
            </w:r>
          </w:p>
        </w:tc>
      </w:tr>
      <w:tr>
        <w:trPr>
          <w:cantSplit/>
        </w:trPr>
        <w:tc>
          <w:tcPr>
            <w:tcW w:type="dxa" w:w="1872"/>
          </w:tcPr>
          <w:p>
            <w:pPr>
              <w:spacing w:after="0" w:line="240" w:lineRule="auto"/>
            </w:pPr>
            <w:r>
              <w:rPr>
                <w:b w:val="0"/>
                <w:i w:val="0"/>
                <w:sz w:val="15"/>
              </w:rPr>
              <w:t>7. Data science / AI</w:t>
            </w:r>
          </w:p>
        </w:tc>
        <w:tc>
          <w:tcPr>
            <w:tcW w:type="dxa" w:w="3456"/>
          </w:tcPr>
          <w:p>
            <w:pPr>
              <w:spacing w:after="0" w:line="240" w:lineRule="auto"/>
            </w:pPr>
            <w:r>
              <w:rPr>
                <w:b w:val="0"/>
                <w:i w:val="0"/>
                <w:sz w:val="15"/>
              </w:rPr>
              <w:t xml:space="preserve">100+ data scientists; 99.5% decoding accuracy </w:t>
            </w:r>
            <w:r>
              <w:rPr>
                <w:b/>
                <w:color w:val="2E548C"/>
                <w:sz w:val="12"/>
              </w:rPr>
              <w:t>[IR]</w:t>
            </w:r>
          </w:p>
        </w:tc>
        <w:tc>
          <w:tcPr>
            <w:tcW w:type="dxa" w:w="2880"/>
          </w:tcPr>
          <w:p>
            <w:pPr>
              <w:spacing w:after="0" w:line="240" w:lineRule="auto"/>
            </w:pPr>
            <w:r>
              <w:rPr>
                <w:b/>
                <w:i w:val="0"/>
                <w:sz w:val="15"/>
              </w:rPr>
              <w:t>Falling.</w:t>
            </w:r>
            <w:r>
              <w:rPr>
                <w:b w:val="0"/>
                <w:i w:val="0"/>
                <w:sz w:val="15"/>
              </w:rPr>
              <w:t xml:space="preserve"> Off-the-shelf AI lowers this layer for everyone [10A : 297].</w:t>
            </w:r>
          </w:p>
        </w:tc>
        <w:tc>
          <w:tcPr>
            <w:tcW w:type="dxa" w:w="1584"/>
          </w:tcPr>
          <w:p>
            <w:pPr>
              <w:spacing w:after="0" w:line="240" w:lineRule="auto"/>
            </w:pPr>
            <w:r>
              <w:rPr>
                <w:b/>
                <w:i w:val="0"/>
                <w:sz w:val="15"/>
              </w:rPr>
              <w:t>No, falling</w:t>
            </w:r>
          </w:p>
        </w:tc>
      </w:tr>
    </w:tbl>
    <w:p>
      <w:pPr>
        <w:spacing w:after="120"/>
      </w:pPr>
      <w:r>
        <w:rPr>
          <w:b w:val="0"/>
          <w:i/>
          <w:color w:val="595959"/>
          <w:sz w:val="15"/>
        </w:rPr>
        <w:t>Source: analysis/D6_value_prop.md §3.1. Order-of-magnitude judgements built from MBGL's disclosed spend and counts. Net: barriers to obtaining data have risen; barriers to processing it (AI) have fallen.</w:t>
      </w:r>
    </w:p>
    <w:p>
      <w:pPr>
        <w:pStyle w:val="Heading2"/>
      </w:pPr>
      <w:r>
        <w:t>5.5 Strategic boundaries: what MBGL does not do</w:t>
      </w:r>
    </w:p>
    <w:p>
      <w:pPr>
        <w:keepNext/>
        <w:spacing w:before="80" w:after="40"/>
      </w:pPr>
      <w:r>
        <w:rPr>
          <w:b/>
          <w:i w:val="0"/>
          <w:color w:val="1F3864"/>
          <w:sz w:val="17"/>
        </w:rPr>
        <w:t>Exhibit 5.5 — Activities MBGL explicitly avoids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880"/>
        <w:gridCol w:w="5760"/>
        <w:gridCol w:w="1152"/>
      </w:tblGrid>
      <w:tr>
        <w:trPr>
          <w:cantSplit/>
          <w:tblHeader/>
        </w:trPr>
        <w:tc>
          <w:tcPr>
            <w:tcW w:type="dxa" w:w="2880"/>
            <w:shd w:val="clear" w:color="auto" w:fill="1F3864"/>
          </w:tcPr>
          <w:p>
            <w:pPr>
              <w:spacing w:after="0" w:line="240" w:lineRule="auto"/>
            </w:pPr>
            <w:r>
              <w:rPr>
                <w:b/>
                <w:i w:val="0"/>
                <w:color w:val="FFFFFF"/>
                <w:sz w:val="15"/>
              </w:rPr>
              <w:t>Product / activity</w:t>
            </w:r>
          </w:p>
        </w:tc>
        <w:tc>
          <w:tcPr>
            <w:tcW w:type="dxa" w:w="5760"/>
            <w:shd w:val="clear" w:color="auto" w:fill="1F3864"/>
          </w:tcPr>
          <w:p>
            <w:pPr>
              <w:spacing w:after="0" w:line="240" w:lineRule="auto"/>
            </w:pPr>
            <w:r>
              <w:rPr>
                <w:b/>
                <w:i w:val="0"/>
                <w:color w:val="FFFFFF"/>
                <w:sz w:val="15"/>
              </w:rPr>
              <w:t>Commentary</w:t>
            </w:r>
          </w:p>
        </w:tc>
        <w:tc>
          <w:tcPr>
            <w:tcW w:type="dxa" w:w="1152"/>
            <w:shd w:val="clear" w:color="auto" w:fill="1F3864"/>
          </w:tcPr>
          <w:p>
            <w:pPr>
              <w:spacing w:after="0" w:line="240" w:lineRule="auto"/>
            </w:pPr>
            <w:r>
              <w:rPr>
                <w:b/>
                <w:i w:val="0"/>
                <w:color w:val="FFFFFF"/>
                <w:sz w:val="15"/>
              </w:rPr>
              <w:t>Tier</w:t>
            </w:r>
          </w:p>
        </w:tc>
      </w:tr>
      <w:tr>
        <w:trPr>
          <w:cantSplit/>
        </w:trPr>
        <w:tc>
          <w:tcPr>
            <w:tcW w:type="dxa" w:w="2880"/>
          </w:tcPr>
          <w:p>
            <w:pPr>
              <w:spacing w:after="0" w:line="240" w:lineRule="auto"/>
            </w:pPr>
            <w:r>
              <w:rPr>
                <w:b/>
                <w:i w:val="0"/>
                <w:sz w:val="15"/>
              </w:rPr>
              <w:t>Owning the end application / software layer</w:t>
            </w:r>
          </w:p>
        </w:tc>
        <w:tc>
          <w:tcPr>
            <w:tcW w:type="dxa" w:w="5760"/>
          </w:tcPr>
          <w:p>
            <w:pPr>
              <w:spacing w:after="0" w:line="240" w:lineRule="auto"/>
            </w:pPr>
            <w:r>
              <w:rPr>
                <w:b w:val="0"/>
                <w:i w:val="0"/>
                <w:sz w:val="15"/>
              </w:rPr>
              <w:t>Keeps MBGL neutral and maximises integrations. It also gives up software-style pricing and sits behind DMS gatekeepers.</w:t>
            </w:r>
          </w:p>
        </w:tc>
        <w:tc>
          <w:tcPr>
            <w:tcW w:type="dxa" w:w="1152"/>
          </w:tcPr>
          <w:p>
            <w:pPr>
              <w:spacing w:after="0" w:line="240" w:lineRule="auto"/>
            </w:pPr>
            <w:r>
              <w:rPr>
                <w:b/>
                <w:color w:val="2E548C"/>
                <w:sz w:val="12"/>
              </w:rPr>
              <w:t>[IR]</w:t>
            </w:r>
          </w:p>
        </w:tc>
      </w:tr>
      <w:tr>
        <w:trPr>
          <w:cantSplit/>
        </w:trPr>
        <w:tc>
          <w:tcPr>
            <w:tcW w:type="dxa" w:w="2880"/>
            <w:shd w:val="clear" w:color="auto" w:fill="D9E1F2"/>
          </w:tcPr>
          <w:p>
            <w:pPr>
              <w:spacing w:after="0" w:line="240" w:lineRule="auto"/>
            </w:pPr>
            <w:r>
              <w:rPr>
                <w:b/>
                <w:i w:val="0"/>
                <w:sz w:val="15"/>
              </w:rPr>
              <w:t>Scraped, public or synthetic data as the core</w:t>
            </w:r>
          </w:p>
        </w:tc>
        <w:tc>
          <w:tcPr>
            <w:tcW w:type="dxa" w:w="5760"/>
            <w:shd w:val="clear" w:color="auto" w:fill="D9E1F2"/>
          </w:tcPr>
          <w:p>
            <w:pPr>
              <w:spacing w:after="0" w:line="240" w:lineRule="auto"/>
            </w:pPr>
            <w:r>
              <w:rPr>
                <w:b w:val="0"/>
                <w:i w:val="0"/>
                <w:sz w:val="15"/>
              </w:rPr>
              <w:t>This is the moat claim. It is partly qualified by the 10/A's own reliance on public DMV data [10A : 381].</w:t>
            </w:r>
          </w:p>
        </w:tc>
        <w:tc>
          <w:tcPr>
            <w:tcW w:type="dxa" w:w="1152"/>
            <w:shd w:val="clear" w:color="auto" w:fill="D9E1F2"/>
          </w:tcPr>
          <w:p>
            <w:pPr>
              <w:spacing w:after="0" w:line="240" w:lineRule="auto"/>
            </w:pPr>
            <w:r>
              <w:rPr>
                <w:b/>
                <w:color w:val="2E548C"/>
                <w:sz w:val="12"/>
              </w:rPr>
              <w:t>[IR]</w:t>
            </w:r>
          </w:p>
        </w:tc>
      </w:tr>
      <w:tr>
        <w:trPr>
          <w:cantSplit/>
        </w:trPr>
        <w:tc>
          <w:tcPr>
            <w:tcW w:type="dxa" w:w="2880"/>
          </w:tcPr>
          <w:p>
            <w:pPr>
              <w:spacing w:after="0" w:line="240" w:lineRule="auto"/>
            </w:pPr>
            <w:r>
              <w:rPr>
                <w:b/>
                <w:i w:val="0"/>
                <w:sz w:val="15"/>
              </w:rPr>
              <w:t>Charging most consumers directly for reports</w:t>
            </w:r>
          </w:p>
        </w:tc>
        <w:tc>
          <w:tcPr>
            <w:tcW w:type="dxa" w:w="5760"/>
          </w:tcPr>
          <w:p>
            <w:pPr>
              <w:spacing w:after="0" w:line="240" w:lineRule="auto"/>
            </w:pPr>
            <w:r>
              <w:rPr>
                <w:b w:val="0"/>
                <w:i w:val="0"/>
                <w:sz w:val="15"/>
              </w:rPr>
              <w:t>The B2B2C model: the consumer is the demand engine, the dealer is the payer</w:t>
            </w:r>
          </w:p>
        </w:tc>
        <w:tc>
          <w:tcPr>
            <w:tcW w:type="dxa" w:w="1152"/>
          </w:tcPr>
          <w:p>
            <w:pPr>
              <w:spacing w:after="0" w:line="240" w:lineRule="auto"/>
            </w:pPr>
            <w:r>
              <w:rPr>
                <w:b/>
                <w:color w:val="2E548C"/>
                <w:sz w:val="12"/>
              </w:rPr>
              <w:t>[IR]</w:t>
            </w:r>
            <w:r>
              <w:rPr>
                <w:b w:val="0"/>
                <w:i w:val="0"/>
                <w:sz w:val="15"/>
              </w:rPr>
              <w:t xml:space="preserve"> / </w:t>
            </w:r>
            <w:r>
              <w:rPr>
                <w:b/>
                <w:color w:val="2E548C"/>
                <w:sz w:val="12"/>
              </w:rPr>
              <w:t>[D]</w:t>
            </w:r>
          </w:p>
        </w:tc>
      </w:tr>
      <w:tr>
        <w:trPr>
          <w:cantSplit/>
        </w:trPr>
        <w:tc>
          <w:tcPr>
            <w:tcW w:type="dxa" w:w="2880"/>
            <w:shd w:val="clear" w:color="auto" w:fill="D9E1F2"/>
          </w:tcPr>
          <w:p>
            <w:pPr>
              <w:spacing w:after="0" w:line="240" w:lineRule="auto"/>
            </w:pPr>
            <w:r>
              <w:rPr>
                <w:b/>
                <w:i w:val="0"/>
                <w:sz w:val="15"/>
              </w:rPr>
              <w:t>Fixed price escalators</w:t>
            </w:r>
          </w:p>
        </w:tc>
        <w:tc>
          <w:tcPr>
            <w:tcW w:type="dxa" w:w="5760"/>
            <w:shd w:val="clear" w:color="auto" w:fill="D9E1F2"/>
          </w:tcPr>
          <w:p>
            <w:pPr>
              <w:spacing w:after="0" w:line="240" w:lineRule="auto"/>
            </w:pPr>
            <w:r>
              <w:rPr>
                <w:b w:val="0"/>
                <w:i w:val="0"/>
                <w:sz w:val="15"/>
              </w:rPr>
              <w:t>Price is tied to added value (Homegrown and SMS offers are folded into base subscriptions "to accrue benefit … in subsequent years" [GS : Calderone]). It is less mechanical than a contract escalator.</w:t>
            </w:r>
          </w:p>
        </w:tc>
        <w:tc>
          <w:tcPr>
            <w:tcW w:type="dxa" w:w="1152"/>
            <w:shd w:val="clear" w:color="auto" w:fill="D9E1F2"/>
          </w:tcPr>
          <w:p>
            <w:pPr>
              <w:spacing w:after="0" w:line="240" w:lineRule="auto"/>
            </w:pPr>
            <w:r>
              <w:rPr>
                <w:b/>
                <w:color w:val="2E548C"/>
                <w:sz w:val="12"/>
              </w:rPr>
              <w:t>[IR]</w:t>
            </w:r>
          </w:p>
        </w:tc>
      </w:tr>
      <w:tr>
        <w:trPr>
          <w:cantSplit/>
        </w:trPr>
        <w:tc>
          <w:tcPr>
            <w:tcW w:type="dxa" w:w="2880"/>
          </w:tcPr>
          <w:p>
            <w:pPr>
              <w:spacing w:after="0" w:line="240" w:lineRule="auto"/>
            </w:pPr>
            <w:r>
              <w:rPr>
                <w:b/>
                <w:i w:val="0"/>
                <w:sz w:val="15"/>
              </w:rPr>
              <w:t>Bundle-only selling (Lifetime program)</w:t>
            </w:r>
          </w:p>
        </w:tc>
        <w:tc>
          <w:tcPr>
            <w:tcW w:type="dxa" w:w="5760"/>
          </w:tcPr>
          <w:p>
            <w:pPr>
              <w:spacing w:after="0" w:line="240" w:lineRule="auto"/>
            </w:pPr>
            <w:r>
              <w:rPr>
                <w:b w:val="0"/>
                <w:i w:val="0"/>
                <w:sz w:val="15"/>
              </w:rPr>
              <w:t>A failed packaging model: see §3</w:t>
            </w:r>
          </w:p>
        </w:tc>
        <w:tc>
          <w:tcPr>
            <w:tcW w:type="dxa" w:w="1152"/>
          </w:tcPr>
          <w:p>
            <w:pPr>
              <w:spacing w:after="0" w:line="240" w:lineRule="auto"/>
            </w:pPr>
            <w:r>
              <w:rPr>
                <w:b/>
                <w:color w:val="2E548C"/>
                <w:sz w:val="12"/>
              </w:rPr>
              <w:t>[IR]</w:t>
            </w:r>
          </w:p>
        </w:tc>
      </w:tr>
      <w:tr>
        <w:trPr>
          <w:cantSplit/>
        </w:trPr>
        <w:tc>
          <w:tcPr>
            <w:tcW w:type="dxa" w:w="2880"/>
            <w:shd w:val="clear" w:color="auto" w:fill="D9E1F2"/>
          </w:tcPr>
          <w:p>
            <w:pPr>
              <w:spacing w:after="0" w:line="240" w:lineRule="auto"/>
            </w:pPr>
            <w:r>
              <w:rPr>
                <w:b/>
                <w:i w:val="0"/>
                <w:sz w:val="15"/>
              </w:rPr>
              <w:t>Ad-cluttered listings / monetising at the expense of the consumer experience</w:t>
            </w:r>
          </w:p>
        </w:tc>
        <w:tc>
          <w:tcPr>
            <w:tcW w:type="dxa" w:w="5760"/>
            <w:shd w:val="clear" w:color="auto" w:fill="D9E1F2"/>
          </w:tcPr>
          <w:p>
            <w:pPr>
              <w:spacing w:after="0" w:line="240" w:lineRule="auto"/>
            </w:pPr>
            <w:r>
              <w:rPr>
                <w:b w:val="0"/>
                <w:i w:val="0"/>
                <w:sz w:val="15"/>
              </w:rPr>
              <w:t>Protects the trust asset, but caps listings yield in the near term</w:t>
            </w:r>
          </w:p>
        </w:tc>
        <w:tc>
          <w:tcPr>
            <w:tcW w:type="dxa" w:w="1152"/>
            <w:shd w:val="clear" w:color="auto" w:fill="D9E1F2"/>
          </w:tcPr>
          <w:p>
            <w:pPr>
              <w:spacing w:after="0" w:line="240" w:lineRule="auto"/>
            </w:pPr>
            <w:r>
              <w:rPr>
                <w:b/>
                <w:color w:val="2E548C"/>
                <w:sz w:val="12"/>
              </w:rPr>
              <w:t>[IR]</w:t>
            </w:r>
          </w:p>
        </w:tc>
      </w:tr>
      <w:tr>
        <w:trPr>
          <w:cantSplit/>
        </w:trPr>
        <w:tc>
          <w:tcPr>
            <w:tcW w:type="dxa" w:w="2880"/>
          </w:tcPr>
          <w:p>
            <w:pPr>
              <w:spacing w:after="0" w:line="240" w:lineRule="auto"/>
            </w:pPr>
            <w:r>
              <w:rPr>
                <w:b/>
                <w:i w:val="0"/>
                <w:sz w:val="15"/>
              </w:rPr>
              <w:t>Aftersales business (Catalyst for Aftersales)</w:t>
            </w:r>
          </w:p>
        </w:tc>
        <w:tc>
          <w:tcPr>
            <w:tcW w:type="dxa" w:w="5760"/>
          </w:tcPr>
          <w:p>
            <w:pPr>
              <w:spacing w:after="0" w:line="240" w:lineRule="auto"/>
            </w:pPr>
            <w:r>
              <w:rPr>
                <w:b w:val="0"/>
                <w:i w:val="0"/>
                <w:sz w:val="15"/>
              </w:rPr>
              <w:t>Exited a non-core adjacency</w:t>
            </w:r>
          </w:p>
        </w:tc>
        <w:tc>
          <w:tcPr>
            <w:tcW w:type="dxa" w:w="1152"/>
          </w:tcPr>
          <w:p>
            <w:pPr>
              <w:spacing w:after="0" w:line="240" w:lineRule="auto"/>
            </w:pPr>
            <w:r>
              <w:rPr>
                <w:b/>
                <w:color w:val="2E548C"/>
                <w:sz w:val="12"/>
              </w:rPr>
              <w:t>[D]</w:t>
            </w:r>
          </w:p>
        </w:tc>
      </w:tr>
      <w:tr>
        <w:trPr>
          <w:cantSplit/>
        </w:trPr>
        <w:tc>
          <w:tcPr>
            <w:tcW w:type="dxa" w:w="2880"/>
            <w:shd w:val="clear" w:color="auto" w:fill="D9E1F2"/>
          </w:tcPr>
          <w:p>
            <w:pPr>
              <w:spacing w:after="0" w:line="240" w:lineRule="auto"/>
            </w:pPr>
            <w:r>
              <w:rPr>
                <w:b/>
                <w:i w:val="0"/>
                <w:sz w:val="15"/>
              </w:rPr>
              <w:t>Material M&amp;A, near term</w:t>
            </w:r>
          </w:p>
        </w:tc>
        <w:tc>
          <w:tcPr>
            <w:tcW w:type="dxa" w:w="5760"/>
            <w:shd w:val="clear" w:color="auto" w:fill="D9E1F2"/>
          </w:tcPr>
          <w:p>
            <w:pPr>
              <w:spacing w:after="0" w:line="240" w:lineRule="auto"/>
            </w:pPr>
            <w:r>
              <w:rPr>
                <w:b w:val="0"/>
                <w:i w:val="0"/>
                <w:sz w:val="15"/>
              </w:rPr>
              <w:t>Capital goes to dividends and buybacks (≥75% of FCF)</w:t>
            </w:r>
          </w:p>
        </w:tc>
        <w:tc>
          <w:tcPr>
            <w:tcW w:type="dxa" w:w="1152"/>
            <w:shd w:val="clear" w:color="auto" w:fill="D9E1F2"/>
          </w:tcPr>
          <w:p>
            <w:pPr>
              <w:spacing w:after="0" w:line="240" w:lineRule="auto"/>
            </w:pPr>
            <w:r>
              <w:rPr>
                <w:b/>
                <w:color w:val="2E548C"/>
                <w:sz w:val="12"/>
              </w:rPr>
              <w:t>[IR]</w:t>
            </w:r>
          </w:p>
        </w:tc>
      </w:tr>
      <w:tr>
        <w:trPr>
          <w:cantSplit/>
        </w:trPr>
        <w:tc>
          <w:tcPr>
            <w:tcW w:type="dxa" w:w="2880"/>
          </w:tcPr>
          <w:p>
            <w:pPr>
              <w:spacing w:after="0" w:line="240" w:lineRule="auto"/>
            </w:pPr>
            <w:r>
              <w:rPr>
                <w:b/>
                <w:i w:val="0"/>
                <w:sz w:val="15"/>
              </w:rPr>
              <w:t>Buybacks before 2027</w:t>
            </w:r>
          </w:p>
        </w:tc>
        <w:tc>
          <w:tcPr>
            <w:tcW w:type="dxa" w:w="5760"/>
          </w:tcPr>
          <w:p>
            <w:pPr>
              <w:spacing w:after="0" w:line="240" w:lineRule="auto"/>
            </w:pPr>
            <w:r>
              <w:rPr>
                <w:b w:val="0"/>
                <w:i w:val="0"/>
                <w:sz w:val="15"/>
              </w:rPr>
              <w:t>—</w:t>
            </w:r>
          </w:p>
        </w:tc>
        <w:tc>
          <w:tcPr>
            <w:tcW w:type="dxa" w:w="1152"/>
          </w:tcPr>
          <w:p>
            <w:pPr>
              <w:spacing w:after="0" w:line="240" w:lineRule="auto"/>
            </w:pPr>
            <w:r>
              <w:rPr>
                <w:b/>
                <w:color w:val="2E548C"/>
                <w:sz w:val="12"/>
              </w:rPr>
              <w:t>[IR]</w:t>
            </w:r>
          </w:p>
        </w:tc>
      </w:tr>
      <w:tr>
        <w:trPr>
          <w:cantSplit/>
        </w:trPr>
        <w:tc>
          <w:tcPr>
            <w:tcW w:type="dxa" w:w="2880"/>
            <w:shd w:val="clear" w:color="auto" w:fill="D9E1F2"/>
          </w:tcPr>
          <w:p>
            <w:pPr>
              <w:spacing w:after="0" w:line="240" w:lineRule="auto"/>
            </w:pPr>
            <w:r>
              <w:rPr>
                <w:b/>
                <w:i w:val="0"/>
                <w:sz w:val="15"/>
              </w:rPr>
              <w:t>Contracts that lock customers in beyond the initial term</w:t>
            </w:r>
          </w:p>
        </w:tc>
        <w:tc>
          <w:tcPr>
            <w:tcW w:type="dxa" w:w="5760"/>
            <w:shd w:val="clear" w:color="auto" w:fill="D9E1F2"/>
          </w:tcPr>
          <w:p>
            <w:pPr>
              <w:spacing w:after="0" w:line="240" w:lineRule="auto"/>
            </w:pPr>
            <w:r>
              <w:rPr>
                <w:b w:val="0"/>
                <w:i w:val="0"/>
                <w:sz w:val="15"/>
              </w:rPr>
              <w:t xml:space="preserve">Renewal risk is structural. RPO was only $78m at FY25 and $102m at 6/30/26 </w:t>
            </w:r>
            <w:r>
              <w:rPr>
                <w:b/>
                <w:color w:val="2E548C"/>
                <w:sz w:val="12"/>
              </w:rPr>
              <w:t>[D]</w:t>
            </w:r>
            <w:r>
              <w:rPr>
                <w:b w:val="0"/>
                <w:i w:val="0"/>
                <w:sz w:val="15"/>
              </w:rPr>
              <w:t>, which is small against $1.75bn of revenue.</w:t>
            </w:r>
          </w:p>
        </w:tc>
        <w:tc>
          <w:tcPr>
            <w:tcW w:type="dxa" w:w="1152"/>
            <w:shd w:val="clear" w:color="auto" w:fill="D9E1F2"/>
          </w:tcPr>
          <w:p>
            <w:pPr>
              <w:spacing w:after="0" w:line="240" w:lineRule="auto"/>
            </w:pPr>
            <w:r>
              <w:rPr>
                <w:b/>
                <w:color w:val="2E548C"/>
                <w:sz w:val="12"/>
              </w:rPr>
              <w:t>[D]</w:t>
            </w:r>
          </w:p>
        </w:tc>
      </w:tr>
      <w:tr>
        <w:trPr>
          <w:cantSplit/>
        </w:trPr>
        <w:tc>
          <w:tcPr>
            <w:tcW w:type="dxa" w:w="2880"/>
          </w:tcPr>
          <w:p>
            <w:pPr>
              <w:spacing w:after="0" w:line="240" w:lineRule="auto"/>
            </w:pPr>
            <w:r>
              <w:rPr>
                <w:b/>
                <w:i w:val="0"/>
                <w:sz w:val="15"/>
              </w:rPr>
              <w:t>Publishing NRR / retention KPIs</w:t>
            </w:r>
          </w:p>
        </w:tc>
        <w:tc>
          <w:tcPr>
            <w:tcW w:type="dxa" w:w="5760"/>
          </w:tcPr>
          <w:p>
            <w:pPr>
              <w:spacing w:after="0" w:line="240" w:lineRule="auto"/>
            </w:pPr>
            <w:r>
              <w:rPr>
                <w:b w:val="0"/>
                <w:i w:val="0"/>
                <w:sz w:val="15"/>
              </w:rPr>
              <w:t>A disclosure choice. Feed D4.</w:t>
            </w:r>
          </w:p>
        </w:tc>
        <w:tc>
          <w:tcPr>
            <w:tcW w:type="dxa" w:w="1152"/>
          </w:tcPr>
          <w:p>
            <w:pPr>
              <w:spacing w:after="0" w:line="240" w:lineRule="auto"/>
            </w:pPr>
            <w:r>
              <w:rPr>
                <w:b/>
                <w:color w:val="2E548C"/>
                <w:sz w:val="12"/>
              </w:rPr>
              <w:t>[IR]</w:t>
            </w:r>
          </w:p>
        </w:tc>
      </w:tr>
      <w:tr>
        <w:trPr>
          <w:cantSplit/>
        </w:trPr>
        <w:tc>
          <w:tcPr>
            <w:tcW w:type="dxa" w:w="2880"/>
            <w:shd w:val="clear" w:color="auto" w:fill="D9E1F2"/>
          </w:tcPr>
          <w:p>
            <w:pPr>
              <w:spacing w:after="0" w:line="240" w:lineRule="auto"/>
            </w:pPr>
            <w:r>
              <w:rPr>
                <w:b/>
                <w:i w:val="0"/>
                <w:sz w:val="15"/>
              </w:rPr>
              <w:t>Exclusive data licensing with former parent S&amp;P</w:t>
            </w:r>
          </w:p>
        </w:tc>
        <w:tc>
          <w:tcPr>
            <w:tcW w:type="dxa" w:w="5760"/>
            <w:shd w:val="clear" w:color="auto" w:fill="D9E1F2"/>
          </w:tcPr>
          <w:p>
            <w:pPr>
              <w:spacing w:after="0" w:line="240" w:lineRule="auto"/>
            </w:pPr>
            <w:r>
              <w:rPr>
                <w:b w:val="0"/>
                <w:i w:val="0"/>
                <w:sz w:val="15"/>
              </w:rPr>
              <w:t>MBGL does not keep exclusivity over data shared with SPGI</w:t>
            </w:r>
          </w:p>
        </w:tc>
        <w:tc>
          <w:tcPr>
            <w:tcW w:type="dxa" w:w="1152"/>
            <w:shd w:val="clear" w:color="auto" w:fill="D9E1F2"/>
          </w:tcPr>
          <w:p>
            <w:pPr>
              <w:spacing w:after="0" w:line="240" w:lineRule="auto"/>
            </w:pPr>
            <w:r>
              <w:rPr>
                <w:b/>
                <w:color w:val="2E548C"/>
                <w:sz w:val="12"/>
              </w:rPr>
              <w:t>[D]</w:t>
            </w:r>
          </w:p>
        </w:tc>
      </w:tr>
      <w:tr>
        <w:trPr>
          <w:cantSplit/>
        </w:trPr>
        <w:tc>
          <w:tcPr>
            <w:tcW w:type="dxa" w:w="2880"/>
          </w:tcPr>
          <w:p>
            <w:pPr>
              <w:spacing w:after="0" w:line="240" w:lineRule="auto"/>
            </w:pPr>
            <w:r>
              <w:rPr>
                <w:b/>
                <w:i w:val="0"/>
                <w:sz w:val="15"/>
              </w:rPr>
              <w:t>Hedging FX historically</w:t>
            </w:r>
          </w:p>
        </w:tc>
        <w:tc>
          <w:tcPr>
            <w:tcW w:type="dxa" w:w="5760"/>
          </w:tcPr>
          <w:p>
            <w:pPr>
              <w:spacing w:after="0" w:line="240" w:lineRule="auto"/>
            </w:pPr>
            <w:r>
              <w:rPr>
                <w:b w:val="0"/>
                <w:i w:val="0"/>
                <w:sz w:val="15"/>
              </w:rPr>
              <w:t>Minor. Shown for completeness.</w:t>
            </w:r>
          </w:p>
        </w:tc>
        <w:tc>
          <w:tcPr>
            <w:tcW w:type="dxa" w:w="1152"/>
          </w:tcPr>
          <w:p>
            <w:pPr>
              <w:spacing w:after="0" w:line="240" w:lineRule="auto"/>
            </w:pPr>
            <w:r>
              <w:rPr>
                <w:b/>
                <w:color w:val="2E548C"/>
                <w:sz w:val="12"/>
              </w:rPr>
              <w:t>[D]</w:t>
            </w:r>
          </w:p>
        </w:tc>
      </w:tr>
      <w:tr>
        <w:trPr>
          <w:cantSplit/>
        </w:trPr>
        <w:tc>
          <w:tcPr>
            <w:tcW w:type="dxa" w:w="2880"/>
            <w:shd w:val="clear" w:color="auto" w:fill="D9E1F2"/>
          </w:tcPr>
          <w:p>
            <w:pPr>
              <w:spacing w:after="0" w:line="240" w:lineRule="auto"/>
            </w:pPr>
            <w:r>
              <w:rPr>
                <w:b/>
                <w:i w:val="0"/>
                <w:sz w:val="15"/>
              </w:rPr>
              <w:t>Robotaxi / AV as a core market</w:t>
            </w:r>
          </w:p>
        </w:tc>
        <w:tc>
          <w:tcPr>
            <w:tcW w:type="dxa" w:w="5760"/>
            <w:shd w:val="clear" w:color="auto" w:fill="D9E1F2"/>
          </w:tcPr>
          <w:p>
            <w:pPr>
              <w:spacing w:after="0" w:line="240" w:lineRule="auto"/>
            </w:pPr>
            <w:r>
              <w:rPr>
                <w:b w:val="0"/>
                <w:i w:val="0"/>
                <w:sz w:val="15"/>
              </w:rPr>
              <w:t>Not a strategic priority. It is framed as a source of data demand.</w:t>
            </w:r>
          </w:p>
        </w:tc>
        <w:tc>
          <w:tcPr>
            <w:tcW w:type="dxa" w:w="1152"/>
            <w:shd w:val="clear" w:color="auto" w:fill="D9E1F2"/>
          </w:tcPr>
          <w:p>
            <w:pPr>
              <w:spacing w:after="0" w:line="240" w:lineRule="auto"/>
            </w:pPr>
            <w:r>
              <w:rPr>
                <w:b/>
                <w:color w:val="2E548C"/>
                <w:sz w:val="12"/>
              </w:rPr>
              <w:t>[IR]</w:t>
            </w:r>
          </w:p>
        </w:tc>
      </w:tr>
    </w:tbl>
    <w:p>
      <w:pPr>
        <w:spacing w:after="120"/>
      </w:pPr>
      <w:r>
        <w:rPr>
          <w:b w:val="0"/>
          <w:i/>
          <w:color w:val="595959"/>
          <w:sz w:val="15"/>
        </w:rPr>
        <w:t>Source: analysis/D8_category_structure.md §2.</w:t>
      </w:r>
    </w:p>
    <w:p>
      <w:pPr>
        <w:pStyle w:val="Heading2"/>
      </w:pPr>
      <w:r>
        <w:t>5.6 Erosion watch-list</w:t>
      </w:r>
    </w:p>
    <w:p>
      <w:pPr>
        <w:keepNext/>
        <w:spacing w:before="80" w:after="40"/>
      </w:pPr>
      <w:r>
        <w:rPr>
          <w:b/>
          <w:i w:val="0"/>
          <w:color w:val="1F3864"/>
          <w:sz w:val="17"/>
        </w:rPr>
        <w:t>Exhibit 5.6 — Moat erosion watch-items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432"/>
        <w:gridCol w:w="2880"/>
        <w:gridCol w:w="3456"/>
        <w:gridCol w:w="3024"/>
      </w:tblGrid>
      <w:tr>
        <w:trPr>
          <w:cantSplit/>
          <w:tblHeader/>
        </w:trPr>
        <w:tc>
          <w:tcPr>
            <w:tcW w:type="dxa" w:w="432"/>
            <w:shd w:val="clear" w:color="auto" w:fill="1F3864"/>
          </w:tcPr>
          <w:p>
            <w:pPr>
              <w:spacing w:after="0" w:line="240" w:lineRule="auto"/>
            </w:pPr>
            <w:r>
              <w:rPr>
                <w:b/>
                <w:i w:val="0"/>
                <w:color w:val="FFFFFF"/>
                <w:sz w:val="15"/>
              </w:rPr>
              <w:t>#</w:t>
            </w:r>
          </w:p>
        </w:tc>
        <w:tc>
          <w:tcPr>
            <w:tcW w:type="dxa" w:w="2880"/>
            <w:shd w:val="clear" w:color="auto" w:fill="1F3864"/>
          </w:tcPr>
          <w:p>
            <w:pPr>
              <w:spacing w:after="0" w:line="240" w:lineRule="auto"/>
            </w:pPr>
            <w:r>
              <w:rPr>
                <w:b/>
                <w:i w:val="0"/>
                <w:color w:val="FFFFFF"/>
                <w:sz w:val="15"/>
              </w:rPr>
              <w:t>Watch-item</w:t>
            </w:r>
          </w:p>
        </w:tc>
        <w:tc>
          <w:tcPr>
            <w:tcW w:type="dxa" w:w="3456"/>
            <w:shd w:val="clear" w:color="auto" w:fill="1F3864"/>
          </w:tcPr>
          <w:p>
            <w:pPr>
              <w:spacing w:after="0" w:line="240" w:lineRule="auto"/>
            </w:pPr>
            <w:r>
              <w:rPr>
                <w:b/>
                <w:i w:val="0"/>
                <w:color w:val="FFFFFF"/>
                <w:sz w:val="15"/>
              </w:rPr>
              <w:t>Signal to monitor</w:t>
            </w:r>
          </w:p>
        </w:tc>
        <w:tc>
          <w:tcPr>
            <w:tcW w:type="dxa" w:w="3024"/>
            <w:shd w:val="clear" w:color="auto" w:fill="1F3864"/>
          </w:tcPr>
          <w:p>
            <w:pPr>
              <w:spacing w:after="0" w:line="240" w:lineRule="auto"/>
            </w:pPr>
            <w:r>
              <w:rPr>
                <w:b/>
                <w:i w:val="0"/>
                <w:color w:val="FFFFFF"/>
                <w:sz w:val="15"/>
              </w:rPr>
              <w:t>Current read</w:t>
            </w:r>
          </w:p>
        </w:tc>
      </w:tr>
      <w:tr>
        <w:trPr>
          <w:cantSplit/>
        </w:trPr>
        <w:tc>
          <w:tcPr>
            <w:tcW w:type="dxa" w:w="432"/>
          </w:tcPr>
          <w:p>
            <w:pPr>
              <w:spacing w:after="0" w:line="240" w:lineRule="auto"/>
            </w:pPr>
            <w:r>
              <w:rPr>
                <w:b w:val="0"/>
                <w:i w:val="0"/>
                <w:sz w:val="15"/>
              </w:rPr>
              <w:t>1</w:t>
            </w:r>
          </w:p>
        </w:tc>
        <w:tc>
          <w:tcPr>
            <w:tcW w:type="dxa" w:w="2880"/>
          </w:tcPr>
          <w:p>
            <w:pPr>
              <w:spacing w:after="0" w:line="240" w:lineRule="auto"/>
            </w:pPr>
            <w:r>
              <w:rPr>
                <w:b/>
                <w:i w:val="0"/>
                <w:sz w:val="15"/>
              </w:rPr>
              <w:t>Consumer traffic disintermediated by AI or search answers</w:t>
            </w:r>
          </w:p>
        </w:tc>
        <w:tc>
          <w:tcPr>
            <w:tcW w:type="dxa" w:w="3456"/>
          </w:tcPr>
          <w:p>
            <w:pPr>
              <w:spacing w:after="0" w:line="240" w:lineRule="auto"/>
            </w:pPr>
            <w:r>
              <w:rPr>
                <w:b w:val="0"/>
                <w:i w:val="0"/>
                <w:sz w:val="15"/>
              </w:rPr>
              <w:t xml:space="preserve">Unique visitors (23m/mo), VHR views (28m+/mo), ad expense / revenue (10.1% FY25 </w:t>
            </w:r>
            <w:r>
              <w:rPr>
                <w:b/>
                <w:color w:val="2E548C"/>
                <w:sz w:val="12"/>
              </w:rPr>
              <w:t>[C]</w:t>
            </w:r>
            <w:r>
              <w:rPr>
                <w:b w:val="0"/>
                <w:i w:val="0"/>
                <w:sz w:val="15"/>
              </w:rPr>
              <w:t xml:space="preserve"> 176/1,750)</w:t>
            </w:r>
          </w:p>
        </w:tc>
        <w:tc>
          <w:tcPr>
            <w:tcW w:type="dxa" w:w="3024"/>
          </w:tcPr>
          <w:p>
            <w:pPr>
              <w:spacing w:after="0" w:line="240" w:lineRule="auto"/>
            </w:pPr>
            <w:r>
              <w:rPr>
                <w:b w:val="0"/>
                <w:i w:val="0"/>
                <w:sz w:val="15"/>
              </w:rPr>
              <w:t xml:space="preserve">Ad spend is up 31% FY23→25 </w:t>
            </w:r>
            <w:r>
              <w:rPr>
                <w:b/>
                <w:color w:val="2E548C"/>
                <w:sz w:val="12"/>
              </w:rPr>
              <w:t>[C]</w:t>
            </w:r>
            <w:r>
              <w:rPr>
                <w:b w:val="0"/>
                <w:i w:val="0"/>
                <w:sz w:val="15"/>
              </w:rPr>
              <w:t xml:space="preserve"> vs revenue +18%. </w:t>
            </w:r>
            <w:r>
              <w:rPr>
                <w:b/>
                <w:i w:val="0"/>
                <w:sz w:val="15"/>
              </w:rPr>
              <w:t>Amber.</w:t>
            </w:r>
          </w:p>
        </w:tc>
      </w:tr>
      <w:tr>
        <w:trPr>
          <w:cantSplit/>
        </w:trPr>
        <w:tc>
          <w:tcPr>
            <w:tcW w:type="dxa" w:w="432"/>
            <w:shd w:val="clear" w:color="auto" w:fill="D9E1F2"/>
          </w:tcPr>
          <w:p>
            <w:pPr>
              <w:spacing w:after="0" w:line="240" w:lineRule="auto"/>
            </w:pPr>
            <w:r>
              <w:rPr>
                <w:b w:val="0"/>
                <w:i w:val="0"/>
                <w:sz w:val="15"/>
              </w:rPr>
              <w:t>2</w:t>
            </w:r>
          </w:p>
        </w:tc>
        <w:tc>
          <w:tcPr>
            <w:tcW w:type="dxa" w:w="2880"/>
            <w:shd w:val="clear" w:color="auto" w:fill="D9E1F2"/>
          </w:tcPr>
          <w:p>
            <w:pPr>
              <w:spacing w:after="0" w:line="240" w:lineRule="auto"/>
            </w:pPr>
            <w:r>
              <w:rPr>
                <w:b/>
                <w:i w:val="0"/>
                <w:sz w:val="15"/>
              </w:rPr>
              <w:t>Contribution-network churn or fee inflation</w:t>
            </w:r>
          </w:p>
        </w:tc>
        <w:tc>
          <w:tcPr>
            <w:tcW w:type="dxa" w:w="3456"/>
            <w:shd w:val="clear" w:color="auto" w:fill="D9E1F2"/>
          </w:tcPr>
          <w:p>
            <w:pPr>
              <w:spacing w:after="0" w:line="240" w:lineRule="auto"/>
            </w:pPr>
            <w:r>
              <w:rPr>
                <w:b w:val="0"/>
                <w:i w:val="0"/>
                <w:sz w:val="15"/>
              </w:rPr>
              <w:t>Source count (177k), cost of data in operating-related expense</w:t>
            </w:r>
          </w:p>
        </w:tc>
        <w:tc>
          <w:tcPr>
            <w:tcW w:type="dxa" w:w="3024"/>
            <w:shd w:val="clear" w:color="auto" w:fill="D9E1F2"/>
          </w:tcPr>
          <w:p>
            <w:pPr>
              <w:spacing w:after="0" w:line="240" w:lineRule="auto"/>
            </w:pPr>
            <w:r>
              <w:rPr>
                <w:b/>
                <w:i w:val="0"/>
                <w:sz w:val="15"/>
              </w:rPr>
              <w:t>Amber.</w:t>
            </w:r>
            <w:r>
              <w:rPr>
                <w:b w:val="0"/>
                <w:i w:val="0"/>
                <w:sz w:val="15"/>
              </w:rPr>
              <w:t xml:space="preserve"> No cost-of-data line is disclosed.</w:t>
            </w:r>
          </w:p>
        </w:tc>
      </w:tr>
      <w:tr>
        <w:trPr>
          <w:cantSplit/>
        </w:trPr>
        <w:tc>
          <w:tcPr>
            <w:tcW w:type="dxa" w:w="432"/>
          </w:tcPr>
          <w:p>
            <w:pPr>
              <w:spacing w:after="0" w:line="240" w:lineRule="auto"/>
            </w:pPr>
            <w:r>
              <w:rPr>
                <w:b w:val="0"/>
                <w:i w:val="0"/>
                <w:sz w:val="15"/>
              </w:rPr>
              <w:t>3</w:t>
            </w:r>
          </w:p>
        </w:tc>
        <w:tc>
          <w:tcPr>
            <w:tcW w:type="dxa" w:w="2880"/>
          </w:tcPr>
          <w:p>
            <w:pPr>
              <w:spacing w:after="0" w:line="240" w:lineRule="auto"/>
            </w:pPr>
            <w:r>
              <w:rPr>
                <w:b/>
                <w:i w:val="0"/>
                <w:sz w:val="15"/>
              </w:rPr>
              <w:t>DMS gatekeepers (CDK/Reynolds) or OEMs restricting service data</w:t>
            </w:r>
          </w:p>
        </w:tc>
        <w:tc>
          <w:tcPr>
            <w:tcW w:type="dxa" w:w="3456"/>
          </w:tcPr>
          <w:p>
            <w:pPr>
              <w:spacing w:after="0" w:line="240" w:lineRule="auto"/>
            </w:pPr>
            <w:r>
              <w:rPr>
                <w:b w:val="0"/>
                <w:i w:val="0"/>
                <w:sz w:val="15"/>
              </w:rPr>
              <w:t>Contract disputes; OEM connected-car data programs</w:t>
            </w:r>
          </w:p>
        </w:tc>
        <w:tc>
          <w:tcPr>
            <w:tcW w:type="dxa" w:w="3024"/>
          </w:tcPr>
          <w:p>
            <w:pPr>
              <w:spacing w:after="0" w:line="240" w:lineRule="auto"/>
            </w:pPr>
            <w:r>
              <w:rPr>
                <w:b w:val="0"/>
                <w:i w:val="0"/>
                <w:sz w:val="15"/>
              </w:rPr>
              <w:t xml:space="preserve">Not disclosed </w:t>
            </w:r>
            <w:r>
              <w:rPr>
                <w:b/>
                <w:color w:val="2E548C"/>
                <w:sz w:val="12"/>
              </w:rPr>
              <w:t>[gap]</w:t>
            </w:r>
          </w:p>
        </w:tc>
      </w:tr>
      <w:tr>
        <w:trPr>
          <w:cantSplit/>
        </w:trPr>
        <w:tc>
          <w:tcPr>
            <w:tcW w:type="dxa" w:w="432"/>
            <w:shd w:val="clear" w:color="auto" w:fill="D9E1F2"/>
          </w:tcPr>
          <w:p>
            <w:pPr>
              <w:spacing w:after="0" w:line="240" w:lineRule="auto"/>
            </w:pPr>
            <w:r>
              <w:rPr>
                <w:b w:val="0"/>
                <w:i w:val="0"/>
                <w:sz w:val="15"/>
              </w:rPr>
              <w:t>4</w:t>
            </w:r>
          </w:p>
        </w:tc>
        <w:tc>
          <w:tcPr>
            <w:tcW w:type="dxa" w:w="2880"/>
            <w:shd w:val="clear" w:color="auto" w:fill="D9E1F2"/>
          </w:tcPr>
          <w:p>
            <w:pPr>
              <w:spacing w:after="0" w:line="240" w:lineRule="auto"/>
            </w:pPr>
            <w:r>
              <w:rPr>
                <w:b/>
                <w:i w:val="0"/>
                <w:sz w:val="15"/>
              </w:rPr>
              <w:t>OEM CPO mandates (36)</w:t>
            </w:r>
          </w:p>
        </w:tc>
        <w:tc>
          <w:tcPr>
            <w:tcW w:type="dxa" w:w="3456"/>
            <w:shd w:val="clear" w:color="auto" w:fill="D9E1F2"/>
          </w:tcPr>
          <w:p>
            <w:pPr>
              <w:spacing w:after="0" w:line="240" w:lineRule="auto"/>
            </w:pPr>
            <w:r>
              <w:rPr>
                <w:b w:val="0"/>
                <w:i w:val="0"/>
                <w:sz w:val="15"/>
              </w:rPr>
              <w:t>Any OEM dropping CARFAX from CPO</w:t>
            </w:r>
          </w:p>
        </w:tc>
        <w:tc>
          <w:tcPr>
            <w:tcW w:type="dxa" w:w="3024"/>
            <w:shd w:val="clear" w:color="auto" w:fill="D9E1F2"/>
          </w:tcPr>
          <w:p>
            <w:pPr>
              <w:spacing w:after="0" w:line="240" w:lineRule="auto"/>
            </w:pPr>
            <w:r>
              <w:rPr>
                <w:b w:val="0"/>
                <w:i w:val="0"/>
                <w:sz w:val="15"/>
              </w:rPr>
              <w:t xml:space="preserve">Stable (36) </w:t>
            </w:r>
            <w:r>
              <w:rPr>
                <w:b/>
                <w:color w:val="2E548C"/>
                <w:sz w:val="12"/>
              </w:rPr>
              <w:t>[D]</w:t>
            </w:r>
          </w:p>
        </w:tc>
      </w:tr>
      <w:tr>
        <w:trPr>
          <w:cantSplit/>
        </w:trPr>
        <w:tc>
          <w:tcPr>
            <w:tcW w:type="dxa" w:w="432"/>
          </w:tcPr>
          <w:p>
            <w:pPr>
              <w:spacing w:after="0" w:line="240" w:lineRule="auto"/>
            </w:pPr>
            <w:r>
              <w:rPr>
                <w:b w:val="0"/>
                <w:i w:val="0"/>
                <w:sz w:val="15"/>
              </w:rPr>
              <w:t>5</w:t>
            </w:r>
          </w:p>
        </w:tc>
        <w:tc>
          <w:tcPr>
            <w:tcW w:type="dxa" w:w="2880"/>
          </w:tcPr>
          <w:p>
            <w:pPr>
              <w:spacing w:after="0" w:line="240" w:lineRule="auto"/>
            </w:pPr>
            <w:r>
              <w:rPr>
                <w:b/>
                <w:i w:val="0"/>
                <w:sz w:val="15"/>
              </w:rPr>
              <w:t>Pricing power fatigue</w:t>
            </w:r>
          </w:p>
        </w:tc>
        <w:tc>
          <w:tcPr>
            <w:tcW w:type="dxa" w:w="3456"/>
          </w:tcPr>
          <w:p>
            <w:pPr>
              <w:spacing w:after="0" w:line="240" w:lineRule="auto"/>
            </w:pPr>
            <w:r>
              <w:rPr>
                <w:b w:val="0"/>
                <w:i w:val="0"/>
                <w:sz w:val="15"/>
              </w:rPr>
              <w:t>Products per dealer (1.5–2), Service Loyalty penetration (&lt;50% of franchise Advantage dealers)</w:t>
            </w:r>
          </w:p>
        </w:tc>
        <w:tc>
          <w:tcPr>
            <w:tcW w:type="dxa" w:w="3024"/>
          </w:tcPr>
          <w:p>
            <w:pPr>
              <w:spacing w:after="0" w:line="240" w:lineRule="auto"/>
            </w:pPr>
            <w:r>
              <w:rPr>
                <w:b/>
                <w:i w:val="0"/>
                <w:sz w:val="15"/>
              </w:rPr>
              <w:t>Amber.</w:t>
            </w:r>
            <w:r>
              <w:rPr>
                <w:b w:val="0"/>
                <w:i w:val="0"/>
                <w:sz w:val="15"/>
              </w:rPr>
              <w:t xml:space="preserve"> The GTM reversal is the first visible friction.</w:t>
            </w:r>
          </w:p>
        </w:tc>
      </w:tr>
      <w:tr>
        <w:trPr>
          <w:cantSplit/>
        </w:trPr>
        <w:tc>
          <w:tcPr>
            <w:tcW w:type="dxa" w:w="432"/>
            <w:shd w:val="clear" w:color="auto" w:fill="D9E1F2"/>
          </w:tcPr>
          <w:p>
            <w:pPr>
              <w:spacing w:after="0" w:line="240" w:lineRule="auto"/>
            </w:pPr>
            <w:r>
              <w:rPr>
                <w:b w:val="0"/>
                <w:i w:val="0"/>
                <w:sz w:val="15"/>
              </w:rPr>
              <w:t>6</w:t>
            </w:r>
          </w:p>
        </w:tc>
        <w:tc>
          <w:tcPr>
            <w:tcW w:type="dxa" w:w="2880"/>
            <w:shd w:val="clear" w:color="auto" w:fill="D9E1F2"/>
          </w:tcPr>
          <w:p>
            <w:pPr>
              <w:spacing w:after="0" w:line="240" w:lineRule="auto"/>
            </w:pPr>
            <w:r>
              <w:rPr>
                <w:b/>
                <w:i w:val="0"/>
                <w:sz w:val="15"/>
              </w:rPr>
              <w:t>Dealer consolidation / OEM direct-to-consumer (agency) sales</w:t>
            </w:r>
          </w:p>
        </w:tc>
        <w:tc>
          <w:tcPr>
            <w:tcW w:type="dxa" w:w="3456"/>
            <w:shd w:val="clear" w:color="auto" w:fill="D9E1F2"/>
          </w:tcPr>
          <w:p>
            <w:pPr>
              <w:spacing w:after="0" w:line="240" w:lineRule="auto"/>
            </w:pPr>
            <w:r>
              <w:rPr>
                <w:b w:val="0"/>
                <w:i w:val="0"/>
                <w:sz w:val="15"/>
              </w:rPr>
              <w:t xml:space="preserve">US rooftop count </w:t>
            </w:r>
            <w:r>
              <w:rPr>
                <w:b/>
                <w:color w:val="2E548C"/>
                <w:sz w:val="12"/>
              </w:rPr>
              <w:t>[context]</w:t>
            </w:r>
            <w:r>
              <w:rPr>
                <w:b w:val="0"/>
                <w:i w:val="0"/>
                <w:sz w:val="15"/>
              </w:rPr>
              <w:t>; Advantage enrolled locations (not disclosed)</w:t>
            </w:r>
          </w:p>
        </w:tc>
        <w:tc>
          <w:tcPr>
            <w:tcW w:type="dxa" w:w="3024"/>
            <w:shd w:val="clear" w:color="auto" w:fill="D9E1F2"/>
          </w:tcPr>
          <w:p>
            <w:pPr>
              <w:spacing w:after="0" w:line="240" w:lineRule="auto"/>
            </w:pPr>
            <w:r>
              <w:rPr>
                <w:b w:val="0"/>
                <w:i w:val="0"/>
                <w:sz w:val="15"/>
              </w:rPr>
              <w:t>Gap</w:t>
            </w:r>
          </w:p>
        </w:tc>
      </w:tr>
      <w:tr>
        <w:trPr>
          <w:cantSplit/>
        </w:trPr>
        <w:tc>
          <w:tcPr>
            <w:tcW w:type="dxa" w:w="432"/>
          </w:tcPr>
          <w:p>
            <w:pPr>
              <w:spacing w:after="0" w:line="240" w:lineRule="auto"/>
            </w:pPr>
            <w:r>
              <w:rPr>
                <w:b w:val="0"/>
                <w:i w:val="0"/>
                <w:sz w:val="15"/>
              </w:rPr>
              <w:t>7</w:t>
            </w:r>
          </w:p>
        </w:tc>
        <w:tc>
          <w:tcPr>
            <w:tcW w:type="dxa" w:w="2880"/>
          </w:tcPr>
          <w:p>
            <w:pPr>
              <w:spacing w:after="0" w:line="240" w:lineRule="auto"/>
            </w:pPr>
            <w:r>
              <w:rPr>
                <w:b/>
                <w:i w:val="0"/>
                <w:sz w:val="15"/>
              </w:rPr>
              <w:t>B2B commoditisation (Experian, GlobalData)</w:t>
            </w:r>
          </w:p>
        </w:tc>
        <w:tc>
          <w:tcPr>
            <w:tcW w:type="dxa" w:w="3456"/>
          </w:tcPr>
          <w:p>
            <w:pPr>
              <w:spacing w:after="0" w:line="240" w:lineRule="auto"/>
            </w:pPr>
            <w:r>
              <w:rPr>
                <w:b w:val="0"/>
                <w:i w:val="0"/>
                <w:sz w:val="15"/>
              </w:rPr>
              <w:t>B2B subscription growth (~6% 1H26 vs a goal of high single digits)</w:t>
            </w:r>
          </w:p>
        </w:tc>
        <w:tc>
          <w:tcPr>
            <w:tcW w:type="dxa" w:w="3024"/>
          </w:tcPr>
          <w:p>
            <w:pPr>
              <w:spacing w:after="0" w:line="240" w:lineRule="auto"/>
            </w:pPr>
            <w:r>
              <w:rPr>
                <w:b/>
                <w:i w:val="0"/>
                <w:sz w:val="15"/>
              </w:rPr>
              <w:t>Amber.</w:t>
            </w:r>
          </w:p>
        </w:tc>
      </w:tr>
      <w:tr>
        <w:trPr>
          <w:cantSplit/>
        </w:trPr>
        <w:tc>
          <w:tcPr>
            <w:tcW w:type="dxa" w:w="432"/>
            <w:shd w:val="clear" w:color="auto" w:fill="D9E1F2"/>
          </w:tcPr>
          <w:p>
            <w:pPr>
              <w:spacing w:after="0" w:line="240" w:lineRule="auto"/>
            </w:pPr>
            <w:r>
              <w:rPr>
                <w:b w:val="0"/>
                <w:i w:val="0"/>
                <w:sz w:val="15"/>
              </w:rPr>
              <w:t>8</w:t>
            </w:r>
          </w:p>
        </w:tc>
        <w:tc>
          <w:tcPr>
            <w:tcW w:type="dxa" w:w="2880"/>
            <w:shd w:val="clear" w:color="auto" w:fill="D9E1F2"/>
          </w:tcPr>
          <w:p>
            <w:pPr>
              <w:spacing w:after="0" w:line="240" w:lineRule="auto"/>
            </w:pPr>
            <w:r>
              <w:rPr>
                <w:b/>
                <w:i w:val="0"/>
                <w:sz w:val="15"/>
              </w:rPr>
              <w:t>AI and IP leakage</w:t>
            </w:r>
          </w:p>
        </w:tc>
        <w:tc>
          <w:tcPr>
            <w:tcW w:type="dxa" w:w="3456"/>
            <w:shd w:val="clear" w:color="auto" w:fill="D9E1F2"/>
          </w:tcPr>
          <w:p>
            <w:pPr>
              <w:spacing w:after="0" w:line="240" w:lineRule="auto"/>
            </w:pPr>
            <w:r>
              <w:rPr>
                <w:b w:val="0"/>
                <w:i w:val="0"/>
                <w:sz w:val="15"/>
              </w:rPr>
              <w:t>Licensing terms; S&amp;P's non-exclusive cross-licence of data [10A : 328]</w:t>
            </w:r>
          </w:p>
        </w:tc>
        <w:tc>
          <w:tcPr>
            <w:tcW w:type="dxa" w:w="3024"/>
            <w:shd w:val="clear" w:color="auto" w:fill="D9E1F2"/>
          </w:tcPr>
          <w:p>
            <w:pPr>
              <w:spacing w:after="0" w:line="240" w:lineRule="auto"/>
            </w:pPr>
            <w:r>
              <w:rPr>
                <w:b/>
                <w:i w:val="0"/>
                <w:sz w:val="15"/>
              </w:rPr>
              <w:t>Inference:</w:t>
            </w:r>
            <w:r>
              <w:rPr>
                <w:b w:val="0"/>
                <w:i w:val="0"/>
                <w:sz w:val="15"/>
              </w:rPr>
              <w:t xml:space="preserve"> the S&amp;P cross-licence is a new, non-exclusive leak path, though it is described as "not material".</w:t>
            </w:r>
          </w:p>
        </w:tc>
      </w:tr>
      <w:tr>
        <w:trPr>
          <w:cantSplit/>
        </w:trPr>
        <w:tc>
          <w:tcPr>
            <w:tcW w:type="dxa" w:w="432"/>
          </w:tcPr>
          <w:p>
            <w:pPr>
              <w:spacing w:after="0" w:line="240" w:lineRule="auto"/>
            </w:pPr>
            <w:r>
              <w:rPr>
                <w:b w:val="0"/>
                <w:i w:val="0"/>
                <w:sz w:val="15"/>
              </w:rPr>
              <w:t>9</w:t>
            </w:r>
          </w:p>
        </w:tc>
        <w:tc>
          <w:tcPr>
            <w:tcW w:type="dxa" w:w="2880"/>
          </w:tcPr>
          <w:p>
            <w:pPr>
              <w:spacing w:after="0" w:line="240" w:lineRule="auto"/>
            </w:pPr>
            <w:r>
              <w:rPr>
                <w:b/>
                <w:i w:val="0"/>
                <w:sz w:val="15"/>
              </w:rPr>
              <w:t>Disclosure retreat</w:t>
            </w:r>
          </w:p>
        </w:tc>
        <w:tc>
          <w:tcPr>
            <w:tcW w:type="dxa" w:w="3456"/>
          </w:tcPr>
          <w:p>
            <w:pPr>
              <w:spacing w:after="0" w:line="240" w:lineRule="auto"/>
            </w:pPr>
            <w:r>
              <w:rPr>
                <w:b w:val="0"/>
                <w:i w:val="0"/>
                <w:sz w:val="15"/>
              </w:rPr>
              <w:t>Whether NRR, rooftop and ARPU KPIs appear in the FY27 guide</w:t>
            </w:r>
          </w:p>
        </w:tc>
        <w:tc>
          <w:tcPr>
            <w:tcW w:type="dxa" w:w="3024"/>
          </w:tcPr>
          <w:p>
            <w:pPr>
              <w:spacing w:after="0" w:line="240" w:lineRule="auto"/>
            </w:pPr>
            <w:r>
              <w:rPr>
                <w:b w:val="0"/>
                <w:i w:val="0"/>
                <w:sz w:val="15"/>
              </w:rPr>
              <w:t>Feed D4</w:t>
            </w:r>
          </w:p>
        </w:tc>
      </w:tr>
    </w:tbl>
    <w:p>
      <w:pPr>
        <w:spacing w:after="120"/>
      </w:pPr>
      <w:r>
        <w:rPr>
          <w:b w:val="0"/>
          <w:i/>
          <w:color w:val="595959"/>
          <w:sz w:val="15"/>
        </w:rPr>
        <w:t>Source: analysis/D1_moat.md §6.</w:t>
      </w:r>
    </w:p>
    <w:p>
      <w:r>
        <w:rPr>
          <w:b w:val="0"/>
          <w:i w:val="0"/>
        </w:rPr>
        <w:t xml:space="preserve">Signals that cannot be monitored today: </w:t>
      </w:r>
      <w:r>
        <w:rPr>
          <w:b/>
          <w:color w:val="E36C09"/>
        </w:rPr>
        <w:t>[TO COLLECT #30: CARFAX monthly unique visitors and VHR views time series (only point values 23m and 28m+ disclosed)]</w:t>
      </w:r>
      <w:r>
        <w:rPr>
          <w:b w:val="0"/>
          <w:i w:val="0"/>
        </w:rPr>
        <w:t xml:space="preserve">; </w:t>
      </w:r>
      <w:r>
        <w:rPr>
          <w:b/>
          <w:color w:val="E36C09"/>
        </w:rPr>
        <w:t>[TO COLLECT #31: data-acquisition cost and its growth (no cost-of-data line disclosed)]</w:t>
      </w:r>
      <w:r>
        <w:rPr>
          <w:b w:val="0"/>
          <w:i w:val="0"/>
        </w:rPr>
        <w:t xml:space="preserve">; </w:t>
      </w:r>
      <w:r>
        <w:rPr>
          <w:b/>
          <w:color w:val="E36C09"/>
        </w:rPr>
        <w:t>[TO COLLECT #32: share of service records sourced via DMS vendors that also compete with MBGL]</w:t>
      </w:r>
      <w:r>
        <w:rPr>
          <w:b w:val="0"/>
          <w:i w:val="0"/>
        </w:rPr>
        <w:t>.</w:t>
      </w:r>
    </w:p>
    <w:p>
      <w:pPr>
        <w:pStyle w:val="Heading1"/>
        <w:pageBreakBefore/>
      </w:pPr>
      <w:r>
        <w:t>6 Value proposition by customer</w:t>
      </w:r>
    </w:p>
    <w:p>
      <w:r>
        <w:rPr>
          <w:b w:val="0"/>
          <w:i w:val="0"/>
        </w:rPr>
        <w:t xml:space="preserve">One dataset is monetised four ways (D6 §1, inference). The consumer is the source of pricing power but mostly not the payer; the dealer pays because consumers trust the brand; the OEM pays indirectly through CPO mandates and co-op dollars from 14 OEMs </w:t>
      </w:r>
      <w:r>
        <w:rPr>
          <w:b/>
          <w:color w:val="2E548C"/>
          <w:sz w:val="16"/>
        </w:rPr>
        <w:t>[IR]</w:t>
      </w:r>
      <w:r>
        <w:rPr>
          <w:b w:val="0"/>
          <w:i w:val="0"/>
        </w:rPr>
        <w:t>; lenders pay because the same record de-risks collateral.</w:t>
      </w:r>
    </w:p>
    <w:p>
      <w:pPr>
        <w:keepNext/>
        <w:spacing w:before="80" w:after="40"/>
      </w:pPr>
      <w:r>
        <w:rPr>
          <w:b/>
          <w:i w:val="0"/>
          <w:color w:val="1F3864"/>
          <w:sz w:val="17"/>
        </w:rPr>
        <w:t>Exhibit 6.1 — Value proposition by customer segment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872"/>
        <w:gridCol w:w="2304"/>
        <w:gridCol w:w="2880"/>
        <w:gridCol w:w="2736"/>
      </w:tblGrid>
      <w:tr>
        <w:trPr>
          <w:cantSplit/>
          <w:tblHeader/>
        </w:trPr>
        <w:tc>
          <w:tcPr>
            <w:tcW w:type="dxa" w:w="1872"/>
            <w:shd w:val="clear" w:color="auto" w:fill="1F3864"/>
          </w:tcPr>
          <w:p>
            <w:pPr>
              <w:spacing w:after="0" w:line="240" w:lineRule="auto"/>
            </w:pPr>
            <w:r>
              <w:rPr>
                <w:b/>
                <w:i w:val="0"/>
                <w:color w:val="FFFFFF"/>
                <w:sz w:val="15"/>
              </w:rPr>
              <w:t>Segment (≈ share of revenue)</w:t>
            </w:r>
          </w:p>
        </w:tc>
        <w:tc>
          <w:tcPr>
            <w:tcW w:type="dxa" w:w="2304"/>
            <w:shd w:val="clear" w:color="auto" w:fill="1F3864"/>
          </w:tcPr>
          <w:p>
            <w:pPr>
              <w:spacing w:after="0" w:line="240" w:lineRule="auto"/>
            </w:pPr>
            <w:r>
              <w:rPr>
                <w:b/>
                <w:i w:val="0"/>
                <w:color w:val="FFFFFF"/>
                <w:sz w:val="15"/>
              </w:rPr>
              <w:t>What they care about</w:t>
            </w:r>
          </w:p>
        </w:tc>
        <w:tc>
          <w:tcPr>
            <w:tcW w:type="dxa" w:w="2880"/>
            <w:shd w:val="clear" w:color="auto" w:fill="1F3864"/>
          </w:tcPr>
          <w:p>
            <w:pPr>
              <w:spacing w:after="0" w:line="240" w:lineRule="auto"/>
            </w:pPr>
            <w:r>
              <w:rPr>
                <w:b/>
                <w:i w:val="0"/>
                <w:color w:val="FFFFFF"/>
                <w:sz w:val="15"/>
              </w:rPr>
              <w:t>What MBGL offers</w:t>
            </w:r>
          </w:p>
        </w:tc>
        <w:tc>
          <w:tcPr>
            <w:tcW w:type="dxa" w:w="2736"/>
            <w:shd w:val="clear" w:color="auto" w:fill="1F3864"/>
          </w:tcPr>
          <w:p>
            <w:pPr>
              <w:spacing w:after="0" w:line="240" w:lineRule="auto"/>
            </w:pPr>
            <w:r>
              <w:rPr>
                <w:b/>
                <w:i w:val="0"/>
                <w:color w:val="FFFFFF"/>
                <w:sz w:val="15"/>
              </w:rPr>
              <w:t>Evidence</w:t>
            </w:r>
          </w:p>
        </w:tc>
      </w:tr>
      <w:tr>
        <w:trPr>
          <w:cantSplit/>
        </w:trPr>
        <w:tc>
          <w:tcPr>
            <w:tcW w:type="dxa" w:w="1872"/>
          </w:tcPr>
          <w:p>
            <w:pPr>
              <w:spacing w:after="0" w:line="240" w:lineRule="auto"/>
            </w:pPr>
            <w:r>
              <w:rPr>
                <w:b/>
                <w:i w:val="0"/>
                <w:sz w:val="15"/>
              </w:rPr>
              <w:t>Dealers</w:t>
            </w:r>
            <w:r>
              <w:rPr>
                <w:b w:val="0"/>
                <w:i w:val="0"/>
                <w:sz w:val="15"/>
              </w:rPr>
              <w:t xml:space="preserve"> (~60–62%; 40k+ dealer customers)</w:t>
            </w:r>
          </w:p>
        </w:tc>
        <w:tc>
          <w:tcPr>
            <w:tcW w:type="dxa" w:w="2304"/>
          </w:tcPr>
          <w:p>
            <w:pPr>
              <w:spacing w:after="0" w:line="240" w:lineRule="auto"/>
            </w:pPr>
            <w:r>
              <w:rPr>
                <w:b w:val="0"/>
                <w:i w:val="0"/>
                <w:sz w:val="15"/>
              </w:rPr>
              <w:t>Turning used inventory faster at better gross; consumer trust at the point of sale; service-lane retention; lead flow; pricing and payment accuracy</w:t>
            </w:r>
          </w:p>
        </w:tc>
        <w:tc>
          <w:tcPr>
            <w:tcW w:type="dxa" w:w="2880"/>
          </w:tcPr>
          <w:p>
            <w:pPr>
              <w:spacing w:after="0" w:line="240" w:lineRule="auto"/>
            </w:pPr>
            <w:r>
              <w:rPr>
                <w:b/>
                <w:i w:val="0"/>
                <w:sz w:val="15"/>
              </w:rPr>
              <w:t>CARFAX Advantage</w:t>
            </w:r>
            <w:r>
              <w:rPr>
                <w:b w:val="0"/>
                <w:i w:val="0"/>
                <w:sz w:val="15"/>
              </w:rPr>
              <w:t xml:space="preserve"> (VHR; under 40% of CARFAX revenue); </w:t>
            </w:r>
            <w:r>
              <w:rPr>
                <w:b/>
                <w:i w:val="0"/>
                <w:sz w:val="15"/>
              </w:rPr>
              <w:t>Car Listings</w:t>
            </w:r>
            <w:r>
              <w:rPr>
                <w:b w:val="0"/>
                <w:i w:val="0"/>
                <w:sz w:val="15"/>
              </w:rPr>
              <w:t xml:space="preserve">; </w:t>
            </w:r>
            <w:r>
              <w:rPr>
                <w:b/>
                <w:i w:val="0"/>
                <w:sz w:val="15"/>
              </w:rPr>
              <w:t>CARFAX For Life / Car Care</w:t>
            </w:r>
            <w:r>
              <w:rPr>
                <w:b w:val="0"/>
                <w:i w:val="0"/>
                <w:sz w:val="15"/>
              </w:rPr>
              <w:t xml:space="preserve"> service loyalty; Premium Listings / Showroom; Sell My Car; </w:t>
            </w:r>
            <w:r>
              <w:rPr>
                <w:b/>
                <w:i w:val="0"/>
                <w:sz w:val="15"/>
              </w:rPr>
              <w:t>automotiveMastermind</w:t>
            </w:r>
            <w:r>
              <w:rPr>
                <w:b w:val="0"/>
                <w:i w:val="0"/>
                <w:sz w:val="15"/>
              </w:rPr>
              <w:t xml:space="preserve"> BPS (Behavior Prediction Scores) for sales targeting (3,200 dealers); </w:t>
            </w:r>
            <w:r>
              <w:rPr>
                <w:b/>
                <w:i w:val="0"/>
                <w:sz w:val="15"/>
              </w:rPr>
              <w:t>Market Scan</w:t>
            </w:r>
            <w:r>
              <w:rPr>
                <w:b w:val="0"/>
                <w:i w:val="0"/>
                <w:sz w:val="15"/>
              </w:rPr>
              <w:t xml:space="preserve"> payments engine (~10,500 dealers); Polk dealer KPIs</w:t>
            </w:r>
          </w:p>
        </w:tc>
        <w:tc>
          <w:tcPr>
            <w:tcW w:type="dxa" w:w="2736"/>
          </w:tcPr>
          <w:p>
            <w:pPr>
              <w:spacing w:after="0" w:line="240" w:lineRule="auto"/>
            </w:pPr>
            <w:r>
              <w:rPr>
                <w:b w:val="0"/>
                <w:i w:val="0"/>
                <w:sz w:val="15"/>
              </w:rPr>
              <w:t xml:space="preserve">Management-claimed 10–15x ROI, ~9% faster turn, ~5% more gross (2023 internal study) [PRES s.68]. Lifetime program: +19pt service retention, +16pt brand loyalty, 1,600 sign-ups [PRES s.73]. ~2m "Show me the CARFAX" requests a month </w:t>
            </w:r>
            <w:r>
              <w:rPr>
                <w:b/>
                <w:color w:val="2E548C"/>
                <w:sz w:val="12"/>
              </w:rPr>
              <w:t>[X survey]</w:t>
            </w:r>
            <w:r>
              <w:rPr>
                <w:b w:val="0"/>
                <w:i w:val="0"/>
                <w:sz w:val="15"/>
              </w:rPr>
              <w:t xml:space="preserve">. aM: "90% of key decision makers" see it as needed (Teneo 2021, n=1,257) </w:t>
            </w:r>
            <w:r>
              <w:rPr>
                <w:b/>
                <w:color w:val="2E548C"/>
                <w:sz w:val="12"/>
              </w:rPr>
              <w:t>[X]</w:t>
            </w:r>
            <w:r>
              <w:rPr>
                <w:b w:val="0"/>
                <w:i w:val="0"/>
                <w:sz w:val="15"/>
              </w:rPr>
              <w:t xml:space="preserve">. Dealers average </w:t>
            </w:r>
            <w:r>
              <w:rPr>
                <w:b/>
                <w:i w:val="0"/>
                <w:sz w:val="15"/>
              </w:rPr>
              <w:t>1.5–2 products</w:t>
            </w:r>
            <w:r>
              <w:rPr>
                <w:b w:val="0"/>
                <w:i w:val="0"/>
                <w:sz w:val="15"/>
              </w:rPr>
              <w:t xml:space="preserve"> [Q2 : Calderone].</w:t>
            </w:r>
          </w:p>
        </w:tc>
      </w:tr>
      <w:tr>
        <w:trPr>
          <w:cantSplit/>
        </w:trPr>
        <w:tc>
          <w:tcPr>
            <w:tcW w:type="dxa" w:w="1872"/>
            <w:shd w:val="clear" w:color="auto" w:fill="D9E1F2"/>
          </w:tcPr>
          <w:p>
            <w:pPr>
              <w:spacing w:after="0" w:line="240" w:lineRule="auto"/>
            </w:pPr>
            <w:r>
              <w:rPr>
                <w:b/>
                <w:i w:val="0"/>
                <w:sz w:val="15"/>
              </w:rPr>
              <w:t>OEMs and suppliers</w:t>
            </w:r>
            <w:r>
              <w:rPr>
                <w:b w:val="0"/>
                <w:i w:val="0"/>
                <w:sz w:val="15"/>
              </w:rPr>
              <w:t xml:space="preserve"> (~10% OEM per filing; ~20% OEM &amp; supplier per deck)</w:t>
            </w:r>
          </w:p>
        </w:tc>
        <w:tc>
          <w:tcPr>
            <w:tcW w:type="dxa" w:w="2304"/>
            <w:shd w:val="clear" w:color="auto" w:fill="D9E1F2"/>
          </w:tcPr>
          <w:p>
            <w:pPr>
              <w:spacing w:after="0" w:line="240" w:lineRule="auto"/>
            </w:pPr>
            <w:r>
              <w:rPr>
                <w:b w:val="0"/>
                <w:i w:val="0"/>
                <w:sz w:val="15"/>
              </w:rPr>
              <w:t>Volume, share and loyalty measurement; incentive efficiency; recall reach; production, supply-chain and tariff planning; CPO program integrity</w:t>
            </w:r>
          </w:p>
        </w:tc>
        <w:tc>
          <w:tcPr>
            <w:tcW w:type="dxa" w:w="2880"/>
            <w:shd w:val="clear" w:color="auto" w:fill="D9E1F2"/>
          </w:tcPr>
          <w:p>
            <w:pPr>
              <w:spacing w:after="0" w:line="240" w:lineRule="auto"/>
            </w:pPr>
            <w:r>
              <w:rPr>
                <w:b w:val="0"/>
                <w:i w:val="0"/>
                <w:sz w:val="15"/>
              </w:rPr>
              <w:t xml:space="preserve">Polk market reporting ("gold standard"); audiences and closed-loop measurement; </w:t>
            </w:r>
            <w:r>
              <w:rPr>
                <w:b/>
                <w:i w:val="0"/>
                <w:sz w:val="15"/>
              </w:rPr>
              <w:t>Recall</w:t>
            </w:r>
            <w:r>
              <w:rPr>
                <w:b w:val="0"/>
                <w:i w:val="0"/>
                <w:sz w:val="15"/>
              </w:rPr>
              <w:t xml:space="preserve"> (13bn+ owner records); </w:t>
            </w:r>
            <w:r>
              <w:rPr>
                <w:b/>
                <w:i w:val="0"/>
                <w:sz w:val="15"/>
              </w:rPr>
              <w:t>Data Studio</w:t>
            </w:r>
            <w:r>
              <w:rPr>
                <w:b w:val="0"/>
                <w:i w:val="0"/>
                <w:sz w:val="15"/>
              </w:rPr>
              <w:t xml:space="preserve"> clean room + </w:t>
            </w:r>
            <w:r>
              <w:rPr>
                <w:b/>
                <w:i w:val="0"/>
                <w:sz w:val="15"/>
              </w:rPr>
              <w:t>Enterprise EyeQ</w:t>
            </w:r>
            <w:r>
              <w:rPr>
                <w:b w:val="0"/>
                <w:i w:val="0"/>
                <w:sz w:val="15"/>
              </w:rPr>
              <w:t xml:space="preserve"> incentives; </w:t>
            </w:r>
            <w:r>
              <w:rPr>
                <w:b/>
                <w:i w:val="0"/>
                <w:sz w:val="15"/>
              </w:rPr>
              <w:t>Planning Solutions</w:t>
            </w:r>
            <w:r>
              <w:rPr>
                <w:b w:val="0"/>
                <w:i w:val="0"/>
                <w:sz w:val="15"/>
              </w:rPr>
              <w:t xml:space="preserve"> forecasts (195 analysts, 145+ markets, 85k variants); </w:t>
            </w:r>
            <w:r>
              <w:rPr>
                <w:b/>
                <w:i w:val="0"/>
                <w:sz w:val="15"/>
              </w:rPr>
              <w:t>FAST</w:t>
            </w:r>
            <w:r>
              <w:rPr>
                <w:b w:val="0"/>
                <w:i w:val="0"/>
                <w:sz w:val="15"/>
              </w:rPr>
              <w:t xml:space="preserve">, </w:t>
            </w:r>
            <w:r>
              <w:rPr>
                <w:b/>
                <w:i w:val="0"/>
                <w:sz w:val="15"/>
              </w:rPr>
              <w:t>PIQ</w:t>
            </w:r>
            <w:r>
              <w:rPr>
                <w:b w:val="0"/>
                <w:i w:val="0"/>
                <w:sz w:val="15"/>
              </w:rPr>
              <w:t xml:space="preserve">; CARFAX in </w:t>
            </w:r>
            <w:r>
              <w:rPr>
                <w:b/>
                <w:i w:val="0"/>
                <w:sz w:val="15"/>
              </w:rPr>
              <w:t>36 OEM CPO programs</w:t>
            </w:r>
          </w:p>
        </w:tc>
        <w:tc>
          <w:tcPr>
            <w:tcW w:type="dxa" w:w="2736"/>
            <w:shd w:val="clear" w:color="auto" w:fill="D9E1F2"/>
          </w:tcPr>
          <w:p>
            <w:pPr>
              <w:spacing w:after="0" w:line="240" w:lineRule="auto"/>
            </w:pPr>
            <w:r>
              <w:rPr>
                <w:b w:val="0"/>
                <w:i w:val="0"/>
                <w:sz w:val="15"/>
              </w:rPr>
              <w:t>100% of the top-40 OEMs; 94% of the top-100 suppliers (98% of the top 40) [10A : 380]. Data Studio: +40% close rate, +10% sales, ~10% incentive reduction (case studies) [PRES s.50 / ID]. FAST: 90% workflow automation, "4x" forecast quality [ID : LaFeir]. OEM/supplier subscriptions grew in the hardest years [ID : LaFeir].</w:t>
            </w:r>
          </w:p>
        </w:tc>
      </w:tr>
      <w:tr>
        <w:trPr>
          <w:cantSplit/>
        </w:trPr>
        <w:tc>
          <w:tcPr>
            <w:tcW w:type="dxa" w:w="1872"/>
          </w:tcPr>
          <w:p>
            <w:pPr>
              <w:spacing w:after="0" w:line="240" w:lineRule="auto"/>
            </w:pPr>
            <w:r>
              <w:rPr>
                <w:b/>
                <w:i w:val="0"/>
                <w:sz w:val="15"/>
              </w:rPr>
              <w:t>Lenders, insurers and others</w:t>
            </w:r>
            <w:r>
              <w:rPr>
                <w:b w:val="0"/>
                <w:i w:val="0"/>
                <w:sz w:val="15"/>
              </w:rPr>
              <w:t xml:space="preserve"> (part of the ~18% bucket; CARFAX BIG; VIN Solutions; DMVs, tolling agencies, parts retailers)</w:t>
            </w:r>
          </w:p>
        </w:tc>
        <w:tc>
          <w:tcPr>
            <w:tcW w:type="dxa" w:w="2304"/>
          </w:tcPr>
          <w:p>
            <w:pPr>
              <w:spacing w:after="0" w:line="240" w:lineRule="auto"/>
            </w:pPr>
            <w:r>
              <w:rPr>
                <w:b w:val="0"/>
                <w:i w:val="0"/>
                <w:sz w:val="15"/>
              </w:rPr>
              <w:t>Collateral valuation and underwriting risk; claims and fraud; VIN decoding at scale; regulatory-grade data handling (DPPA, GLBA)</w:t>
            </w:r>
          </w:p>
        </w:tc>
        <w:tc>
          <w:tcPr>
            <w:tcW w:type="dxa" w:w="2880"/>
          </w:tcPr>
          <w:p>
            <w:pPr>
              <w:spacing w:after="0" w:line="240" w:lineRule="auto"/>
            </w:pPr>
            <w:r>
              <w:rPr>
                <w:b/>
                <w:i w:val="0"/>
                <w:sz w:val="15"/>
              </w:rPr>
              <w:t>CARFAX BIG</w:t>
            </w:r>
            <w:r>
              <w:rPr>
                <w:b w:val="0"/>
                <w:i w:val="0"/>
                <w:sz w:val="15"/>
              </w:rPr>
              <w:t xml:space="preserve"> (history-based valuations: 250m VH-based valuations), </w:t>
            </w:r>
            <w:r>
              <w:rPr>
                <w:b/>
                <w:i w:val="0"/>
                <w:sz w:val="15"/>
              </w:rPr>
              <w:t>VIN Solutions</w:t>
            </w:r>
            <w:r>
              <w:rPr>
                <w:b w:val="0"/>
                <w:i w:val="0"/>
                <w:sz w:val="15"/>
              </w:rPr>
              <w:t xml:space="preserve"> real-time APIs, registration-based data under the DPPA</w:t>
            </w:r>
          </w:p>
        </w:tc>
        <w:tc>
          <w:tcPr>
            <w:tcW w:type="dxa" w:w="2736"/>
          </w:tcPr>
          <w:p>
            <w:pPr>
              <w:spacing w:after="0" w:line="240" w:lineRule="auto"/>
            </w:pPr>
            <w:r>
              <w:rPr>
                <w:b w:val="0"/>
                <w:i w:val="0"/>
                <w:sz w:val="15"/>
              </w:rPr>
              <w:t xml:space="preserve">17 of the top-20 banks and insurers use the data [10A : 380]. "~50% loan default risk reduction" (management study) [PRES s.68]. Subscription growth includes "solid underwriting volumes", +$13m FY25 / +$17m FY24 </w:t>
            </w:r>
            <w:r>
              <w:rPr>
                <w:b/>
                <w:color w:val="2E548C"/>
                <w:sz w:val="12"/>
              </w:rPr>
              <w:t>[D 10A : 349]</w:t>
            </w:r>
            <w:r>
              <w:rPr>
                <w:b w:val="0"/>
                <w:i w:val="0"/>
                <w:sz w:val="15"/>
              </w:rPr>
              <w:t>.</w:t>
            </w:r>
          </w:p>
        </w:tc>
      </w:tr>
      <w:tr>
        <w:trPr>
          <w:cantSplit/>
        </w:trPr>
        <w:tc>
          <w:tcPr>
            <w:tcW w:type="dxa" w:w="1872"/>
            <w:shd w:val="clear" w:color="auto" w:fill="D9E1F2"/>
          </w:tcPr>
          <w:p>
            <w:pPr>
              <w:spacing w:after="0" w:line="240" w:lineRule="auto"/>
            </w:pPr>
            <w:r>
              <w:rPr>
                <w:b/>
                <w:i w:val="0"/>
                <w:sz w:val="15"/>
              </w:rPr>
              <w:t>Consumers</w:t>
            </w:r>
            <w:r>
              <w:rPr>
                <w:b w:val="0"/>
                <w:i w:val="0"/>
                <w:sz w:val="15"/>
              </w:rPr>
              <w:t xml:space="preserve"> (indirect: dealer-provided reports are free to the consumer; some direct report purchases; 53m Car Care users)</w:t>
            </w:r>
          </w:p>
        </w:tc>
        <w:tc>
          <w:tcPr>
            <w:tcW w:type="dxa" w:w="2304"/>
            <w:shd w:val="clear" w:color="auto" w:fill="D9E1F2"/>
          </w:tcPr>
          <w:p>
            <w:pPr>
              <w:spacing w:after="0" w:line="240" w:lineRule="auto"/>
            </w:pPr>
            <w:r>
              <w:rPr>
                <w:b w:val="0"/>
                <w:i w:val="0"/>
                <w:sz w:val="15"/>
              </w:rPr>
              <w:t>Avoiding a lemon at a ~$28k average used price; service reminders and cost estimates; resale value</w:t>
            </w:r>
          </w:p>
        </w:tc>
        <w:tc>
          <w:tcPr>
            <w:tcW w:type="dxa" w:w="2880"/>
            <w:shd w:val="clear" w:color="auto" w:fill="D9E1F2"/>
          </w:tcPr>
          <w:p>
            <w:pPr>
              <w:spacing w:after="0" w:line="240" w:lineRule="auto"/>
            </w:pPr>
            <w:r>
              <w:rPr>
                <w:b w:val="0"/>
                <w:i w:val="0"/>
                <w:sz w:val="15"/>
              </w:rPr>
              <w:t>The VHR (usually free via the dealer), Car Care app, valuations, Listings with history attached</w:t>
            </w:r>
          </w:p>
        </w:tc>
        <w:tc>
          <w:tcPr>
            <w:tcW w:type="dxa" w:w="2736"/>
            <w:shd w:val="clear" w:color="auto" w:fill="D9E1F2"/>
          </w:tcPr>
          <w:p>
            <w:pPr>
              <w:spacing w:after="0" w:line="240" w:lineRule="auto"/>
            </w:pPr>
            <w:r>
              <w:rPr>
                <w:b w:val="0"/>
                <w:i w:val="0"/>
                <w:sz w:val="15"/>
              </w:rPr>
              <w:t>96% awareness, 92% VHR CSAT [10A : 263; PRES s.68]. "The typical scenario is the dealer makes it available at no charge" [ID : Fredericks]. 23m monthly US unique visitors [10A : 380].</w:t>
            </w:r>
          </w:p>
        </w:tc>
      </w:tr>
    </w:tbl>
    <w:p>
      <w:pPr>
        <w:spacing w:after="120"/>
      </w:pPr>
      <w:r>
        <w:rPr>
          <w:b w:val="0"/>
          <w:i/>
          <w:color w:val="595959"/>
          <w:sz w:val="15"/>
        </w:rPr>
        <w:t xml:space="preserve">Source: analysis/D6_value_prop.md §1. ROI, turn and lift figures are management or commissioned studies </w:t>
      </w:r>
      <w:r>
        <w:rPr>
          <w:b/>
          <w:color w:val="2E548C"/>
          <w:sz w:val="12"/>
        </w:rPr>
        <w:t>[IR]</w:t>
      </w:r>
      <w:r>
        <w:rPr>
          <w:b w:val="0"/>
          <w:i/>
          <w:color w:val="595959"/>
          <w:sz w:val="15"/>
        </w:rPr>
        <w:t>/</w:t>
      </w:r>
      <w:r>
        <w:rPr>
          <w:b/>
          <w:color w:val="2E548C"/>
          <w:sz w:val="12"/>
        </w:rPr>
        <w:t>[X]</w:t>
      </w:r>
      <w:r>
        <w:rPr>
          <w:b w:val="0"/>
          <w:i/>
          <w:color w:val="595959"/>
          <w:sz w:val="15"/>
        </w:rPr>
        <w:t>, not audited.</w:t>
      </w:r>
    </w:p>
    <w:tbl>
      <w:tblPr>
        <w:tblW w:type="auto" w:w="0"/>
        <w:jc w:val="center"/>
        <w:tblLook w:firstColumn="1" w:firstRow="1" w:lastColumn="0" w:lastRow="0" w:noHBand="0" w:noVBand="1" w:val="04A0"/>
        <w:tblBorders>
          <w:top w:val="nil" w:sz="0" w:space="0" w:color="auto"/>
          <w:left w:val="single" w:sz="24" w:space="0" w:color="1F3864"/>
          <w:bottom w:val="nil" w:sz="0" w:space="0" w:color="auto"/>
          <w:right w:val="nil" w:sz="0" w:space="0" w:color="auto"/>
          <w:insideH w:val="nil" w:sz="0" w:space="0" w:color="auto"/>
          <w:insideV w:val="nil" w:sz="0" w:space="0" w:color="auto"/>
        </w:tblBorders>
        <w:tblCellMar>
          <w:top w:w="90" w:type="dxa"/>
          <w:left w:w="160" w:type="dxa"/>
          <w:bottom w:w="90" w:type="dxa"/>
          <w:right w:w="120" w:type="dxa"/>
        </w:tblCellMar>
      </w:tblPr>
      <w:tblGrid>
        <w:gridCol w:w="8928"/>
      </w:tblGrid>
      <w:tr>
        <w:trPr>
          <w:cantSplit/>
        </w:trPr>
        <w:tc>
          <w:tcPr>
            <w:tcW w:type="dxa" w:w="8928"/>
            <w:shd w:val="clear" w:color="auto" w:fill="EEF2F9"/>
          </w:tcPr>
          <w:p>
            <w:pPr>
              <w:spacing w:after="60"/>
            </w:pPr>
            <w:r>
              <w:rPr>
                <w:i/>
                <w:color w:val="262626"/>
                <w:sz w:val="19"/>
              </w:rPr>
              <w:t>“Most consumers, though, the typical scenario is the dealer makes it available at no charge online and in their showroom because it builds that confidence.”</w:t>
            </w:r>
          </w:p>
          <w:p>
            <w:pPr>
              <w:spacing w:after="0"/>
            </w:pPr>
            <w:r>
              <w:rPr>
                <w:b w:val="0"/>
                <w:i w:val="0"/>
                <w:color w:val="1F3864"/>
                <w:sz w:val="15"/>
              </w:rPr>
              <w:t xml:space="preserve">— Scott Fredericks (President, CARFAX), Investor Day 2026, 2026-05-12 · Quartr t=9483.13s </w:t>
            </w:r>
            <w:r>
              <w:rPr>
                <w:b/>
                <w:color w:val="2E548C"/>
                <w:sz w:val="12"/>
              </w:rPr>
              <w:t>[IR]</w:t>
            </w:r>
          </w:p>
        </w:tc>
      </w:tr>
    </w:tbl>
    <w:p>
      <w:pPr>
        <w:spacing w:after="40"/>
      </w:pPr>
    </w:p>
    <w:tbl>
      <w:tblPr>
        <w:tblW w:type="auto" w:w="0"/>
        <w:jc w:val="center"/>
        <w:tblLook w:firstColumn="1" w:firstRow="1" w:lastColumn="0" w:lastRow="0" w:noHBand="0" w:noVBand="1" w:val="04A0"/>
        <w:tblBorders>
          <w:top w:val="nil" w:sz="0" w:space="0" w:color="auto"/>
          <w:left w:val="single" w:sz="24" w:space="0" w:color="1F3864"/>
          <w:bottom w:val="nil" w:sz="0" w:space="0" w:color="auto"/>
          <w:right w:val="nil" w:sz="0" w:space="0" w:color="auto"/>
          <w:insideH w:val="nil" w:sz="0" w:space="0" w:color="auto"/>
          <w:insideV w:val="nil" w:sz="0" w:space="0" w:color="auto"/>
        </w:tblBorders>
        <w:tblCellMar>
          <w:top w:w="90" w:type="dxa"/>
          <w:left w:w="160" w:type="dxa"/>
          <w:bottom w:w="90" w:type="dxa"/>
          <w:right w:w="120" w:type="dxa"/>
        </w:tblCellMar>
      </w:tblPr>
      <w:tblGrid>
        <w:gridCol w:w="8928"/>
      </w:tblGrid>
      <w:tr>
        <w:trPr>
          <w:cantSplit/>
        </w:trPr>
        <w:tc>
          <w:tcPr>
            <w:tcW w:type="dxa" w:w="8928"/>
            <w:shd w:val="clear" w:color="auto" w:fill="EEF2F9"/>
          </w:tcPr>
          <w:p>
            <w:pPr>
              <w:spacing w:after="60"/>
            </w:pPr>
            <w:r>
              <w:rPr>
                <w:i/>
                <w:color w:val="262626"/>
                <w:sz w:val="19"/>
              </w:rPr>
              <w:t>“What we're able to do is by really creating the scores on who's going to buy, when they're going to buy, what they're going to buy, what incentives they need to see in order to buy, we're able to help that OEM spend less and get more out of those incentive dollars.”</w:t>
            </w:r>
          </w:p>
          <w:p>
            <w:pPr>
              <w:spacing w:after="0"/>
            </w:pPr>
            <w:r>
              <w:rPr>
                <w:b w:val="0"/>
                <w:i w:val="0"/>
                <w:color w:val="1F3864"/>
                <w:sz w:val="15"/>
              </w:rPr>
              <w:t xml:space="preserve">— Bill Eager (CEO), Goldman Sachs Communacopia + Technology Conference 2026, 2026-09-10 · Quartr t=1545.54s </w:t>
            </w:r>
            <w:r>
              <w:rPr>
                <w:b/>
                <w:color w:val="2E548C"/>
                <w:sz w:val="12"/>
              </w:rPr>
              <w:t>[IR]</w:t>
            </w:r>
          </w:p>
        </w:tc>
      </w:tr>
    </w:tbl>
    <w:p>
      <w:pPr>
        <w:spacing w:after="40"/>
      </w:pPr>
    </w:p>
    <w:p>
      <w:pPr>
        <w:pStyle w:val="Heading2"/>
      </w:pPr>
      <w:r>
        <w:t>6.1 Where the advantage comes from</w:t>
      </w:r>
    </w:p>
    <w:p>
      <w:pPr>
        <w:keepNext/>
        <w:spacing w:before="80" w:after="40"/>
      </w:pPr>
      <w:r>
        <w:rPr>
          <w:b/>
          <w:i w:val="0"/>
          <w:color w:val="1F3864"/>
          <w:sz w:val="17"/>
        </w:rPr>
        <w:t>Exhibit 6.2 — Sources of competitive advantage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160"/>
        <w:gridCol w:w="3744"/>
        <w:gridCol w:w="1152"/>
        <w:gridCol w:w="2736"/>
      </w:tblGrid>
      <w:tr>
        <w:trPr>
          <w:cantSplit/>
          <w:tblHeader/>
        </w:trPr>
        <w:tc>
          <w:tcPr>
            <w:tcW w:type="dxa" w:w="2160"/>
            <w:shd w:val="clear" w:color="auto" w:fill="1F3864"/>
          </w:tcPr>
          <w:p>
            <w:pPr>
              <w:spacing w:after="0" w:line="240" w:lineRule="auto"/>
            </w:pPr>
            <w:r>
              <w:rPr>
                <w:b/>
                <w:i w:val="0"/>
                <w:color w:val="FFFFFF"/>
                <w:sz w:val="15"/>
              </w:rPr>
              <w:t>Source of advantage</w:t>
            </w:r>
          </w:p>
        </w:tc>
        <w:tc>
          <w:tcPr>
            <w:tcW w:type="dxa" w:w="3744"/>
            <w:shd w:val="clear" w:color="auto" w:fill="1F3864"/>
          </w:tcPr>
          <w:p>
            <w:pPr>
              <w:spacing w:after="0" w:line="240" w:lineRule="auto"/>
            </w:pPr>
            <w:r>
              <w:rPr>
                <w:b/>
                <w:i w:val="0"/>
                <w:color w:val="FFFFFF"/>
                <w:sz w:val="15"/>
              </w:rPr>
              <w:t>Evidence</w:t>
            </w:r>
          </w:p>
        </w:tc>
        <w:tc>
          <w:tcPr>
            <w:tcW w:type="dxa" w:w="1152"/>
            <w:shd w:val="clear" w:color="auto" w:fill="1F3864"/>
          </w:tcPr>
          <w:p>
            <w:pPr>
              <w:spacing w:after="0" w:line="240" w:lineRule="auto"/>
            </w:pPr>
            <w:r>
              <w:rPr>
                <w:b/>
                <w:i w:val="0"/>
                <w:color w:val="FFFFFF"/>
                <w:sz w:val="15"/>
              </w:rPr>
              <w:t>Tier</w:t>
            </w:r>
          </w:p>
        </w:tc>
        <w:tc>
          <w:tcPr>
            <w:tcW w:type="dxa" w:w="2736"/>
            <w:shd w:val="clear" w:color="auto" w:fill="1F3864"/>
          </w:tcPr>
          <w:p>
            <w:pPr>
              <w:spacing w:after="0" w:line="240" w:lineRule="auto"/>
            </w:pPr>
            <w:r>
              <w:rPr>
                <w:b/>
                <w:i w:val="0"/>
                <w:color w:val="FFFFFF"/>
                <w:sz w:val="15"/>
              </w:rPr>
              <w:t>Size / durability judgment</w:t>
            </w:r>
          </w:p>
        </w:tc>
      </w:tr>
      <w:tr>
        <w:trPr>
          <w:cantSplit/>
        </w:trPr>
        <w:tc>
          <w:tcPr>
            <w:tcW w:type="dxa" w:w="2160"/>
          </w:tcPr>
          <w:p>
            <w:pPr>
              <w:spacing w:after="0" w:line="240" w:lineRule="auto"/>
            </w:pPr>
            <w:r>
              <w:rPr>
                <w:b/>
                <w:i w:val="0"/>
                <w:sz w:val="15"/>
              </w:rPr>
              <w:t>Data scale and age</w:t>
            </w:r>
            <w:r>
              <w:rPr>
                <w:b w:val="0"/>
                <w:i w:val="0"/>
                <w:sz w:val="15"/>
              </w:rPr>
              <w:t xml:space="preserve"> (see D1 §2)</w:t>
            </w:r>
          </w:p>
        </w:tc>
        <w:tc>
          <w:tcPr>
            <w:tcW w:type="dxa" w:w="3744"/>
          </w:tcPr>
          <w:p>
            <w:pPr>
              <w:spacing w:after="0" w:line="240" w:lineRule="auto"/>
            </w:pPr>
            <w:r>
              <w:rPr>
                <w:b w:val="0"/>
                <w:i w:val="0"/>
                <w:sz w:val="15"/>
              </w:rPr>
              <w:t>177k sources, 38bn records, ~6m added a day</w:t>
            </w:r>
          </w:p>
        </w:tc>
        <w:tc>
          <w:tcPr>
            <w:tcW w:type="dxa" w:w="1152"/>
          </w:tcPr>
          <w:p>
            <w:pPr>
              <w:spacing w:after="0" w:line="240" w:lineRule="auto"/>
            </w:pPr>
            <w:r>
              <w:rPr>
                <w:b/>
                <w:color w:val="2E548C"/>
                <w:sz w:val="12"/>
              </w:rPr>
              <w:t>[D]</w:t>
            </w:r>
          </w:p>
        </w:tc>
        <w:tc>
          <w:tcPr>
            <w:tcW w:type="dxa" w:w="2736"/>
          </w:tcPr>
          <w:p>
            <w:pPr>
              <w:spacing w:after="0" w:line="240" w:lineRule="auto"/>
            </w:pPr>
            <w:r>
              <w:rPr>
                <w:b w:val="0"/>
                <w:i w:val="0"/>
                <w:sz w:val="15"/>
              </w:rPr>
              <w:t xml:space="preserve">Large; widening at ~9%/yr in records </w:t>
            </w:r>
            <w:r>
              <w:rPr>
                <w:b/>
                <w:color w:val="2E548C"/>
                <w:sz w:val="12"/>
              </w:rPr>
              <w:t>[C, D1]</w:t>
            </w:r>
          </w:p>
        </w:tc>
      </w:tr>
      <w:tr>
        <w:trPr>
          <w:cantSplit/>
        </w:trPr>
        <w:tc>
          <w:tcPr>
            <w:tcW w:type="dxa" w:w="2160"/>
            <w:shd w:val="clear" w:color="auto" w:fill="D9E1F2"/>
          </w:tcPr>
          <w:p>
            <w:pPr>
              <w:spacing w:after="0" w:line="240" w:lineRule="auto"/>
            </w:pPr>
            <w:r>
              <w:rPr>
                <w:b/>
                <w:i w:val="0"/>
                <w:sz w:val="15"/>
              </w:rPr>
              <w:t>Brand-driven demand</w:t>
            </w:r>
          </w:p>
        </w:tc>
        <w:tc>
          <w:tcPr>
            <w:tcW w:type="dxa" w:w="3744"/>
            <w:shd w:val="clear" w:color="auto" w:fill="D9E1F2"/>
          </w:tcPr>
          <w:p>
            <w:pPr>
              <w:spacing w:after="0" w:line="240" w:lineRule="auto"/>
            </w:pPr>
            <w:r>
              <w:rPr>
                <w:b w:val="0"/>
                <w:i w:val="0"/>
                <w:sz w:val="15"/>
              </w:rPr>
              <w:t>96% awareness; $1.5bn media since 2000; ad expense $176m FY25</w:t>
            </w:r>
          </w:p>
        </w:tc>
        <w:tc>
          <w:tcPr>
            <w:tcW w:type="dxa" w:w="1152"/>
            <w:shd w:val="clear" w:color="auto" w:fill="D9E1F2"/>
          </w:tcPr>
          <w:p>
            <w:pPr>
              <w:spacing w:after="0" w:line="240" w:lineRule="auto"/>
            </w:pPr>
            <w:r>
              <w:rPr>
                <w:b/>
                <w:color w:val="2E548C"/>
                <w:sz w:val="12"/>
              </w:rPr>
              <w:t>[D]</w:t>
            </w:r>
            <w:r>
              <w:rPr>
                <w:b w:val="0"/>
                <w:i w:val="0"/>
                <w:sz w:val="15"/>
              </w:rPr>
              <w:t xml:space="preserve"> / </w:t>
            </w:r>
            <w:r>
              <w:rPr>
                <w:b/>
                <w:color w:val="2E548C"/>
                <w:sz w:val="12"/>
              </w:rPr>
              <w:t>[IR]</w:t>
            </w:r>
          </w:p>
        </w:tc>
        <w:tc>
          <w:tcPr>
            <w:tcW w:type="dxa" w:w="2736"/>
            <w:shd w:val="clear" w:color="auto" w:fill="D9E1F2"/>
          </w:tcPr>
          <w:p>
            <w:pPr>
              <w:spacing w:after="0" w:line="240" w:lineRule="auto"/>
            </w:pPr>
            <w:r>
              <w:rPr>
                <w:b w:val="0"/>
                <w:i w:val="0"/>
                <w:sz w:val="15"/>
              </w:rPr>
              <w:t xml:space="preserve">Large but costly. Ad spend grew faster than revenue FY23→25 (+31% vs +18%) </w:t>
            </w:r>
            <w:r>
              <w:rPr>
                <w:b/>
                <w:color w:val="2E548C"/>
                <w:sz w:val="12"/>
              </w:rPr>
              <w:t>[C]</w:t>
            </w:r>
          </w:p>
        </w:tc>
      </w:tr>
      <w:tr>
        <w:trPr>
          <w:cantSplit/>
        </w:trPr>
        <w:tc>
          <w:tcPr>
            <w:tcW w:type="dxa" w:w="2160"/>
          </w:tcPr>
          <w:p>
            <w:pPr>
              <w:spacing w:after="0" w:line="240" w:lineRule="auto"/>
            </w:pPr>
            <w:r>
              <w:rPr>
                <w:b/>
                <w:i w:val="0"/>
                <w:sz w:val="15"/>
              </w:rPr>
              <w:t>Embedded distribution</w:t>
            </w:r>
          </w:p>
        </w:tc>
        <w:tc>
          <w:tcPr>
            <w:tcW w:type="dxa" w:w="3744"/>
          </w:tcPr>
          <w:p>
            <w:pPr>
              <w:spacing w:after="0" w:line="240" w:lineRule="auto"/>
            </w:pPr>
            <w:r>
              <w:rPr>
                <w:b w:val="0"/>
                <w:i w:val="0"/>
                <w:sz w:val="15"/>
              </w:rPr>
              <w:t>95 dealer integrations; 17 of the top-20 FIs; 36 CPO programs; Market Scan in 10,500 dealers</w:t>
            </w:r>
          </w:p>
        </w:tc>
        <w:tc>
          <w:tcPr>
            <w:tcW w:type="dxa" w:w="1152"/>
          </w:tcPr>
          <w:p>
            <w:pPr>
              <w:spacing w:after="0" w:line="240" w:lineRule="auto"/>
            </w:pPr>
            <w:r>
              <w:rPr>
                <w:b/>
                <w:color w:val="2E548C"/>
                <w:sz w:val="12"/>
              </w:rPr>
              <w:t>[D-pres]</w:t>
            </w:r>
            <w:r>
              <w:rPr>
                <w:b w:val="0"/>
                <w:i w:val="0"/>
                <w:sz w:val="15"/>
              </w:rPr>
              <w:t xml:space="preserve"> / </w:t>
            </w:r>
            <w:r>
              <w:rPr>
                <w:b/>
                <w:color w:val="2E548C"/>
                <w:sz w:val="12"/>
              </w:rPr>
              <w:t>[D]</w:t>
            </w:r>
          </w:p>
        </w:tc>
        <w:tc>
          <w:tcPr>
            <w:tcW w:type="dxa" w:w="2736"/>
          </w:tcPr>
          <w:p>
            <w:pPr>
              <w:spacing w:after="0" w:line="240" w:lineRule="auto"/>
            </w:pPr>
            <w:r>
              <w:rPr>
                <w:b w:val="0"/>
                <w:i w:val="0"/>
                <w:sz w:val="15"/>
              </w:rPr>
              <w:t>Medium–large. Switching means unpicking workflows: "We're so embedded in these systems that the switching cost is just too high." [ID : Morehouse]</w:t>
            </w:r>
          </w:p>
        </w:tc>
      </w:tr>
      <w:tr>
        <w:trPr>
          <w:cantSplit/>
        </w:trPr>
        <w:tc>
          <w:tcPr>
            <w:tcW w:type="dxa" w:w="2160"/>
            <w:shd w:val="clear" w:color="auto" w:fill="D9E1F2"/>
          </w:tcPr>
          <w:p>
            <w:pPr>
              <w:spacing w:after="0" w:line="240" w:lineRule="auto"/>
            </w:pPr>
            <w:r>
              <w:rPr>
                <w:b/>
                <w:i w:val="0"/>
                <w:sz w:val="15"/>
              </w:rPr>
              <w:t>Profitability as proof</w:t>
            </w:r>
          </w:p>
        </w:tc>
        <w:tc>
          <w:tcPr>
            <w:tcW w:type="dxa" w:w="3744"/>
            <w:shd w:val="clear" w:color="auto" w:fill="D9E1F2"/>
          </w:tcPr>
          <w:p>
            <w:pPr>
              <w:spacing w:after="0" w:line="240" w:lineRule="auto"/>
            </w:pPr>
            <w:r>
              <w:rPr>
                <w:b w:val="0"/>
                <w:i w:val="0"/>
                <w:sz w:val="15"/>
              </w:rPr>
              <w:t xml:space="preserve">FY25 Adj. EBITDA margin 40.6% </w:t>
            </w:r>
            <w:r>
              <w:rPr>
                <w:b/>
                <w:color w:val="2E548C"/>
                <w:sz w:val="12"/>
              </w:rPr>
              <w:t>[IR GS]</w:t>
            </w:r>
            <w:r>
              <w:rPr>
                <w:b w:val="0"/>
                <w:i w:val="0"/>
                <w:sz w:val="15"/>
              </w:rPr>
              <w:t xml:space="preserve">. CARFAX segment OP margin 23% → 25% → 28% (FY23→25, after amortization) </w:t>
            </w:r>
            <w:r>
              <w:rPr>
                <w:b/>
                <w:color w:val="2E548C"/>
                <w:sz w:val="12"/>
              </w:rPr>
              <w:t>[D 10A : 355]</w:t>
            </w:r>
            <w:r>
              <w:rPr>
                <w:b w:val="0"/>
                <w:i w:val="0"/>
                <w:sz w:val="15"/>
              </w:rPr>
              <w:t>.</w:t>
            </w:r>
          </w:p>
        </w:tc>
        <w:tc>
          <w:tcPr>
            <w:tcW w:type="dxa" w:w="1152"/>
            <w:shd w:val="clear" w:color="auto" w:fill="D9E1F2"/>
          </w:tcPr>
          <w:p>
            <w:pPr>
              <w:spacing w:after="0" w:line="240" w:lineRule="auto"/>
            </w:pPr>
            <w:r>
              <w:rPr>
                <w:b/>
                <w:color w:val="2E548C"/>
                <w:sz w:val="12"/>
              </w:rPr>
              <w:t>[D]</w:t>
            </w:r>
            <w:r>
              <w:rPr>
                <w:b w:val="0"/>
                <w:i w:val="0"/>
                <w:sz w:val="15"/>
              </w:rPr>
              <w:t xml:space="preserve"> / </w:t>
            </w:r>
            <w:r>
              <w:rPr>
                <w:b/>
                <w:color w:val="2E548C"/>
                <w:sz w:val="12"/>
              </w:rPr>
              <w:t>[IR]</w:t>
            </w:r>
          </w:p>
        </w:tc>
        <w:tc>
          <w:tcPr>
            <w:tcW w:type="dxa" w:w="2736"/>
            <w:shd w:val="clear" w:color="auto" w:fill="D9E1F2"/>
          </w:tcPr>
          <w:p>
            <w:pPr>
              <w:spacing w:after="0" w:line="240" w:lineRule="auto"/>
            </w:pPr>
            <w:r>
              <w:rPr>
                <w:b/>
                <w:color w:val="2E548C"/>
                <w:sz w:val="12"/>
              </w:rPr>
              <w:t>[C]</w:t>
            </w:r>
            <w:r>
              <w:rPr>
                <w:b w:val="0"/>
                <w:i w:val="0"/>
                <w:sz w:val="15"/>
              </w:rPr>
              <w:t xml:space="preserve"> A rising CARFAX margin alongside ~10% growth is consistent with pricing power. B2B is not separately evidenced.</w:t>
            </w:r>
          </w:p>
        </w:tc>
      </w:tr>
      <w:tr>
        <w:trPr>
          <w:cantSplit/>
        </w:trPr>
        <w:tc>
          <w:tcPr>
            <w:tcW w:type="dxa" w:w="2160"/>
          </w:tcPr>
          <w:p>
            <w:pPr>
              <w:spacing w:after="0" w:line="240" w:lineRule="auto"/>
            </w:pPr>
            <w:r>
              <w:rPr>
                <w:b/>
                <w:i w:val="0"/>
                <w:sz w:val="15"/>
              </w:rPr>
              <w:t>Cross-sell headroom</w:t>
            </w:r>
          </w:p>
        </w:tc>
        <w:tc>
          <w:tcPr>
            <w:tcW w:type="dxa" w:w="3744"/>
          </w:tcPr>
          <w:p>
            <w:pPr>
              <w:spacing w:after="0" w:line="240" w:lineRule="auto"/>
            </w:pPr>
            <w:r>
              <w:rPr>
                <w:b w:val="0"/>
                <w:i w:val="0"/>
                <w:sz w:val="15"/>
              </w:rPr>
              <w:t xml:space="preserve">1.5–2 products per dealer vs a stated potential of "three or four or five"; &lt;50% of franchise Advantage dealers use Service Loyalty; B2B "&lt;50%" penetrated at the top-40 OEMs </w:t>
            </w:r>
            <w:r>
              <w:rPr>
                <w:b/>
                <w:color w:val="2E548C"/>
                <w:sz w:val="12"/>
              </w:rPr>
              <w:t>[IR]</w:t>
            </w:r>
          </w:p>
        </w:tc>
        <w:tc>
          <w:tcPr>
            <w:tcW w:type="dxa" w:w="1152"/>
          </w:tcPr>
          <w:p>
            <w:pPr>
              <w:spacing w:after="0" w:line="240" w:lineRule="auto"/>
            </w:pPr>
            <w:r>
              <w:rPr>
                <w:b/>
                <w:color w:val="2E548C"/>
                <w:sz w:val="12"/>
              </w:rPr>
              <w:t>[IR]</w:t>
            </w:r>
          </w:p>
        </w:tc>
        <w:tc>
          <w:tcPr>
            <w:tcW w:type="dxa" w:w="2736"/>
          </w:tcPr>
          <w:p>
            <w:pPr>
              <w:spacing w:after="0" w:line="240" w:lineRule="auto"/>
            </w:pPr>
            <w:r>
              <w:rPr>
                <w:b w:val="0"/>
                <w:i w:val="0"/>
                <w:sz w:val="15"/>
              </w:rPr>
              <w:t xml:space="preserve">This is the growth engine behind core 5–7%. </w:t>
            </w:r>
            <w:r>
              <w:rPr>
                <w:b/>
                <w:i w:val="0"/>
                <w:sz w:val="15"/>
              </w:rPr>
              <w:t>Inference:</w:t>
            </w:r>
            <w:r>
              <w:rPr>
                <w:b w:val="0"/>
                <w:i w:val="0"/>
                <w:sz w:val="15"/>
              </w:rPr>
              <w:t xml:space="preserve"> it is a lever, not a moat. The 2026 bundle failure shows the lever has friction.</w:t>
            </w:r>
          </w:p>
        </w:tc>
      </w:tr>
    </w:tbl>
    <w:p>
      <w:pPr>
        <w:spacing w:after="120"/>
      </w:pPr>
      <w:r>
        <w:rPr>
          <w:b w:val="0"/>
          <w:i/>
          <w:color w:val="595959"/>
          <w:sz w:val="15"/>
        </w:rPr>
        <w:t>Source: analysis/D6_value_prop.md §2.</w:t>
      </w:r>
    </w:p>
    <w:p>
      <w:r>
        <w:rPr>
          <w:b w:val="0"/>
          <w:i w:val="0"/>
        </w:rPr>
        <w:t xml:space="preserve">Independent validation of the value claims is missing: </w:t>
      </w:r>
      <w:r>
        <w:rPr>
          <w:b/>
          <w:color w:val="E36C09"/>
        </w:rPr>
        <w:t>[TO COLLECT #33: dealer survey or channel checks on CARFAX ROI, willingness to pay and AutoCheck substitution]</w:t>
      </w:r>
      <w:r>
        <w:rPr>
          <w:b w:val="0"/>
          <w:i w:val="0"/>
        </w:rPr>
        <w:t xml:space="preserve">; </w:t>
      </w:r>
      <w:r>
        <w:rPr>
          <w:b/>
          <w:color w:val="E36C09"/>
        </w:rPr>
        <w:t>[TO COLLECT #34: OEM / supplier interviews on Polk vs Experian/GlobalData switching]</w:t>
      </w:r>
      <w:r>
        <w:rPr>
          <w:b w:val="0"/>
          <w:i w:val="0"/>
        </w:rPr>
        <w:t>.</w:t>
      </w:r>
    </w:p>
    <w:p>
      <w:pPr>
        <w:pStyle w:val="Heading1"/>
        <w:pageBreakBefore/>
      </w:pPr>
      <w:r>
        <w:t>7 Unit economics</w:t>
      </w:r>
    </w:p>
    <w:p>
      <w:r>
        <w:rPr>
          <w:b/>
          <w:i w:val="0"/>
        </w:rPr>
        <w:t>Ground rule.</w:t>
      </w:r>
      <w:r>
        <w:rPr>
          <w:b w:val="0"/>
          <w:i w:val="0"/>
        </w:rPr>
        <w:t xml:space="preserve"> MBGL discloses no price per rooftop, ARPU, churn, NRR, report volumes, brand-level P&amp;L or country P&amp;L </w:t>
      </w:r>
      <w:r>
        <w:rPr>
          <w:b/>
          <w:color w:val="2E548C"/>
          <w:sz w:val="16"/>
        </w:rPr>
        <w:t>[D]</w:t>
      </w:r>
      <w:r>
        <w:rPr>
          <w:b w:val="0"/>
          <w:i w:val="0"/>
        </w:rPr>
        <w:t xml:space="preserve"> (segments_kpi_NOTES). Every per-unit number below is a printed KPI or a </w:t>
      </w:r>
      <w:r>
        <w:rPr>
          <w:b/>
          <w:color w:val="2E548C"/>
          <w:sz w:val="16"/>
        </w:rPr>
        <w:t>[C]</w:t>
      </w:r>
      <w:r>
        <w:rPr>
          <w:b w:val="0"/>
          <w:i w:val="0"/>
        </w:rPr>
        <w:t xml:space="preserve"> ratio of two printed numbers whose denominators are known to be imperfect. The economic units are the CARFAX dealer-rooftop subscription and the B2B OEM/enterprise contract.</w:t>
      </w:r>
    </w:p>
    <w:p>
      <w:pPr>
        <w:pStyle w:val="Heading2"/>
      </w:pPr>
      <w:r>
        <w:t>7.1 CARFAX dealer economics</w:t>
      </w:r>
    </w:p>
    <w:p>
      <w:pPr>
        <w:keepNext/>
        <w:spacing w:before="80" w:after="40"/>
      </w:pPr>
      <w:r>
        <w:rPr>
          <w:b/>
          <w:i w:val="0"/>
          <w:color w:val="1F3864"/>
          <w:sz w:val="17"/>
        </w:rPr>
        <w:t xml:space="preserve">Exhibit 7.1 — Computed per-dealer ratios, FY25 </w:t>
      </w:r>
      <w:r>
        <w:rPr>
          <w:b/>
          <w:color w:val="2E548C"/>
          <w:sz w:val="14"/>
        </w:rPr>
        <w:t>[C]</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592"/>
        <w:gridCol w:w="2015"/>
        <w:gridCol w:w="2015"/>
        <w:gridCol w:w="3168"/>
      </w:tblGrid>
      <w:tr>
        <w:trPr>
          <w:cantSplit/>
          <w:tblHeader/>
        </w:trPr>
        <w:tc>
          <w:tcPr>
            <w:tcW w:type="dxa" w:w="2592"/>
            <w:shd w:val="clear" w:color="auto" w:fill="1F3864"/>
          </w:tcPr>
          <w:p>
            <w:pPr>
              <w:spacing w:after="0" w:line="240" w:lineRule="auto"/>
            </w:pPr>
            <w:r>
              <w:rPr>
                <w:b/>
                <w:i w:val="0"/>
                <w:color w:val="FFFFFF"/>
                <w:sz w:val="15"/>
              </w:rPr>
              <w:t>Ratio</w:t>
            </w:r>
          </w:p>
        </w:tc>
        <w:tc>
          <w:tcPr>
            <w:tcW w:type="dxa" w:w="2016"/>
            <w:shd w:val="clear" w:color="auto" w:fill="1F3864"/>
          </w:tcPr>
          <w:p>
            <w:pPr>
              <w:spacing w:after="0" w:line="240" w:lineRule="auto"/>
            </w:pPr>
            <w:r>
              <w:rPr>
                <w:b/>
                <w:i w:val="0"/>
                <w:color w:val="FFFFFF"/>
                <w:sz w:val="15"/>
              </w:rPr>
              <w:t>Value</w:t>
            </w:r>
          </w:p>
        </w:tc>
        <w:tc>
          <w:tcPr>
            <w:tcW w:type="dxa" w:w="2016"/>
            <w:shd w:val="clear" w:color="auto" w:fill="1F3864"/>
          </w:tcPr>
          <w:p>
            <w:pPr>
              <w:spacing w:after="0" w:line="240" w:lineRule="auto"/>
            </w:pPr>
            <w:r>
              <w:rPr>
                <w:b/>
                <w:i w:val="0"/>
                <w:color w:val="FFFFFF"/>
                <w:sz w:val="15"/>
              </w:rPr>
              <w:t>Method</w:t>
            </w:r>
          </w:p>
        </w:tc>
        <w:tc>
          <w:tcPr>
            <w:tcW w:type="dxa" w:w="3168"/>
            <w:shd w:val="clear" w:color="auto" w:fill="1F3864"/>
          </w:tcPr>
          <w:p>
            <w:pPr>
              <w:spacing w:after="0" w:line="240" w:lineRule="auto"/>
            </w:pPr>
            <w:r>
              <w:rPr>
                <w:b/>
                <w:i w:val="0"/>
                <w:color w:val="FFFFFF"/>
                <w:sz w:val="15"/>
              </w:rPr>
              <w:t>Caveat</w:t>
            </w:r>
          </w:p>
        </w:tc>
      </w:tr>
      <w:tr>
        <w:trPr>
          <w:cantSplit/>
        </w:trPr>
        <w:tc>
          <w:tcPr>
            <w:tcW w:type="dxa" w:w="2592"/>
          </w:tcPr>
          <w:p>
            <w:pPr>
              <w:spacing w:after="0" w:line="240" w:lineRule="auto"/>
            </w:pPr>
            <w:r>
              <w:rPr>
                <w:b w:val="0"/>
                <w:i w:val="0"/>
                <w:sz w:val="15"/>
              </w:rPr>
              <w:t>CARFAX segment revenue ÷ dealer customers</w:t>
            </w:r>
          </w:p>
        </w:tc>
        <w:tc>
          <w:tcPr>
            <w:tcW w:type="dxa" w:w="2016"/>
          </w:tcPr>
          <w:p>
            <w:pPr>
              <w:spacing w:after="0" w:line="240" w:lineRule="auto"/>
            </w:pPr>
            <w:r>
              <w:rPr>
                <w:b/>
                <w:i w:val="0"/>
                <w:sz w:val="15"/>
              </w:rPr>
              <w:t>≤$28.6k/yr (~$2.4k/mo)</w:t>
            </w:r>
            <w:r>
              <w:rPr>
                <w:b w:val="0"/>
                <w:i w:val="0"/>
                <w:sz w:val="15"/>
              </w:rPr>
              <w:t xml:space="preserve"> </w:t>
            </w:r>
            <w:r>
              <w:rPr>
                <w:b/>
                <w:color w:val="2E548C"/>
                <w:sz w:val="12"/>
              </w:rPr>
              <w:t>[C]</w:t>
            </w:r>
          </w:p>
        </w:tc>
        <w:tc>
          <w:tcPr>
            <w:tcW w:type="dxa" w:w="2016"/>
          </w:tcPr>
          <w:p>
            <w:pPr>
              <w:spacing w:after="0" w:line="240" w:lineRule="auto"/>
            </w:pPr>
            <w:r>
              <w:rPr>
                <w:b w:val="0"/>
                <w:i w:val="0"/>
                <w:sz w:val="15"/>
              </w:rPr>
              <w:t>1,142 ÷ 40,000</w:t>
            </w:r>
          </w:p>
        </w:tc>
        <w:tc>
          <w:tcPr>
            <w:tcW w:type="dxa" w:w="3168"/>
          </w:tcPr>
          <w:p>
            <w:pPr>
              <w:spacing w:after="0" w:line="240" w:lineRule="auto"/>
            </w:pPr>
            <w:r>
              <w:rPr>
                <w:b w:val="0"/>
                <w:i w:val="0"/>
                <w:sz w:val="15"/>
              </w:rPr>
              <w:t>Upper bound. The numerator includes BIG (lenders/insurers), consumer pay-per-report and international. "&gt;40,000" makes it a ceiling.</w:t>
            </w:r>
          </w:p>
        </w:tc>
      </w:tr>
      <w:tr>
        <w:trPr>
          <w:cantSplit/>
        </w:trPr>
        <w:tc>
          <w:tcPr>
            <w:tcW w:type="dxa" w:w="2592"/>
            <w:shd w:val="clear" w:color="auto" w:fill="D9E1F2"/>
          </w:tcPr>
          <w:p>
            <w:pPr>
              <w:spacing w:after="0" w:line="240" w:lineRule="auto"/>
            </w:pPr>
            <w:r>
              <w:rPr>
                <w:b w:val="0"/>
                <w:i w:val="0"/>
                <w:sz w:val="15"/>
              </w:rPr>
              <w:t>Advantage + Listings revenue</w:t>
            </w:r>
          </w:p>
        </w:tc>
        <w:tc>
          <w:tcPr>
            <w:tcW w:type="dxa" w:w="2016"/>
            <w:shd w:val="clear" w:color="auto" w:fill="D9E1F2"/>
          </w:tcPr>
          <w:p>
            <w:pPr>
              <w:spacing w:after="0" w:line="240" w:lineRule="auto"/>
            </w:pPr>
            <w:r>
              <w:rPr>
                <w:b/>
                <w:i w:val="0"/>
                <w:sz w:val="15"/>
              </w:rPr>
              <w:t>~$685m</w:t>
            </w:r>
            <w:r>
              <w:rPr>
                <w:b w:val="0"/>
                <w:i w:val="0"/>
                <w:sz w:val="15"/>
              </w:rPr>
              <w:t xml:space="preserve"> </w:t>
            </w:r>
            <w:r>
              <w:rPr>
                <w:b/>
                <w:color w:val="2E548C"/>
                <w:sz w:val="12"/>
              </w:rPr>
              <w:t>[C]</w:t>
            </w:r>
          </w:p>
        </w:tc>
        <w:tc>
          <w:tcPr>
            <w:tcW w:type="dxa" w:w="2016"/>
            <w:shd w:val="clear" w:color="auto" w:fill="D9E1F2"/>
          </w:tcPr>
          <w:p>
            <w:pPr>
              <w:spacing w:after="0" w:line="240" w:lineRule="auto"/>
            </w:pPr>
            <w:r>
              <w:rPr>
                <w:b w:val="0"/>
                <w:i w:val="0"/>
                <w:sz w:val="15"/>
              </w:rPr>
              <w:t>(38% + 22%) × 1,142</w:t>
            </w:r>
          </w:p>
        </w:tc>
        <w:tc>
          <w:tcPr>
            <w:tcW w:type="dxa" w:w="3168"/>
            <w:shd w:val="clear" w:color="auto" w:fill="D9E1F2"/>
          </w:tcPr>
          <w:p>
            <w:pPr>
              <w:spacing w:after="0" w:line="240" w:lineRule="auto"/>
            </w:pPr>
            <w:r>
              <w:rPr>
                <w:b w:val="0"/>
                <w:i w:val="0"/>
                <w:sz w:val="15"/>
              </w:rPr>
              <w:t>Deck % on audited revenue</w:t>
            </w:r>
          </w:p>
        </w:tc>
      </w:tr>
      <w:tr>
        <w:trPr>
          <w:cantSplit/>
        </w:trPr>
        <w:tc>
          <w:tcPr>
            <w:tcW w:type="dxa" w:w="2592"/>
          </w:tcPr>
          <w:p>
            <w:pPr>
              <w:spacing w:after="0" w:line="240" w:lineRule="auto"/>
            </w:pPr>
            <w:r>
              <w:rPr>
                <w:b w:val="0"/>
                <w:i w:val="0"/>
                <w:sz w:val="15"/>
              </w:rPr>
              <w:t>… per dealer customer</w:t>
            </w:r>
          </w:p>
        </w:tc>
        <w:tc>
          <w:tcPr>
            <w:tcW w:type="dxa" w:w="2016"/>
          </w:tcPr>
          <w:p>
            <w:pPr>
              <w:spacing w:after="0" w:line="240" w:lineRule="auto"/>
            </w:pPr>
            <w:r>
              <w:rPr>
                <w:b/>
                <w:i w:val="0"/>
                <w:sz w:val="15"/>
              </w:rPr>
              <w:t>~$17.1k/yr (~$1.4k/mo)</w:t>
            </w:r>
            <w:r>
              <w:rPr>
                <w:b w:val="0"/>
                <w:i w:val="0"/>
                <w:sz w:val="15"/>
              </w:rPr>
              <w:t xml:space="preserve"> </w:t>
            </w:r>
            <w:r>
              <w:rPr>
                <w:b/>
                <w:color w:val="2E548C"/>
                <w:sz w:val="12"/>
              </w:rPr>
              <w:t>[C]</w:t>
            </w:r>
          </w:p>
        </w:tc>
        <w:tc>
          <w:tcPr>
            <w:tcW w:type="dxa" w:w="2016"/>
          </w:tcPr>
          <w:p>
            <w:pPr>
              <w:spacing w:after="0" w:line="240" w:lineRule="auto"/>
            </w:pPr>
            <w:r>
              <w:rPr>
                <w:b w:val="0"/>
                <w:i w:val="0"/>
                <w:sz w:val="15"/>
              </w:rPr>
              <w:t>685 ÷ 40,000</w:t>
            </w:r>
          </w:p>
        </w:tc>
        <w:tc>
          <w:tcPr>
            <w:tcW w:type="dxa" w:w="3168"/>
          </w:tcPr>
          <w:p>
            <w:pPr>
              <w:spacing w:after="0" w:line="240" w:lineRule="auto"/>
            </w:pPr>
            <w:r>
              <w:rPr>
                <w:b w:val="0"/>
                <w:i w:val="0"/>
                <w:sz w:val="15"/>
              </w:rPr>
              <w:t>Customers ≠ rooftops (filing driver is "locations"). Also includes some Canada dealers if International is not fully separated in the mix.</w:t>
            </w:r>
          </w:p>
        </w:tc>
      </w:tr>
      <w:tr>
        <w:trPr>
          <w:cantSplit/>
        </w:trPr>
        <w:tc>
          <w:tcPr>
            <w:tcW w:type="dxa" w:w="2592"/>
            <w:shd w:val="clear" w:color="auto" w:fill="D9E1F2"/>
          </w:tcPr>
          <w:p>
            <w:pPr>
              <w:spacing w:after="0" w:line="240" w:lineRule="auto"/>
            </w:pPr>
            <w:r>
              <w:rPr>
                <w:b w:val="0"/>
                <w:i w:val="0"/>
                <w:sz w:val="15"/>
              </w:rPr>
              <w:t>Advantage alone per dealer customer</w:t>
            </w:r>
          </w:p>
        </w:tc>
        <w:tc>
          <w:tcPr>
            <w:tcW w:type="dxa" w:w="2016"/>
            <w:shd w:val="clear" w:color="auto" w:fill="D9E1F2"/>
          </w:tcPr>
          <w:p>
            <w:pPr>
              <w:spacing w:after="0" w:line="240" w:lineRule="auto"/>
            </w:pPr>
            <w:r>
              <w:rPr>
                <w:b/>
                <w:i w:val="0"/>
                <w:sz w:val="15"/>
              </w:rPr>
              <w:t>~$10.8k/yr (~$0.9k/mo)</w:t>
            </w:r>
            <w:r>
              <w:rPr>
                <w:b w:val="0"/>
                <w:i w:val="0"/>
                <w:sz w:val="15"/>
              </w:rPr>
              <w:t xml:space="preserve"> </w:t>
            </w:r>
            <w:r>
              <w:rPr>
                <w:b/>
                <w:color w:val="2E548C"/>
                <w:sz w:val="12"/>
              </w:rPr>
              <w:t>[C]</w:t>
            </w:r>
          </w:p>
        </w:tc>
        <w:tc>
          <w:tcPr>
            <w:tcW w:type="dxa" w:w="2016"/>
            <w:shd w:val="clear" w:color="auto" w:fill="D9E1F2"/>
          </w:tcPr>
          <w:p>
            <w:pPr>
              <w:spacing w:after="0" w:line="240" w:lineRule="auto"/>
            </w:pPr>
            <w:r>
              <w:rPr>
                <w:b w:val="0"/>
                <w:i w:val="0"/>
                <w:sz w:val="15"/>
              </w:rPr>
              <w:t>0.38 × 1,142 = 434 ÷ 40,000</w:t>
            </w:r>
          </w:p>
        </w:tc>
        <w:tc>
          <w:tcPr>
            <w:tcW w:type="dxa" w:w="3168"/>
            <w:shd w:val="clear" w:color="auto" w:fill="D9E1F2"/>
          </w:tcPr>
          <w:p>
            <w:pPr>
              <w:spacing w:after="0" w:line="240" w:lineRule="auto"/>
            </w:pPr>
            <w:r>
              <w:rPr>
                <w:b w:val="0"/>
                <w:i w:val="0"/>
                <w:sz w:val="15"/>
              </w:rPr>
              <w:t xml:space="preserve">Assumes every dealer customer takes Advantage ("You have to have Advantage" </w:t>
            </w:r>
            <w:r>
              <w:rPr>
                <w:b/>
                <w:color w:val="2E548C"/>
                <w:sz w:val="12"/>
              </w:rPr>
              <w:t>[IR]</w:t>
            </w:r>
            <w:r>
              <w:rPr>
                <w:b w:val="0"/>
                <w:i w:val="0"/>
                <w:sz w:val="15"/>
              </w:rPr>
              <w:t xml:space="preserve"> Q2-T)</w:t>
            </w:r>
          </w:p>
        </w:tc>
      </w:tr>
      <w:tr>
        <w:trPr>
          <w:cantSplit/>
        </w:trPr>
        <w:tc>
          <w:tcPr>
            <w:tcW w:type="dxa" w:w="2592"/>
          </w:tcPr>
          <w:p>
            <w:pPr>
              <w:spacing w:after="0" w:line="240" w:lineRule="auto"/>
            </w:pPr>
            <w:r>
              <w:rPr>
                <w:b w:val="0"/>
                <w:i w:val="0"/>
                <w:sz w:val="15"/>
              </w:rPr>
              <w:t>Revenue per product-subscription</w:t>
            </w:r>
          </w:p>
        </w:tc>
        <w:tc>
          <w:tcPr>
            <w:tcW w:type="dxa" w:w="2016"/>
          </w:tcPr>
          <w:p>
            <w:pPr>
              <w:spacing w:after="0" w:line="240" w:lineRule="auto"/>
            </w:pPr>
            <w:r>
              <w:rPr>
                <w:b/>
                <w:i w:val="0"/>
                <w:sz w:val="15"/>
              </w:rPr>
              <w:t>~$8.6-11.4k/yr</w:t>
            </w:r>
            <w:r>
              <w:rPr>
                <w:b w:val="0"/>
                <w:i w:val="0"/>
                <w:sz w:val="15"/>
              </w:rPr>
              <w:t xml:space="preserve"> </w:t>
            </w:r>
            <w:r>
              <w:rPr>
                <w:b/>
                <w:color w:val="2E548C"/>
                <w:sz w:val="12"/>
              </w:rPr>
              <w:t>[C]</w:t>
            </w:r>
          </w:p>
        </w:tc>
        <w:tc>
          <w:tcPr>
            <w:tcW w:type="dxa" w:w="2016"/>
          </w:tcPr>
          <w:p>
            <w:pPr>
              <w:spacing w:after="0" w:line="240" w:lineRule="auto"/>
            </w:pPr>
            <w:r>
              <w:rPr>
                <w:b w:val="0"/>
                <w:i w:val="0"/>
                <w:sz w:val="15"/>
              </w:rPr>
              <w:t>685 ÷ (40,000 × 1.5-2.0)</w:t>
            </w:r>
          </w:p>
        </w:tc>
        <w:tc>
          <w:tcPr>
            <w:tcW w:type="dxa" w:w="3168"/>
          </w:tcPr>
          <w:p>
            <w:pPr>
              <w:spacing w:after="0" w:line="240" w:lineRule="auto"/>
            </w:pPr>
            <w:r>
              <w:rPr>
                <w:b w:val="0"/>
                <w:i w:val="0"/>
                <w:sz w:val="15"/>
              </w:rPr>
              <w:t xml:space="preserve">Products-per-dealer is a verbal </w:t>
            </w:r>
            <w:r>
              <w:rPr>
                <w:b/>
                <w:color w:val="2E548C"/>
                <w:sz w:val="12"/>
              </w:rPr>
              <w:t>[IR]</w:t>
            </w:r>
            <w:r>
              <w:rPr>
                <w:b w:val="0"/>
                <w:i w:val="0"/>
                <w:sz w:val="15"/>
              </w:rPr>
              <w:t xml:space="preserve"> figure</w:t>
            </w:r>
          </w:p>
        </w:tc>
      </w:tr>
      <w:tr>
        <w:trPr>
          <w:cantSplit/>
        </w:trPr>
        <w:tc>
          <w:tcPr>
            <w:tcW w:type="dxa" w:w="2592"/>
            <w:shd w:val="clear" w:color="auto" w:fill="D9E1F2"/>
          </w:tcPr>
          <w:p>
            <w:pPr>
              <w:spacing w:after="0" w:line="240" w:lineRule="auto"/>
            </w:pPr>
            <w:r>
              <w:rPr>
                <w:b w:val="0"/>
                <w:i w:val="0"/>
                <w:sz w:val="15"/>
              </w:rPr>
              <w:t>Lifetime penetration</w:t>
            </w:r>
          </w:p>
        </w:tc>
        <w:tc>
          <w:tcPr>
            <w:tcW w:type="dxa" w:w="2016"/>
            <w:shd w:val="clear" w:color="auto" w:fill="D9E1F2"/>
          </w:tcPr>
          <w:p>
            <w:pPr>
              <w:spacing w:after="0" w:line="240" w:lineRule="auto"/>
            </w:pPr>
            <w:r>
              <w:rPr>
                <w:b/>
                <w:i w:val="0"/>
                <w:sz w:val="15"/>
              </w:rPr>
              <w:t>~4%</w:t>
            </w:r>
            <w:r>
              <w:rPr>
                <w:b w:val="0"/>
                <w:i w:val="0"/>
                <w:sz w:val="15"/>
              </w:rPr>
              <w:t xml:space="preserve"> of dealer customers </w:t>
            </w:r>
            <w:r>
              <w:rPr>
                <w:b/>
                <w:color w:val="2E548C"/>
                <w:sz w:val="12"/>
              </w:rPr>
              <w:t>[C]</w:t>
            </w:r>
          </w:p>
        </w:tc>
        <w:tc>
          <w:tcPr>
            <w:tcW w:type="dxa" w:w="2016"/>
            <w:shd w:val="clear" w:color="auto" w:fill="D9E1F2"/>
          </w:tcPr>
          <w:p>
            <w:pPr>
              <w:spacing w:after="0" w:line="240" w:lineRule="auto"/>
            </w:pPr>
            <w:r>
              <w:rPr>
                <w:b w:val="0"/>
                <w:i w:val="0"/>
                <w:sz w:val="15"/>
              </w:rPr>
              <w:t>1,600 ÷ 40,000</w:t>
            </w:r>
          </w:p>
        </w:tc>
        <w:tc>
          <w:tcPr>
            <w:tcW w:type="dxa" w:w="3168"/>
            <w:shd w:val="clear" w:color="auto" w:fill="D9E1F2"/>
          </w:tcPr>
          <w:p>
            <w:pPr>
              <w:spacing w:after="0" w:line="240" w:lineRule="auto"/>
            </w:pPr>
            <w:r>
              <w:rPr>
                <w:b w:val="0"/>
                <w:i w:val="0"/>
                <w:sz w:val="15"/>
              </w:rPr>
              <w:t>Sign-ups, not paying conversions</w:t>
            </w:r>
          </w:p>
        </w:tc>
      </w:tr>
    </w:tbl>
    <w:p>
      <w:pPr>
        <w:spacing w:after="120"/>
      </w:pPr>
      <w:r>
        <w:rPr>
          <w:b w:val="0"/>
          <w:i/>
          <w:color w:val="595959"/>
          <w:sz w:val="15"/>
        </w:rPr>
        <w:t>Source: analysis/D2_unit_economics.md (a). If rooftops are ~1.3–1.5x customers, per-rooftop revenue would be ~$11–13k, not $17k (D2 honest counters).</w:t>
      </w:r>
    </w:p>
    <w:tbl>
      <w:tblPr>
        <w:tblW w:type="auto" w:w="0"/>
        <w:jc w:val="center"/>
        <w:tblLook w:firstColumn="1" w:firstRow="1" w:lastColumn="0" w:lastRow="0" w:noHBand="0" w:noVBand="1" w:val="04A0"/>
        <w:tblBorders>
          <w:top w:val="nil" w:sz="0" w:space="0" w:color="auto"/>
          <w:left w:val="single" w:sz="24" w:space="0" w:color="1F3864"/>
          <w:bottom w:val="nil" w:sz="0" w:space="0" w:color="auto"/>
          <w:right w:val="nil" w:sz="0" w:space="0" w:color="auto"/>
          <w:insideH w:val="nil" w:sz="0" w:space="0" w:color="auto"/>
          <w:insideV w:val="nil" w:sz="0" w:space="0" w:color="auto"/>
        </w:tblBorders>
        <w:tblCellMar>
          <w:top w:w="90" w:type="dxa"/>
          <w:left w:w="160" w:type="dxa"/>
          <w:bottom w:w="90" w:type="dxa"/>
          <w:right w:w="120" w:type="dxa"/>
        </w:tblCellMar>
      </w:tblPr>
      <w:tblGrid>
        <w:gridCol w:w="8928"/>
      </w:tblGrid>
      <w:tr>
        <w:trPr>
          <w:cantSplit/>
        </w:trPr>
        <w:tc>
          <w:tcPr>
            <w:tcW w:type="dxa" w:w="8928"/>
            <w:shd w:val="clear" w:color="auto" w:fill="EEF2F9"/>
          </w:tcPr>
          <w:p>
            <w:pPr>
              <w:spacing w:after="60"/>
            </w:pPr>
            <w:r>
              <w:rPr>
                <w:i/>
                <w:color w:val="262626"/>
                <w:sz w:val="19"/>
              </w:rPr>
              <w:t>“-the average dealer has between one and a half and two products. You have to have Advantage.”</w:t>
            </w:r>
          </w:p>
          <w:p>
            <w:pPr>
              <w:spacing w:after="0"/>
            </w:pPr>
            <w:r>
              <w:rPr>
                <w:b w:val="0"/>
                <w:i w:val="0"/>
                <w:color w:val="1F3864"/>
                <w:sz w:val="15"/>
              </w:rPr>
              <w:t xml:space="preserve">— Matt Calderone (CFO), Q2 2026 Earnings Call, 2026-08-07 · Quartr t=2647.85s </w:t>
            </w:r>
            <w:r>
              <w:rPr>
                <w:b/>
                <w:color w:val="2E548C"/>
                <w:sz w:val="12"/>
              </w:rPr>
              <w:t>[IR]</w:t>
            </w:r>
          </w:p>
        </w:tc>
      </w:tr>
    </w:tbl>
    <w:p>
      <w:pPr>
        <w:spacing w:after="40"/>
      </w:pPr>
    </w:p>
    <w:p>
      <w:pPr>
        <w:pStyle w:val="ListBullet"/>
      </w:pPr>
      <w:r>
        <w:rPr>
          <w:b/>
          <w:i w:val="0"/>
        </w:rPr>
        <w:t>Advertising is the main variable cost of the dealer model:</w:t>
      </w:r>
      <w:r>
        <w:rPr>
          <w:b w:val="0"/>
          <w:i w:val="0"/>
        </w:rPr>
        <w:t xml:space="preserve"> $134m / $152m / $176m FY23–25 = 9.0% / 9.4% / 10.1% of revenue </w:t>
      </w:r>
      <w:r>
        <w:rPr>
          <w:b/>
          <w:color w:val="2E548C"/>
          <w:sz w:val="16"/>
        </w:rPr>
        <w:t>[D/C]</w:t>
      </w:r>
      <w:r>
        <w:rPr>
          <w:b w:val="0"/>
          <w:i w:val="0"/>
        </w:rPr>
        <w:t xml:space="preserve">; the 10/A says customer-acquisition cost “is rising” </w:t>
      </w:r>
      <w:r>
        <w:rPr>
          <w:b/>
          <w:color w:val="2E548C"/>
          <w:sz w:val="16"/>
        </w:rPr>
        <w:t>[D]</w:t>
      </w:r>
      <w:r>
        <w:rPr>
          <w:b w:val="0"/>
          <w:i w:val="0"/>
        </w:rPr>
        <w:t xml:space="preserve"> (10A p.343). </w:t>
      </w:r>
      <w:r>
        <w:rPr>
          <w:b/>
          <w:color w:val="E36C09"/>
        </w:rPr>
        <w:t>[TO COLLECT #35: advertising expense split by segment]</w:t>
      </w:r>
      <w:r>
        <w:rPr>
          <w:b w:val="0"/>
          <w:i w:val="0"/>
        </w:rPr>
        <w:t>.</w:t>
      </w:r>
    </w:p>
    <w:p>
      <w:pPr>
        <w:pStyle w:val="ListBullet"/>
      </w:pPr>
      <w:r>
        <w:rPr>
          <w:b/>
          <w:i w:val="0"/>
        </w:rPr>
        <w:t>Consumer reports</w:t>
      </w:r>
      <w:r>
        <w:rPr>
          <w:b w:val="0"/>
          <w:i w:val="0"/>
        </w:rPr>
        <w:t xml:space="preserve"> sit in CARFAX non-subscription ($180m / $196m / $215m FY23–25 </w:t>
      </w:r>
      <w:r>
        <w:rPr>
          <w:b/>
          <w:color w:val="2E548C"/>
          <w:sz w:val="16"/>
        </w:rPr>
        <w:t>[D]</w:t>
      </w:r>
      <w:r>
        <w:rPr>
          <w:b w:val="0"/>
          <w:i w:val="0"/>
        </w:rPr>
        <w:t xml:space="preserve">) with other transactional items. </w:t>
      </w:r>
      <w:r>
        <w:rPr>
          <w:b/>
          <w:color w:val="E36C09"/>
        </w:rPr>
        <w:t>[TO COLLECT #36: consumer report price, volume and revenue]</w:t>
      </w:r>
      <w:r>
        <w:rPr>
          <w:b w:val="0"/>
          <w:i w:val="0"/>
        </w:rPr>
        <w:t xml:space="preserve">; </w:t>
      </w:r>
      <w:r>
        <w:rPr>
          <w:b/>
          <w:color w:val="E36C09"/>
        </w:rPr>
        <w:t>[TO COLLECT #37: consumer CAC, LTV and payback]</w:t>
      </w:r>
      <w:r>
        <w:rPr>
          <w:b w:val="0"/>
          <w:i w:val="0"/>
        </w:rPr>
        <w:t>.</w:t>
      </w:r>
    </w:p>
    <w:p>
      <w:pPr>
        <w:pStyle w:val="ListBullet"/>
      </w:pPr>
      <w:r>
        <w:rPr>
          <w:b/>
          <w:i w:val="0"/>
        </w:rPr>
        <w:t>Lifetime bundle failure (2026):</w:t>
      </w:r>
      <w:r>
        <w:rPr>
          <w:b w:val="0"/>
          <w:i w:val="0"/>
        </w:rPr>
        <w:t xml:space="preserve"> 1,600 sign-ups ≈ 4% of dealer customers </w:t>
      </w:r>
      <w:r>
        <w:rPr>
          <w:b/>
          <w:color w:val="2E548C"/>
          <w:sz w:val="16"/>
        </w:rPr>
        <w:t>[C]</w:t>
      </w:r>
      <w:r>
        <w:rPr>
          <w:b w:val="0"/>
          <w:i w:val="0"/>
        </w:rPr>
        <w:t xml:space="preserve">; bundle needed “two yeses” and was reversed in June 2026 </w:t>
      </w:r>
      <w:r>
        <w:rPr>
          <w:b/>
          <w:color w:val="2E548C"/>
          <w:sz w:val="16"/>
        </w:rPr>
        <w:t>[IR]</w:t>
      </w:r>
      <w:r>
        <w:rPr>
          <w:b w:val="0"/>
          <w:i w:val="0"/>
        </w:rPr>
        <w:t xml:space="preserve">; fewer than half of franchise Advantage dealers take Service Loyalty </w:t>
      </w:r>
      <w:r>
        <w:rPr>
          <w:b/>
          <w:color w:val="2E548C"/>
          <w:sz w:val="16"/>
        </w:rPr>
        <w:t>[IR]</w:t>
      </w:r>
      <w:r>
        <w:rPr>
          <w:b w:val="0"/>
          <w:i w:val="0"/>
        </w:rPr>
        <w:t>.</w:t>
      </w:r>
    </w:p>
    <w:p>
      <w:pPr>
        <w:pStyle w:val="Heading2"/>
      </w:pPr>
      <w:r>
        <w:t>7.2 Incremental margins (flow-through)</w:t>
      </w:r>
    </w:p>
    <w:p>
      <w:pPr>
        <w:keepNext/>
        <w:spacing w:before="80" w:after="40"/>
      </w:pPr>
      <w:r>
        <w:rPr>
          <w:b/>
          <w:i w:val="0"/>
          <w:color w:val="1F3864"/>
          <w:sz w:val="17"/>
        </w:rPr>
        <w:t xml:space="preserve">Exhibit 7.2 — Flow-through by segment </w:t>
      </w:r>
      <w:r>
        <w:rPr>
          <w:b/>
          <w:color w:val="2E548C"/>
          <w:sz w:val="14"/>
        </w:rPr>
        <w:t>[C]</w:t>
      </w:r>
      <w:r>
        <w:rPr>
          <w:b/>
          <w:i w:val="0"/>
          <w:color w:val="1F3864"/>
          <w:sz w:val="17"/>
        </w:rPr>
        <w:t xml:space="preserve"> (ΔProfit / ΔRevenue, $m)</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152"/>
        <w:gridCol w:w="1296"/>
        <w:gridCol w:w="1152"/>
        <w:gridCol w:w="1728"/>
        <w:gridCol w:w="1152"/>
        <w:gridCol w:w="1584"/>
        <w:gridCol w:w="1728"/>
      </w:tblGrid>
      <w:tr>
        <w:trPr>
          <w:cantSplit/>
          <w:tblHeader/>
        </w:trPr>
        <w:tc>
          <w:tcPr>
            <w:tcW w:type="dxa" w:w="1152"/>
            <w:shd w:val="clear" w:color="auto" w:fill="1F3864"/>
          </w:tcPr>
          <w:p>
            <w:pPr>
              <w:spacing w:after="0" w:line="240" w:lineRule="auto"/>
            </w:pPr>
            <w:r>
              <w:rPr>
                <w:b/>
                <w:i w:val="0"/>
                <w:color w:val="FFFFFF"/>
                <w:sz w:val="16"/>
              </w:rPr>
              <w:t>Period</w:t>
            </w:r>
          </w:p>
        </w:tc>
        <w:tc>
          <w:tcPr>
            <w:tcW w:type="dxa" w:w="1296"/>
            <w:shd w:val="clear" w:color="auto" w:fill="1F3864"/>
          </w:tcPr>
          <w:p>
            <w:pPr>
              <w:spacing w:after="0" w:line="240" w:lineRule="auto"/>
            </w:pPr>
            <w:r>
              <w:rPr>
                <w:b/>
                <w:i w:val="0"/>
                <w:color w:val="FFFFFF"/>
                <w:sz w:val="16"/>
              </w:rPr>
              <w:t>Segment</w:t>
            </w:r>
          </w:p>
        </w:tc>
        <w:tc>
          <w:tcPr>
            <w:tcW w:type="dxa" w:w="1152"/>
            <w:shd w:val="clear" w:color="auto" w:fill="1F3864"/>
          </w:tcPr>
          <w:p>
            <w:pPr>
              <w:spacing w:after="0" w:line="240" w:lineRule="auto"/>
              <w:jc w:val="right"/>
            </w:pPr>
            <w:r>
              <w:rPr>
                <w:b/>
                <w:i w:val="0"/>
                <w:color w:val="FFFFFF"/>
                <w:sz w:val="16"/>
              </w:rPr>
              <w:t>ΔRev</w:t>
            </w:r>
          </w:p>
        </w:tc>
        <w:tc>
          <w:tcPr>
            <w:tcW w:type="dxa" w:w="1728"/>
            <w:shd w:val="clear" w:color="auto" w:fill="1F3864"/>
          </w:tcPr>
          <w:p>
            <w:pPr>
              <w:spacing w:after="0" w:line="240" w:lineRule="auto"/>
              <w:jc w:val="right"/>
            </w:pPr>
            <w:r>
              <w:rPr>
                <w:b/>
                <w:i w:val="0"/>
                <w:color w:val="FFFFFF"/>
                <w:sz w:val="16"/>
              </w:rPr>
              <w:t>ΔOP (10/A basis)</w:t>
            </w:r>
          </w:p>
        </w:tc>
        <w:tc>
          <w:tcPr>
            <w:tcW w:type="dxa" w:w="1152"/>
            <w:shd w:val="clear" w:color="auto" w:fill="1F3864"/>
          </w:tcPr>
          <w:p>
            <w:pPr>
              <w:spacing w:after="0" w:line="240" w:lineRule="auto"/>
              <w:jc w:val="right"/>
            </w:pPr>
            <w:r>
              <w:rPr>
                <w:b/>
                <w:i w:val="0"/>
                <w:color w:val="FFFFFF"/>
                <w:sz w:val="16"/>
              </w:rPr>
              <w:t>OP flow</w:t>
            </w:r>
          </w:p>
        </w:tc>
        <w:tc>
          <w:tcPr>
            <w:tcW w:type="dxa" w:w="1584"/>
            <w:shd w:val="clear" w:color="auto" w:fill="1F3864"/>
          </w:tcPr>
          <w:p>
            <w:pPr>
              <w:spacing w:after="0" w:line="240" w:lineRule="auto"/>
              <w:jc w:val="right"/>
            </w:pPr>
            <w:r>
              <w:rPr>
                <w:b/>
                <w:i w:val="0"/>
                <w:color w:val="FFFFFF"/>
                <w:sz w:val="16"/>
              </w:rPr>
              <w:t>ΔAdj. EBITDA</w:t>
            </w:r>
          </w:p>
        </w:tc>
        <w:tc>
          <w:tcPr>
            <w:tcW w:type="dxa" w:w="1728"/>
            <w:shd w:val="clear" w:color="auto" w:fill="1F3864"/>
          </w:tcPr>
          <w:p>
            <w:pPr>
              <w:spacing w:after="0" w:line="240" w:lineRule="auto"/>
              <w:jc w:val="right"/>
            </w:pPr>
            <w:r>
              <w:rPr>
                <w:b/>
                <w:i w:val="0"/>
                <w:color w:val="FFFFFF"/>
                <w:sz w:val="16"/>
              </w:rPr>
              <w:t>Adj. EBITDA flow</w:t>
            </w:r>
          </w:p>
        </w:tc>
      </w:tr>
      <w:tr>
        <w:trPr>
          <w:cantSplit/>
        </w:trPr>
        <w:tc>
          <w:tcPr>
            <w:tcW w:type="dxa" w:w="1152"/>
          </w:tcPr>
          <w:p>
            <w:pPr>
              <w:spacing w:after="0" w:line="240" w:lineRule="auto"/>
            </w:pPr>
            <w:r>
              <w:rPr>
                <w:b w:val="0"/>
                <w:i w:val="0"/>
                <w:sz w:val="16"/>
              </w:rPr>
              <w:t>FY24</w:t>
            </w:r>
          </w:p>
        </w:tc>
        <w:tc>
          <w:tcPr>
            <w:tcW w:type="dxa" w:w="1296"/>
          </w:tcPr>
          <w:p>
            <w:pPr>
              <w:spacing w:after="0" w:line="240" w:lineRule="auto"/>
            </w:pPr>
            <w:r>
              <w:rPr>
                <w:b w:val="0"/>
                <w:i w:val="0"/>
                <w:sz w:val="16"/>
              </w:rPr>
              <w:t>CARFAX</w:t>
            </w:r>
          </w:p>
        </w:tc>
        <w:tc>
          <w:tcPr>
            <w:tcW w:type="dxa" w:w="1152"/>
          </w:tcPr>
          <w:p>
            <w:pPr>
              <w:spacing w:after="0" w:line="240" w:lineRule="auto"/>
              <w:jc w:val="right"/>
            </w:pPr>
            <w:r>
              <w:rPr>
                <w:b w:val="0"/>
                <w:i w:val="0"/>
                <w:sz w:val="16"/>
              </w:rPr>
              <w:t>111</w:t>
            </w:r>
          </w:p>
        </w:tc>
        <w:tc>
          <w:tcPr>
            <w:tcW w:type="dxa" w:w="1728"/>
          </w:tcPr>
          <w:p>
            <w:pPr>
              <w:spacing w:after="0" w:line="240" w:lineRule="auto"/>
              <w:jc w:val="right"/>
            </w:pPr>
            <w:r>
              <w:rPr>
                <w:b w:val="0"/>
                <w:i w:val="0"/>
                <w:sz w:val="16"/>
              </w:rPr>
              <w:t>49</w:t>
            </w:r>
          </w:p>
        </w:tc>
        <w:tc>
          <w:tcPr>
            <w:tcW w:type="dxa" w:w="1152"/>
          </w:tcPr>
          <w:p>
            <w:pPr>
              <w:spacing w:after="0" w:line="240" w:lineRule="auto"/>
              <w:jc w:val="right"/>
            </w:pPr>
            <w:r>
              <w:rPr>
                <w:b w:val="0"/>
                <w:i w:val="0"/>
                <w:sz w:val="16"/>
              </w:rPr>
              <w:t>44%</w:t>
            </w:r>
          </w:p>
        </w:tc>
        <w:tc>
          <w:tcPr>
            <w:tcW w:type="dxa" w:w="1584"/>
          </w:tcPr>
          <w:p>
            <w:pPr>
              <w:spacing w:after="0" w:line="240" w:lineRule="auto"/>
              <w:jc w:val="right"/>
            </w:pPr>
            <w:r>
              <w:rPr>
                <w:b w:val="0"/>
                <w:i w:val="0"/>
                <w:sz w:val="16"/>
              </w:rPr>
              <w:t>54</w:t>
            </w:r>
          </w:p>
        </w:tc>
        <w:tc>
          <w:tcPr>
            <w:tcW w:type="dxa" w:w="1728"/>
          </w:tcPr>
          <w:p>
            <w:pPr>
              <w:spacing w:after="0" w:line="240" w:lineRule="auto"/>
              <w:jc w:val="right"/>
            </w:pPr>
            <w:r>
              <w:rPr>
                <w:b w:val="0"/>
                <w:i w:val="0"/>
                <w:sz w:val="16"/>
              </w:rPr>
              <w:t>49%</w:t>
            </w:r>
          </w:p>
        </w:tc>
      </w:tr>
      <w:tr>
        <w:trPr>
          <w:cantSplit/>
        </w:trPr>
        <w:tc>
          <w:tcPr>
            <w:tcW w:type="dxa" w:w="1152"/>
            <w:shd w:val="clear" w:color="auto" w:fill="D9E1F2"/>
          </w:tcPr>
          <w:p>
            <w:pPr>
              <w:spacing w:after="0" w:line="240" w:lineRule="auto"/>
            </w:pPr>
            <w:r>
              <w:rPr>
                <w:b w:val="0"/>
                <w:i w:val="0"/>
                <w:sz w:val="16"/>
              </w:rPr>
              <w:t>FY25</w:t>
            </w:r>
          </w:p>
        </w:tc>
        <w:tc>
          <w:tcPr>
            <w:tcW w:type="dxa" w:w="1296"/>
            <w:shd w:val="clear" w:color="auto" w:fill="D9E1F2"/>
          </w:tcPr>
          <w:p>
            <w:pPr>
              <w:spacing w:after="0" w:line="240" w:lineRule="auto"/>
            </w:pPr>
            <w:r>
              <w:rPr>
                <w:b w:val="0"/>
                <w:i w:val="0"/>
                <w:sz w:val="16"/>
              </w:rPr>
              <w:t>CARFAX</w:t>
            </w:r>
          </w:p>
        </w:tc>
        <w:tc>
          <w:tcPr>
            <w:tcW w:type="dxa" w:w="1152"/>
            <w:shd w:val="clear" w:color="auto" w:fill="D9E1F2"/>
          </w:tcPr>
          <w:p>
            <w:pPr>
              <w:spacing w:after="0" w:line="240" w:lineRule="auto"/>
              <w:jc w:val="right"/>
            </w:pPr>
            <w:r>
              <w:rPr>
                <w:b w:val="0"/>
                <w:i w:val="0"/>
                <w:sz w:val="16"/>
              </w:rPr>
              <w:t>103</w:t>
            </w:r>
          </w:p>
        </w:tc>
        <w:tc>
          <w:tcPr>
            <w:tcW w:type="dxa" w:w="1728"/>
            <w:shd w:val="clear" w:color="auto" w:fill="D9E1F2"/>
          </w:tcPr>
          <w:p>
            <w:pPr>
              <w:spacing w:after="0" w:line="240" w:lineRule="auto"/>
              <w:jc w:val="right"/>
            </w:pPr>
            <w:r>
              <w:rPr>
                <w:b w:val="0"/>
                <w:i w:val="0"/>
                <w:sz w:val="16"/>
              </w:rPr>
              <w:t>63</w:t>
            </w:r>
          </w:p>
        </w:tc>
        <w:tc>
          <w:tcPr>
            <w:tcW w:type="dxa" w:w="1152"/>
            <w:shd w:val="clear" w:color="auto" w:fill="D9E1F2"/>
          </w:tcPr>
          <w:p>
            <w:pPr>
              <w:spacing w:after="0" w:line="240" w:lineRule="auto"/>
              <w:jc w:val="right"/>
            </w:pPr>
            <w:r>
              <w:rPr>
                <w:b w:val="0"/>
                <w:i w:val="0"/>
                <w:sz w:val="16"/>
              </w:rPr>
              <w:t>61%</w:t>
            </w:r>
          </w:p>
        </w:tc>
        <w:tc>
          <w:tcPr>
            <w:tcW w:type="dxa" w:w="1584"/>
            <w:shd w:val="clear" w:color="auto" w:fill="D9E1F2"/>
          </w:tcPr>
          <w:p>
            <w:pPr>
              <w:spacing w:after="0" w:line="240" w:lineRule="auto"/>
              <w:jc w:val="right"/>
            </w:pPr>
            <w:r>
              <w:rPr>
                <w:b w:val="0"/>
                <w:i w:val="0"/>
                <w:sz w:val="16"/>
              </w:rPr>
              <w:t>60</w:t>
            </w:r>
          </w:p>
        </w:tc>
        <w:tc>
          <w:tcPr>
            <w:tcW w:type="dxa" w:w="1728"/>
            <w:shd w:val="clear" w:color="auto" w:fill="D9E1F2"/>
          </w:tcPr>
          <w:p>
            <w:pPr>
              <w:spacing w:after="0" w:line="240" w:lineRule="auto"/>
              <w:jc w:val="right"/>
            </w:pPr>
            <w:r>
              <w:rPr>
                <w:b w:val="0"/>
                <w:i w:val="0"/>
                <w:sz w:val="16"/>
              </w:rPr>
              <w:t>58%</w:t>
            </w:r>
          </w:p>
        </w:tc>
      </w:tr>
      <w:tr>
        <w:trPr>
          <w:cantSplit/>
        </w:trPr>
        <w:tc>
          <w:tcPr>
            <w:tcW w:type="dxa" w:w="1152"/>
          </w:tcPr>
          <w:p>
            <w:pPr>
              <w:spacing w:after="0" w:line="240" w:lineRule="auto"/>
            </w:pPr>
            <w:r>
              <w:rPr>
                <w:b w:val="0"/>
                <w:i w:val="0"/>
                <w:sz w:val="16"/>
              </w:rPr>
              <w:t>6M-26</w:t>
            </w:r>
          </w:p>
        </w:tc>
        <w:tc>
          <w:tcPr>
            <w:tcW w:type="dxa" w:w="1296"/>
          </w:tcPr>
          <w:p>
            <w:pPr>
              <w:spacing w:after="0" w:line="240" w:lineRule="auto"/>
            </w:pPr>
            <w:r>
              <w:rPr>
                <w:b w:val="0"/>
                <w:i w:val="0"/>
                <w:sz w:val="16"/>
              </w:rPr>
              <w:t>CARFAX</w:t>
            </w:r>
          </w:p>
        </w:tc>
        <w:tc>
          <w:tcPr>
            <w:tcW w:type="dxa" w:w="1152"/>
          </w:tcPr>
          <w:p>
            <w:pPr>
              <w:spacing w:after="0" w:line="240" w:lineRule="auto"/>
              <w:jc w:val="right"/>
            </w:pPr>
            <w:r>
              <w:rPr>
                <w:b w:val="0"/>
                <w:i w:val="0"/>
                <w:sz w:val="16"/>
              </w:rPr>
              <w:t>46</w:t>
            </w:r>
          </w:p>
        </w:tc>
        <w:tc>
          <w:tcPr>
            <w:tcW w:type="dxa" w:w="1728"/>
          </w:tcPr>
          <w:p>
            <w:pPr>
              <w:spacing w:after="0" w:line="240" w:lineRule="auto"/>
              <w:jc w:val="right"/>
            </w:pPr>
            <w:r>
              <w:rPr>
                <w:b w:val="0"/>
                <w:i w:val="0"/>
                <w:sz w:val="16"/>
              </w:rPr>
              <w:t>24</w:t>
            </w:r>
          </w:p>
        </w:tc>
        <w:tc>
          <w:tcPr>
            <w:tcW w:type="dxa" w:w="1152"/>
          </w:tcPr>
          <w:p>
            <w:pPr>
              <w:spacing w:after="0" w:line="240" w:lineRule="auto"/>
              <w:jc w:val="right"/>
            </w:pPr>
            <w:r>
              <w:rPr>
                <w:b w:val="0"/>
                <w:i w:val="0"/>
                <w:sz w:val="16"/>
              </w:rPr>
              <w:t>52%</w:t>
            </w:r>
          </w:p>
        </w:tc>
        <w:tc>
          <w:tcPr>
            <w:tcW w:type="dxa" w:w="1584"/>
          </w:tcPr>
          <w:p>
            <w:pPr>
              <w:spacing w:after="0" w:line="240" w:lineRule="auto"/>
              <w:jc w:val="right"/>
            </w:pPr>
            <w:r>
              <w:rPr>
                <w:b w:val="0"/>
                <w:i w:val="0"/>
                <w:sz w:val="16"/>
              </w:rPr>
              <w:t>21</w:t>
            </w:r>
          </w:p>
        </w:tc>
        <w:tc>
          <w:tcPr>
            <w:tcW w:type="dxa" w:w="1728"/>
          </w:tcPr>
          <w:p>
            <w:pPr>
              <w:spacing w:after="0" w:line="240" w:lineRule="auto"/>
              <w:jc w:val="right"/>
            </w:pPr>
            <w:r>
              <w:rPr>
                <w:b w:val="0"/>
                <w:i w:val="0"/>
                <w:sz w:val="16"/>
              </w:rPr>
              <w:t>46%</w:t>
            </w:r>
          </w:p>
        </w:tc>
      </w:tr>
      <w:tr>
        <w:trPr>
          <w:cantSplit/>
        </w:trPr>
        <w:tc>
          <w:tcPr>
            <w:tcW w:type="dxa" w:w="1152"/>
            <w:shd w:val="clear" w:color="auto" w:fill="D9E1F2"/>
          </w:tcPr>
          <w:p>
            <w:pPr>
              <w:spacing w:after="0" w:line="240" w:lineRule="auto"/>
            </w:pPr>
            <w:r>
              <w:rPr>
                <w:b w:val="0"/>
                <w:i w:val="0"/>
                <w:sz w:val="16"/>
              </w:rPr>
              <w:t>FY24</w:t>
            </w:r>
          </w:p>
        </w:tc>
        <w:tc>
          <w:tcPr>
            <w:tcW w:type="dxa" w:w="1296"/>
            <w:shd w:val="clear" w:color="auto" w:fill="D9E1F2"/>
          </w:tcPr>
          <w:p>
            <w:pPr>
              <w:spacing w:after="0" w:line="240" w:lineRule="auto"/>
            </w:pPr>
            <w:r>
              <w:rPr>
                <w:b w:val="0"/>
                <w:i w:val="0"/>
                <w:sz w:val="16"/>
              </w:rPr>
              <w:t>B2B</w:t>
            </w:r>
          </w:p>
        </w:tc>
        <w:tc>
          <w:tcPr>
            <w:tcW w:type="dxa" w:w="1152"/>
            <w:shd w:val="clear" w:color="auto" w:fill="D9E1F2"/>
          </w:tcPr>
          <w:p>
            <w:pPr>
              <w:spacing w:after="0" w:line="240" w:lineRule="auto"/>
              <w:jc w:val="right"/>
            </w:pPr>
            <w:r>
              <w:rPr>
                <w:b w:val="0"/>
                <w:i w:val="0"/>
                <w:sz w:val="16"/>
              </w:rPr>
              <w:t>17</w:t>
            </w:r>
          </w:p>
        </w:tc>
        <w:tc>
          <w:tcPr>
            <w:tcW w:type="dxa" w:w="1728"/>
            <w:shd w:val="clear" w:color="auto" w:fill="D9E1F2"/>
          </w:tcPr>
          <w:p>
            <w:pPr>
              <w:spacing w:after="0" w:line="240" w:lineRule="auto"/>
              <w:jc w:val="right"/>
            </w:pPr>
            <w:r>
              <w:rPr>
                <w:b w:val="0"/>
                <w:i w:val="0"/>
                <w:sz w:val="16"/>
              </w:rPr>
              <w:t>8</w:t>
            </w:r>
          </w:p>
        </w:tc>
        <w:tc>
          <w:tcPr>
            <w:tcW w:type="dxa" w:w="1152"/>
            <w:shd w:val="clear" w:color="auto" w:fill="D9E1F2"/>
          </w:tcPr>
          <w:p>
            <w:pPr>
              <w:spacing w:after="0" w:line="240" w:lineRule="auto"/>
              <w:jc w:val="right"/>
            </w:pPr>
            <w:r>
              <w:rPr>
                <w:b w:val="0"/>
                <w:i w:val="0"/>
                <w:sz w:val="16"/>
              </w:rPr>
              <w:t>47%</w:t>
            </w:r>
          </w:p>
        </w:tc>
        <w:tc>
          <w:tcPr>
            <w:tcW w:type="dxa" w:w="1584"/>
            <w:shd w:val="clear" w:color="auto" w:fill="D9E1F2"/>
          </w:tcPr>
          <w:p>
            <w:pPr>
              <w:spacing w:after="0" w:line="240" w:lineRule="auto"/>
              <w:jc w:val="right"/>
            </w:pPr>
            <w:r>
              <w:rPr>
                <w:b w:val="0"/>
                <w:i w:val="0"/>
                <w:sz w:val="16"/>
              </w:rPr>
              <w:t>12</w:t>
            </w:r>
          </w:p>
        </w:tc>
        <w:tc>
          <w:tcPr>
            <w:tcW w:type="dxa" w:w="1728"/>
            <w:shd w:val="clear" w:color="auto" w:fill="D9E1F2"/>
          </w:tcPr>
          <w:p>
            <w:pPr>
              <w:spacing w:after="0" w:line="240" w:lineRule="auto"/>
              <w:jc w:val="right"/>
            </w:pPr>
            <w:r>
              <w:rPr>
                <w:b w:val="0"/>
                <w:i w:val="0"/>
                <w:sz w:val="16"/>
              </w:rPr>
              <w:t>71%</w:t>
            </w:r>
          </w:p>
        </w:tc>
      </w:tr>
      <w:tr>
        <w:trPr>
          <w:cantSplit/>
        </w:trPr>
        <w:tc>
          <w:tcPr>
            <w:tcW w:type="dxa" w:w="1152"/>
          </w:tcPr>
          <w:p>
            <w:pPr>
              <w:spacing w:after="0" w:line="240" w:lineRule="auto"/>
            </w:pPr>
            <w:r>
              <w:rPr>
                <w:b w:val="0"/>
                <w:i w:val="0"/>
                <w:sz w:val="16"/>
              </w:rPr>
              <w:t>FY25</w:t>
            </w:r>
          </w:p>
        </w:tc>
        <w:tc>
          <w:tcPr>
            <w:tcW w:type="dxa" w:w="1296"/>
          </w:tcPr>
          <w:p>
            <w:pPr>
              <w:spacing w:after="0" w:line="240" w:lineRule="auto"/>
            </w:pPr>
            <w:r>
              <w:rPr>
                <w:b w:val="0"/>
                <w:i w:val="0"/>
                <w:sz w:val="16"/>
              </w:rPr>
              <w:t>B2B</w:t>
            </w:r>
          </w:p>
        </w:tc>
        <w:tc>
          <w:tcPr>
            <w:tcW w:type="dxa" w:w="1152"/>
          </w:tcPr>
          <w:p>
            <w:pPr>
              <w:spacing w:after="0" w:line="240" w:lineRule="auto"/>
              <w:jc w:val="right"/>
            </w:pPr>
            <w:r>
              <w:rPr>
                <w:b w:val="0"/>
                <w:i w:val="0"/>
                <w:sz w:val="16"/>
              </w:rPr>
              <w:t>34</w:t>
            </w:r>
          </w:p>
        </w:tc>
        <w:tc>
          <w:tcPr>
            <w:tcW w:type="dxa" w:w="1728"/>
          </w:tcPr>
          <w:p>
            <w:pPr>
              <w:spacing w:after="0" w:line="240" w:lineRule="auto"/>
              <w:jc w:val="right"/>
            </w:pPr>
            <w:r>
              <w:rPr>
                <w:b w:val="0"/>
                <w:i w:val="0"/>
                <w:sz w:val="16"/>
              </w:rPr>
              <w:t>−7</w:t>
            </w:r>
          </w:p>
        </w:tc>
        <w:tc>
          <w:tcPr>
            <w:tcW w:type="dxa" w:w="1152"/>
          </w:tcPr>
          <w:p>
            <w:pPr>
              <w:spacing w:after="0" w:line="240" w:lineRule="auto"/>
              <w:jc w:val="right"/>
            </w:pPr>
            <w:r>
              <w:rPr>
                <w:b w:val="0"/>
                <w:i w:val="0"/>
                <w:sz w:val="16"/>
              </w:rPr>
              <w:t>−21%</w:t>
            </w:r>
          </w:p>
        </w:tc>
        <w:tc>
          <w:tcPr>
            <w:tcW w:type="dxa" w:w="1584"/>
          </w:tcPr>
          <w:p>
            <w:pPr>
              <w:spacing w:after="0" w:line="240" w:lineRule="auto"/>
              <w:jc w:val="right"/>
            </w:pPr>
            <w:r>
              <w:rPr>
                <w:b w:val="0"/>
                <w:i w:val="0"/>
                <w:sz w:val="16"/>
              </w:rPr>
              <w:t>−6</w:t>
            </w:r>
          </w:p>
        </w:tc>
        <w:tc>
          <w:tcPr>
            <w:tcW w:type="dxa" w:w="1728"/>
          </w:tcPr>
          <w:p>
            <w:pPr>
              <w:spacing w:after="0" w:line="240" w:lineRule="auto"/>
              <w:jc w:val="right"/>
            </w:pPr>
            <w:r>
              <w:rPr>
                <w:b w:val="0"/>
                <w:i w:val="0"/>
                <w:sz w:val="16"/>
              </w:rPr>
              <w:t>−18%</w:t>
            </w:r>
          </w:p>
        </w:tc>
      </w:tr>
      <w:tr>
        <w:trPr>
          <w:cantSplit/>
        </w:trPr>
        <w:tc>
          <w:tcPr>
            <w:tcW w:type="dxa" w:w="1152"/>
            <w:shd w:val="clear" w:color="auto" w:fill="D9E1F2"/>
          </w:tcPr>
          <w:p>
            <w:pPr>
              <w:spacing w:after="0" w:line="240" w:lineRule="auto"/>
            </w:pPr>
            <w:r>
              <w:rPr>
                <w:b w:val="0"/>
                <w:i w:val="0"/>
                <w:sz w:val="16"/>
              </w:rPr>
              <w:t>6M-26</w:t>
            </w:r>
          </w:p>
        </w:tc>
        <w:tc>
          <w:tcPr>
            <w:tcW w:type="dxa" w:w="1296"/>
            <w:shd w:val="clear" w:color="auto" w:fill="D9E1F2"/>
          </w:tcPr>
          <w:p>
            <w:pPr>
              <w:spacing w:after="0" w:line="240" w:lineRule="auto"/>
            </w:pPr>
            <w:r>
              <w:rPr>
                <w:b w:val="0"/>
                <w:i w:val="0"/>
                <w:sz w:val="16"/>
              </w:rPr>
              <w:t>B2B</w:t>
            </w:r>
          </w:p>
        </w:tc>
        <w:tc>
          <w:tcPr>
            <w:tcW w:type="dxa" w:w="1152"/>
            <w:shd w:val="clear" w:color="auto" w:fill="D9E1F2"/>
          </w:tcPr>
          <w:p>
            <w:pPr>
              <w:spacing w:after="0" w:line="240" w:lineRule="auto"/>
              <w:jc w:val="right"/>
            </w:pPr>
            <w:r>
              <w:rPr>
                <w:b w:val="0"/>
                <w:i w:val="0"/>
                <w:sz w:val="16"/>
              </w:rPr>
              <w:t>18</w:t>
            </w:r>
          </w:p>
        </w:tc>
        <w:tc>
          <w:tcPr>
            <w:tcW w:type="dxa" w:w="1728"/>
            <w:shd w:val="clear" w:color="auto" w:fill="D9E1F2"/>
          </w:tcPr>
          <w:p>
            <w:pPr>
              <w:spacing w:after="0" w:line="240" w:lineRule="auto"/>
              <w:jc w:val="right"/>
            </w:pPr>
            <w:r>
              <w:rPr>
                <w:b w:val="0"/>
                <w:i w:val="0"/>
                <w:sz w:val="16"/>
              </w:rPr>
              <w:t>−22</w:t>
            </w:r>
          </w:p>
        </w:tc>
        <w:tc>
          <w:tcPr>
            <w:tcW w:type="dxa" w:w="1152"/>
            <w:shd w:val="clear" w:color="auto" w:fill="D9E1F2"/>
          </w:tcPr>
          <w:p>
            <w:pPr>
              <w:spacing w:after="0" w:line="240" w:lineRule="auto"/>
              <w:jc w:val="right"/>
            </w:pPr>
            <w:r>
              <w:rPr>
                <w:b w:val="0"/>
                <w:i w:val="0"/>
                <w:sz w:val="16"/>
              </w:rPr>
              <w:t>n/m</w:t>
            </w:r>
          </w:p>
        </w:tc>
        <w:tc>
          <w:tcPr>
            <w:tcW w:type="dxa" w:w="1584"/>
            <w:shd w:val="clear" w:color="auto" w:fill="D9E1F2"/>
          </w:tcPr>
          <w:p>
            <w:pPr>
              <w:spacing w:after="0" w:line="240" w:lineRule="auto"/>
              <w:jc w:val="right"/>
            </w:pPr>
            <w:r>
              <w:rPr>
                <w:b w:val="0"/>
                <w:i w:val="0"/>
                <w:sz w:val="16"/>
              </w:rPr>
              <w:t>9</w:t>
            </w:r>
          </w:p>
        </w:tc>
        <w:tc>
          <w:tcPr>
            <w:tcW w:type="dxa" w:w="1728"/>
            <w:shd w:val="clear" w:color="auto" w:fill="D9E1F2"/>
          </w:tcPr>
          <w:p>
            <w:pPr>
              <w:spacing w:after="0" w:line="240" w:lineRule="auto"/>
              <w:jc w:val="right"/>
            </w:pPr>
            <w:r>
              <w:rPr>
                <w:b w:val="0"/>
                <w:i w:val="0"/>
                <w:sz w:val="16"/>
              </w:rPr>
              <w:t>50%</w:t>
            </w:r>
          </w:p>
        </w:tc>
      </w:tr>
      <w:tr>
        <w:trPr>
          <w:cantSplit/>
        </w:trPr>
        <w:tc>
          <w:tcPr>
            <w:tcW w:type="dxa" w:w="1152"/>
          </w:tcPr>
          <w:p>
            <w:pPr>
              <w:spacing w:after="0" w:line="240" w:lineRule="auto"/>
            </w:pPr>
            <w:r>
              <w:rPr>
                <w:b w:val="0"/>
                <w:i w:val="0"/>
                <w:sz w:val="16"/>
              </w:rPr>
              <w:t>FY24</w:t>
            </w:r>
          </w:p>
        </w:tc>
        <w:tc>
          <w:tcPr>
            <w:tcW w:type="dxa" w:w="1296"/>
          </w:tcPr>
          <w:p>
            <w:pPr>
              <w:spacing w:after="0" w:line="240" w:lineRule="auto"/>
            </w:pPr>
            <w:r>
              <w:rPr>
                <w:b w:val="0"/>
                <w:i w:val="0"/>
                <w:sz w:val="16"/>
              </w:rPr>
              <w:t>Total</w:t>
            </w:r>
          </w:p>
        </w:tc>
        <w:tc>
          <w:tcPr>
            <w:tcW w:type="dxa" w:w="1152"/>
          </w:tcPr>
          <w:p>
            <w:pPr>
              <w:spacing w:after="0" w:line="240" w:lineRule="auto"/>
              <w:jc w:val="right"/>
            </w:pPr>
            <w:r>
              <w:rPr>
                <w:b w:val="0"/>
                <w:i w:val="0"/>
                <w:sz w:val="16"/>
              </w:rPr>
              <w:t>128</w:t>
            </w:r>
          </w:p>
        </w:tc>
        <w:tc>
          <w:tcPr>
            <w:tcW w:type="dxa" w:w="1728"/>
          </w:tcPr>
          <w:p>
            <w:pPr>
              <w:spacing w:after="0" w:line="240" w:lineRule="auto"/>
              <w:jc w:val="right"/>
            </w:pPr>
            <w:r>
              <w:rPr>
                <w:b w:val="0"/>
                <w:i w:val="0"/>
                <w:sz w:val="16"/>
              </w:rPr>
              <w:t>59</w:t>
            </w:r>
          </w:p>
        </w:tc>
        <w:tc>
          <w:tcPr>
            <w:tcW w:type="dxa" w:w="1152"/>
          </w:tcPr>
          <w:p>
            <w:pPr>
              <w:spacing w:after="0" w:line="240" w:lineRule="auto"/>
              <w:jc w:val="right"/>
            </w:pPr>
            <w:r>
              <w:rPr>
                <w:b w:val="0"/>
                <w:i w:val="0"/>
                <w:sz w:val="16"/>
              </w:rPr>
              <w:t>46%</w:t>
            </w:r>
          </w:p>
        </w:tc>
        <w:tc>
          <w:tcPr>
            <w:tcW w:type="dxa" w:w="1584"/>
          </w:tcPr>
          <w:p>
            <w:pPr>
              <w:spacing w:after="0" w:line="240" w:lineRule="auto"/>
              <w:jc w:val="right"/>
            </w:pPr>
            <w:r>
              <w:rPr>
                <w:b w:val="0"/>
                <w:i w:val="0"/>
                <w:sz w:val="16"/>
              </w:rPr>
              <w:t>60</w:t>
            </w:r>
          </w:p>
        </w:tc>
        <w:tc>
          <w:tcPr>
            <w:tcW w:type="dxa" w:w="1728"/>
          </w:tcPr>
          <w:p>
            <w:pPr>
              <w:spacing w:after="0" w:line="240" w:lineRule="auto"/>
              <w:jc w:val="right"/>
            </w:pPr>
            <w:r>
              <w:rPr>
                <w:b w:val="0"/>
                <w:i w:val="0"/>
                <w:sz w:val="16"/>
              </w:rPr>
              <w:t>47%</w:t>
            </w:r>
          </w:p>
        </w:tc>
      </w:tr>
      <w:tr>
        <w:trPr>
          <w:cantSplit/>
        </w:trPr>
        <w:tc>
          <w:tcPr>
            <w:tcW w:type="dxa" w:w="1152"/>
            <w:shd w:val="clear" w:color="auto" w:fill="D9E1F2"/>
          </w:tcPr>
          <w:p>
            <w:pPr>
              <w:spacing w:after="0" w:line="240" w:lineRule="auto"/>
            </w:pPr>
            <w:r>
              <w:rPr>
                <w:b w:val="0"/>
                <w:i w:val="0"/>
                <w:sz w:val="16"/>
              </w:rPr>
              <w:t>FY25</w:t>
            </w:r>
          </w:p>
        </w:tc>
        <w:tc>
          <w:tcPr>
            <w:tcW w:type="dxa" w:w="1296"/>
            <w:shd w:val="clear" w:color="auto" w:fill="D9E1F2"/>
          </w:tcPr>
          <w:p>
            <w:pPr>
              <w:spacing w:after="0" w:line="240" w:lineRule="auto"/>
            </w:pPr>
            <w:r>
              <w:rPr>
                <w:b w:val="0"/>
                <w:i w:val="0"/>
                <w:sz w:val="16"/>
              </w:rPr>
              <w:t>Total</w:t>
            </w:r>
          </w:p>
        </w:tc>
        <w:tc>
          <w:tcPr>
            <w:tcW w:type="dxa" w:w="1152"/>
            <w:shd w:val="clear" w:color="auto" w:fill="D9E1F2"/>
          </w:tcPr>
          <w:p>
            <w:pPr>
              <w:spacing w:after="0" w:line="240" w:lineRule="auto"/>
              <w:jc w:val="right"/>
            </w:pPr>
            <w:r>
              <w:rPr>
                <w:b w:val="0"/>
                <w:i w:val="0"/>
                <w:sz w:val="16"/>
              </w:rPr>
              <w:t>137</w:t>
            </w:r>
          </w:p>
        </w:tc>
        <w:tc>
          <w:tcPr>
            <w:tcW w:type="dxa" w:w="1728"/>
            <w:shd w:val="clear" w:color="auto" w:fill="D9E1F2"/>
          </w:tcPr>
          <w:p>
            <w:pPr>
              <w:spacing w:after="0" w:line="240" w:lineRule="auto"/>
              <w:jc w:val="right"/>
            </w:pPr>
            <w:r>
              <w:rPr>
                <w:b w:val="0"/>
                <w:i w:val="0"/>
                <w:sz w:val="16"/>
              </w:rPr>
              <w:t>41</w:t>
            </w:r>
          </w:p>
        </w:tc>
        <w:tc>
          <w:tcPr>
            <w:tcW w:type="dxa" w:w="1152"/>
            <w:shd w:val="clear" w:color="auto" w:fill="D9E1F2"/>
          </w:tcPr>
          <w:p>
            <w:pPr>
              <w:spacing w:after="0" w:line="240" w:lineRule="auto"/>
              <w:jc w:val="right"/>
            </w:pPr>
            <w:r>
              <w:rPr>
                <w:b w:val="0"/>
                <w:i w:val="0"/>
                <w:sz w:val="16"/>
              </w:rPr>
              <w:t>30%</w:t>
            </w:r>
          </w:p>
        </w:tc>
        <w:tc>
          <w:tcPr>
            <w:tcW w:type="dxa" w:w="1584"/>
            <w:shd w:val="clear" w:color="auto" w:fill="D9E1F2"/>
          </w:tcPr>
          <w:p>
            <w:pPr>
              <w:spacing w:after="0" w:line="240" w:lineRule="auto"/>
              <w:jc w:val="right"/>
            </w:pPr>
            <w:r>
              <w:rPr>
                <w:b w:val="0"/>
                <w:i w:val="0"/>
                <w:sz w:val="16"/>
              </w:rPr>
              <w:t>53</w:t>
            </w:r>
          </w:p>
        </w:tc>
        <w:tc>
          <w:tcPr>
            <w:tcW w:type="dxa" w:w="1728"/>
            <w:shd w:val="clear" w:color="auto" w:fill="D9E1F2"/>
          </w:tcPr>
          <w:p>
            <w:pPr>
              <w:spacing w:after="0" w:line="240" w:lineRule="auto"/>
              <w:jc w:val="right"/>
            </w:pPr>
            <w:r>
              <w:rPr>
                <w:b w:val="0"/>
                <w:i w:val="0"/>
                <w:sz w:val="16"/>
              </w:rPr>
              <w:t>39%</w:t>
            </w:r>
          </w:p>
        </w:tc>
      </w:tr>
      <w:tr>
        <w:trPr>
          <w:cantSplit/>
        </w:trPr>
        <w:tc>
          <w:tcPr>
            <w:tcW w:type="dxa" w:w="1152"/>
          </w:tcPr>
          <w:p>
            <w:pPr>
              <w:spacing w:after="0" w:line="240" w:lineRule="auto"/>
            </w:pPr>
            <w:r>
              <w:rPr>
                <w:b w:val="0"/>
                <w:i w:val="0"/>
                <w:sz w:val="16"/>
              </w:rPr>
              <w:t>6M-26</w:t>
            </w:r>
          </w:p>
        </w:tc>
        <w:tc>
          <w:tcPr>
            <w:tcW w:type="dxa" w:w="1296"/>
          </w:tcPr>
          <w:p>
            <w:pPr>
              <w:spacing w:after="0" w:line="240" w:lineRule="auto"/>
            </w:pPr>
            <w:r>
              <w:rPr>
                <w:b w:val="0"/>
                <w:i w:val="0"/>
                <w:sz w:val="16"/>
              </w:rPr>
              <w:t>Total</w:t>
            </w:r>
          </w:p>
        </w:tc>
        <w:tc>
          <w:tcPr>
            <w:tcW w:type="dxa" w:w="1152"/>
          </w:tcPr>
          <w:p>
            <w:pPr>
              <w:spacing w:after="0" w:line="240" w:lineRule="auto"/>
              <w:jc w:val="right"/>
            </w:pPr>
            <w:r>
              <w:rPr>
                <w:b w:val="0"/>
                <w:i w:val="0"/>
                <w:sz w:val="16"/>
              </w:rPr>
              <w:t>64</w:t>
            </w:r>
          </w:p>
        </w:tc>
        <w:tc>
          <w:tcPr>
            <w:tcW w:type="dxa" w:w="1728"/>
          </w:tcPr>
          <w:p>
            <w:pPr>
              <w:spacing w:after="0" w:line="240" w:lineRule="auto"/>
              <w:jc w:val="right"/>
            </w:pPr>
            <w:r>
              <w:rPr>
                <w:b w:val="0"/>
                <w:i w:val="0"/>
                <w:sz w:val="16"/>
              </w:rPr>
              <w:t>−17</w:t>
            </w:r>
          </w:p>
        </w:tc>
        <w:tc>
          <w:tcPr>
            <w:tcW w:type="dxa" w:w="1152"/>
          </w:tcPr>
          <w:p>
            <w:pPr>
              <w:spacing w:after="0" w:line="240" w:lineRule="auto"/>
              <w:jc w:val="right"/>
            </w:pPr>
            <w:r>
              <w:rPr>
                <w:b w:val="0"/>
                <w:i w:val="0"/>
                <w:sz w:val="16"/>
              </w:rPr>
              <w:t>n/m</w:t>
            </w:r>
          </w:p>
        </w:tc>
        <w:tc>
          <w:tcPr>
            <w:tcW w:type="dxa" w:w="1584"/>
          </w:tcPr>
          <w:p>
            <w:pPr>
              <w:spacing w:after="0" w:line="240" w:lineRule="auto"/>
              <w:jc w:val="right"/>
            </w:pPr>
            <w:r>
              <w:rPr>
                <w:b w:val="0"/>
                <w:i w:val="0"/>
                <w:sz w:val="16"/>
              </w:rPr>
              <w:t>29</w:t>
            </w:r>
          </w:p>
        </w:tc>
        <w:tc>
          <w:tcPr>
            <w:tcW w:type="dxa" w:w="1728"/>
          </w:tcPr>
          <w:p>
            <w:pPr>
              <w:spacing w:after="0" w:line="240" w:lineRule="auto"/>
              <w:jc w:val="right"/>
            </w:pPr>
            <w:r>
              <w:rPr>
                <w:b w:val="0"/>
                <w:i w:val="0"/>
                <w:sz w:val="16"/>
              </w:rPr>
              <w:t>45%</w:t>
            </w:r>
          </w:p>
        </w:tc>
      </w:tr>
    </w:tbl>
    <w:p>
      <w:pPr>
        <w:spacing w:after="120"/>
      </w:pPr>
      <w:r>
        <w:rPr>
          <w:b w:val="0"/>
          <w:i/>
          <w:color w:val="595959"/>
          <w:sz w:val="15"/>
        </w:rPr>
        <w:t>Source: analysis/K_session_tables.md (D2). OP basis = Form 10/A segment OP; Adj. EBITDA basis = 10/A Segment Adj. EBITDA (FY/Q1) and 10-Q Adj. EBITDA (Q2/6M); the two tie for Q1-26.</w:t>
      </w:r>
    </w:p>
    <w:p>
      <w:r>
        <w:rPr>
          <w:b w:val="0"/>
          <w:i w:val="0"/>
        </w:rPr>
        <w:t xml:space="preserve">Reading (D2 (d)): CARFAX incremental Adj. EBITDA margins of ~45–58% sit at or just above the segment average, so price-led growth is being reinvested in advertising and “strategic investments”. B2B FY25 is the anomaly: operating-related expenses +11% (232 → 258) and S&amp;G +9% (162 → 177) on +6% revenue </w:t>
      </w:r>
      <w:r>
        <w:rPr>
          <w:b/>
          <w:color w:val="2E548C"/>
          <w:sz w:val="16"/>
        </w:rPr>
        <w:t>[D]</w:t>
      </w:r>
      <w:r>
        <w:rPr>
          <w:b w:val="0"/>
          <w:i w:val="0"/>
        </w:rPr>
        <w:t xml:space="preserve">. </w:t>
      </w:r>
      <w:r>
        <w:rPr>
          <w:b/>
          <w:color w:val="E36C09"/>
        </w:rPr>
        <w:t>[TO COLLECT #38: B2B FY25 cost-line drivers (FAST/PIQ/Data Studio build, merit, data costs)]</w:t>
      </w:r>
      <w:r>
        <w:rPr>
          <w:b w:val="0"/>
          <w:i w:val="0"/>
        </w:rPr>
        <w:t>.</w:t>
      </w:r>
    </w:p>
    <w:p>
      <w:pPr>
        <w:pStyle w:val="Heading2"/>
      </w:pPr>
      <w:r>
        <w:t>7.3 B2B contract economics</w:t>
      </w:r>
    </w:p>
    <w:p>
      <w:pPr>
        <w:pStyle w:val="ListBullet"/>
      </w:pPr>
      <w:r>
        <w:rPr>
          <w:b w:val="0"/>
          <w:i w:val="0"/>
        </w:rPr>
        <w:t xml:space="preserve">OEM revenue ≈ 10% × $1,750m ≈ $175m </w:t>
      </w:r>
      <w:r>
        <w:rPr>
          <w:b/>
          <w:color w:val="2E548C"/>
          <w:sz w:val="16"/>
        </w:rPr>
        <w:t>[C]</w:t>
      </w:r>
      <w:r>
        <w:rPr>
          <w:b w:val="0"/>
          <w:i w:val="0"/>
        </w:rPr>
        <w:t xml:space="preserve"> → ≤ ~$4.4m per top-40 OEM per year (ceiling) </w:t>
      </w:r>
      <w:r>
        <w:rPr>
          <w:b/>
          <w:color w:val="2E548C"/>
          <w:sz w:val="16"/>
        </w:rPr>
        <w:t>[C]</w:t>
      </w:r>
      <w:r>
        <w:rPr>
          <w:b w:val="0"/>
          <w:i w:val="0"/>
        </w:rPr>
        <w:t>.</w:t>
      </w:r>
    </w:p>
    <w:p>
      <w:pPr>
        <w:pStyle w:val="ListBullet"/>
      </w:pPr>
      <w:r>
        <w:rPr>
          <w:b w:val="0"/>
          <w:i w:val="0"/>
        </w:rPr>
        <w:t xml:space="preserve">OEM &amp; supplier ≈ 20% × $1,750m ≈ $350m </w:t>
      </w:r>
      <w:r>
        <w:rPr>
          <w:b/>
          <w:color w:val="2E548C"/>
          <w:sz w:val="16"/>
        </w:rPr>
        <w:t>[C, deck %]</w:t>
      </w:r>
      <w:r>
        <w:rPr>
          <w:b w:val="0"/>
          <w:i w:val="0"/>
        </w:rPr>
        <w:t xml:space="preserve"> → ~$2.6m per named enterprise customer (40 OEMs + 94 suppliers) </w:t>
      </w:r>
      <w:r>
        <w:rPr>
          <w:b/>
          <w:color w:val="2E548C"/>
          <w:sz w:val="16"/>
        </w:rPr>
        <w:t>[C]</w:t>
      </w:r>
      <w:r>
        <w:rPr>
          <w:b w:val="0"/>
          <w:i w:val="0"/>
        </w:rPr>
        <w:t>.</w:t>
      </w:r>
    </w:p>
    <w:p>
      <w:pPr>
        <w:pStyle w:val="ListBullet"/>
      </w:pPr>
      <w:r>
        <w:rPr>
          <w:b w:val="0"/>
          <w:i w:val="0"/>
        </w:rPr>
        <w:t xml:space="preserve">B2B dealer revenue ≲ $400m </w:t>
      </w:r>
      <w:r>
        <w:rPr>
          <w:b/>
          <w:color w:val="2E548C"/>
          <w:sz w:val="16"/>
        </w:rPr>
        <w:t>[C]</w:t>
      </w:r>
      <w:r>
        <w:rPr>
          <w:b w:val="0"/>
          <w:i w:val="0"/>
        </w:rPr>
        <w:t xml:space="preserve"> → ≤ ~$36k per US B2B dealer (11K) per year </w:t>
      </w:r>
      <w:r>
        <w:rPr>
          <w:b/>
          <w:color w:val="2E548C"/>
          <w:sz w:val="16"/>
        </w:rPr>
        <w:t>[C]</w:t>
      </w:r>
      <w:r>
        <w:rPr>
          <w:b w:val="0"/>
          <w:i w:val="0"/>
        </w:rPr>
        <w:t>; cannot be split between aM and Market Scan.</w:t>
      </w:r>
    </w:p>
    <w:p>
      <w:pPr>
        <w:pStyle w:val="ListBullet"/>
      </w:pPr>
      <w:r>
        <w:rPr>
          <w:b w:val="0"/>
          <w:i w:val="0"/>
        </w:rPr>
        <w:t xml:space="preserve">RPO / FY25 subscription revenue = 5.5% </w:t>
      </w:r>
      <w:r>
        <w:rPr>
          <w:b/>
          <w:color w:val="2E548C"/>
          <w:sz w:val="16"/>
        </w:rPr>
        <w:t>[C]</w:t>
      </w:r>
      <w:r>
        <w:rPr>
          <w:b w:val="0"/>
          <w:i w:val="0"/>
        </w:rPr>
        <w:t>: multi-year lock-in is not evidenced in the accounting.</w:t>
      </w:r>
    </w:p>
    <w:p>
      <w:pPr>
        <w:pStyle w:val="ListBullet"/>
      </w:pPr>
      <w:r>
        <w:rPr>
          <w:b w:val="0"/>
          <w:i w:val="0"/>
        </w:rPr>
        <w:t xml:space="preserve">B2B underlying subscription growth ~6% in 1H-26 vs a goal of “high single digits” </w:t>
      </w:r>
      <w:r>
        <w:rPr>
          <w:b/>
          <w:color w:val="2E548C"/>
          <w:sz w:val="16"/>
        </w:rPr>
        <w:t>[IR]</w:t>
      </w:r>
      <w:r>
        <w:rPr>
          <w:b w:val="0"/>
          <w:i w:val="0"/>
        </w:rPr>
        <w:t xml:space="preserve">; printed 6M-26 B2B subscription +8% </w:t>
      </w:r>
      <w:r>
        <w:rPr>
          <w:b/>
          <w:color w:val="2E548C"/>
          <w:sz w:val="16"/>
        </w:rPr>
        <w:t>[D]</w:t>
      </w:r>
      <w:r>
        <w:rPr>
          <w:b w:val="0"/>
          <w:i w:val="0"/>
        </w:rPr>
        <w:t>.</w:t>
      </w:r>
    </w:p>
    <w:p>
      <w:pPr>
        <w:pStyle w:val="ListBullet"/>
      </w:pPr>
      <w:r>
        <w:rPr>
          <w:b/>
          <w:color w:val="E36C09"/>
        </w:rPr>
        <w:t>[TO COLLECT #39: automotiveMastermind revenue, pricing and dealer count trend]</w:t>
      </w:r>
      <w:r>
        <w:rPr>
          <w:b w:val="0"/>
          <w:i w:val="0"/>
        </w:rPr>
        <w:t xml:space="preserve">; </w:t>
      </w:r>
      <w:r>
        <w:rPr>
          <w:b/>
          <w:color w:val="E36C09"/>
        </w:rPr>
        <w:t>[TO COLLECT #40: B2B contract escalator terms and renewal rates]</w:t>
      </w:r>
      <w:r>
        <w:rPr>
          <w:b w:val="0"/>
          <w:i w:val="0"/>
        </w:rPr>
        <w:t>.</w:t>
      </w:r>
    </w:p>
    <w:p>
      <w:pPr>
        <w:pStyle w:val="Heading2"/>
      </w:pPr>
      <w:r>
        <w:t>7.4 Capital intensity and returns</w:t>
      </w:r>
    </w:p>
    <w:p>
      <w:pPr>
        <w:keepNext/>
        <w:spacing w:before="80" w:after="40"/>
      </w:pPr>
      <w:r>
        <w:rPr>
          <w:b/>
          <w:i w:val="0"/>
          <w:color w:val="1F3864"/>
          <w:sz w:val="17"/>
        </w:rPr>
        <w:t xml:space="preserve">Exhibit 7.3 — Capex and cash conversion </w:t>
      </w:r>
      <w:r>
        <w:rPr>
          <w:b/>
          <w:color w:val="2E548C"/>
          <w:sz w:val="14"/>
        </w:rPr>
        <w:t>[D]</w:t>
      </w:r>
      <w:r>
        <w:rPr>
          <w:b/>
          <w:i w:val="0"/>
          <w:color w:val="1F3864"/>
          <w:sz w:val="17"/>
        </w:rPr>
        <w:t>/</w:t>
      </w:r>
      <w:r>
        <w:rPr>
          <w:b/>
          <w:color w:val="2E548C"/>
          <w:sz w:val="14"/>
        </w:rPr>
        <w:t>[C]</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3405"/>
        <w:gridCol w:w="1277"/>
        <w:gridCol w:w="1277"/>
        <w:gridCol w:w="1277"/>
        <w:gridCol w:w="1277"/>
        <w:gridCol w:w="1277"/>
      </w:tblGrid>
      <w:tr>
        <w:trPr>
          <w:cantSplit/>
          <w:tblHeader/>
        </w:trPr>
        <w:tc>
          <w:tcPr>
            <w:tcW w:type="dxa" w:w="3406"/>
            <w:shd w:val="clear" w:color="auto" w:fill="1F3864"/>
          </w:tcPr>
          <w:p>
            <w:pPr>
              <w:spacing w:after="0" w:line="240" w:lineRule="auto"/>
            </w:pPr>
          </w:p>
        </w:tc>
        <w:tc>
          <w:tcPr>
            <w:tcW w:type="dxa" w:w="1277"/>
            <w:shd w:val="clear" w:color="auto" w:fill="1F3864"/>
          </w:tcPr>
          <w:p>
            <w:pPr>
              <w:spacing w:after="0" w:line="240" w:lineRule="auto"/>
              <w:jc w:val="right"/>
            </w:pPr>
            <w:r>
              <w:rPr>
                <w:b/>
                <w:i w:val="0"/>
                <w:color w:val="FFFFFF"/>
                <w:sz w:val="16"/>
              </w:rPr>
              <w:t>FY23</w:t>
            </w:r>
          </w:p>
        </w:tc>
        <w:tc>
          <w:tcPr>
            <w:tcW w:type="dxa" w:w="1277"/>
            <w:shd w:val="clear" w:color="auto" w:fill="1F3864"/>
          </w:tcPr>
          <w:p>
            <w:pPr>
              <w:spacing w:after="0" w:line="240" w:lineRule="auto"/>
              <w:jc w:val="right"/>
            </w:pPr>
            <w:r>
              <w:rPr>
                <w:b/>
                <w:i w:val="0"/>
                <w:color w:val="FFFFFF"/>
                <w:sz w:val="16"/>
              </w:rPr>
              <w:t>FY24</w:t>
            </w:r>
          </w:p>
        </w:tc>
        <w:tc>
          <w:tcPr>
            <w:tcW w:type="dxa" w:w="1277"/>
            <w:shd w:val="clear" w:color="auto" w:fill="1F3864"/>
          </w:tcPr>
          <w:p>
            <w:pPr>
              <w:spacing w:after="0" w:line="240" w:lineRule="auto"/>
              <w:jc w:val="right"/>
            </w:pPr>
            <w:r>
              <w:rPr>
                <w:b/>
                <w:i w:val="0"/>
                <w:color w:val="FFFFFF"/>
                <w:sz w:val="16"/>
              </w:rPr>
              <w:t>FY25</w:t>
            </w:r>
          </w:p>
        </w:tc>
        <w:tc>
          <w:tcPr>
            <w:tcW w:type="dxa" w:w="1277"/>
            <w:shd w:val="clear" w:color="auto" w:fill="1F3864"/>
          </w:tcPr>
          <w:p>
            <w:pPr>
              <w:spacing w:after="0" w:line="240" w:lineRule="auto"/>
              <w:jc w:val="right"/>
            </w:pPr>
            <w:r>
              <w:rPr>
                <w:b/>
                <w:i w:val="0"/>
                <w:color w:val="FFFFFF"/>
                <w:sz w:val="16"/>
              </w:rPr>
              <w:t>6M-25</w:t>
            </w:r>
          </w:p>
        </w:tc>
        <w:tc>
          <w:tcPr>
            <w:tcW w:type="dxa" w:w="1277"/>
            <w:shd w:val="clear" w:color="auto" w:fill="1F3864"/>
          </w:tcPr>
          <w:p>
            <w:pPr>
              <w:spacing w:after="0" w:line="240" w:lineRule="auto"/>
              <w:jc w:val="right"/>
            </w:pPr>
            <w:r>
              <w:rPr>
                <w:b/>
                <w:i w:val="0"/>
                <w:color w:val="FFFFFF"/>
                <w:sz w:val="16"/>
              </w:rPr>
              <w:t>6M-26</w:t>
            </w:r>
          </w:p>
        </w:tc>
      </w:tr>
      <w:tr>
        <w:trPr>
          <w:cantSplit/>
        </w:trPr>
        <w:tc>
          <w:tcPr>
            <w:tcW w:type="dxa" w:w="3406"/>
          </w:tcPr>
          <w:p>
            <w:pPr>
              <w:spacing w:after="0" w:line="240" w:lineRule="auto"/>
            </w:pPr>
            <w:r>
              <w:rPr>
                <w:b w:val="0"/>
                <w:i w:val="0"/>
                <w:sz w:val="16"/>
              </w:rPr>
              <w:t xml:space="preserve">Capex </w:t>
            </w:r>
            <w:r>
              <w:rPr>
                <w:b/>
                <w:color w:val="2E548C"/>
                <w:sz w:val="13"/>
              </w:rPr>
              <w:t>[D]</w:t>
            </w:r>
          </w:p>
        </w:tc>
        <w:tc>
          <w:tcPr>
            <w:tcW w:type="dxa" w:w="1277"/>
          </w:tcPr>
          <w:p>
            <w:pPr>
              <w:spacing w:after="0" w:line="240" w:lineRule="auto"/>
              <w:jc w:val="right"/>
            </w:pPr>
            <w:r>
              <w:rPr>
                <w:b w:val="0"/>
                <w:i w:val="0"/>
                <w:sz w:val="16"/>
              </w:rPr>
              <w:t>18</w:t>
            </w:r>
          </w:p>
        </w:tc>
        <w:tc>
          <w:tcPr>
            <w:tcW w:type="dxa" w:w="1277"/>
          </w:tcPr>
          <w:p>
            <w:pPr>
              <w:spacing w:after="0" w:line="240" w:lineRule="auto"/>
              <w:jc w:val="right"/>
            </w:pPr>
            <w:r>
              <w:rPr>
                <w:b w:val="0"/>
                <w:i w:val="0"/>
                <w:sz w:val="16"/>
              </w:rPr>
              <w:t>15</w:t>
            </w:r>
          </w:p>
        </w:tc>
        <w:tc>
          <w:tcPr>
            <w:tcW w:type="dxa" w:w="1277"/>
          </w:tcPr>
          <w:p>
            <w:pPr>
              <w:spacing w:after="0" w:line="240" w:lineRule="auto"/>
              <w:jc w:val="right"/>
            </w:pPr>
            <w:r>
              <w:rPr>
                <w:b w:val="0"/>
                <w:i w:val="0"/>
                <w:sz w:val="16"/>
              </w:rPr>
              <w:t>24</w:t>
            </w:r>
          </w:p>
        </w:tc>
        <w:tc>
          <w:tcPr>
            <w:tcW w:type="dxa" w:w="1277"/>
          </w:tcPr>
          <w:p>
            <w:pPr>
              <w:spacing w:after="0" w:line="240" w:lineRule="auto"/>
              <w:jc w:val="right"/>
            </w:pPr>
            <w:r>
              <w:rPr>
                <w:b w:val="0"/>
                <w:i w:val="0"/>
                <w:sz w:val="16"/>
              </w:rPr>
              <w:t>8</w:t>
            </w:r>
          </w:p>
        </w:tc>
        <w:tc>
          <w:tcPr>
            <w:tcW w:type="dxa" w:w="1277"/>
          </w:tcPr>
          <w:p>
            <w:pPr>
              <w:spacing w:after="0" w:line="240" w:lineRule="auto"/>
              <w:jc w:val="right"/>
            </w:pPr>
            <w:r>
              <w:rPr>
                <w:b w:val="0"/>
                <w:i w:val="0"/>
                <w:sz w:val="16"/>
              </w:rPr>
              <w:t>12</w:t>
            </w:r>
          </w:p>
        </w:tc>
      </w:tr>
      <w:tr>
        <w:trPr>
          <w:cantSplit/>
        </w:trPr>
        <w:tc>
          <w:tcPr>
            <w:tcW w:type="dxa" w:w="3406"/>
            <w:shd w:val="clear" w:color="auto" w:fill="D9E1F2"/>
          </w:tcPr>
          <w:p>
            <w:pPr>
              <w:spacing w:after="0" w:line="240" w:lineRule="auto"/>
            </w:pPr>
            <w:r>
              <w:rPr>
                <w:b w:val="0"/>
                <w:i w:val="0"/>
                <w:sz w:val="16"/>
              </w:rPr>
              <w:t xml:space="preserve">Capex / revenue </w:t>
            </w:r>
            <w:r>
              <w:rPr>
                <w:b/>
                <w:color w:val="2E548C"/>
                <w:sz w:val="13"/>
              </w:rPr>
              <w:t>[C]</w:t>
            </w:r>
          </w:p>
        </w:tc>
        <w:tc>
          <w:tcPr>
            <w:tcW w:type="dxa" w:w="1277"/>
            <w:shd w:val="clear" w:color="auto" w:fill="D9E1F2"/>
          </w:tcPr>
          <w:p>
            <w:pPr>
              <w:spacing w:after="0" w:line="240" w:lineRule="auto"/>
              <w:jc w:val="right"/>
            </w:pPr>
            <w:r>
              <w:rPr>
                <w:b w:val="0"/>
                <w:i w:val="0"/>
                <w:sz w:val="16"/>
              </w:rPr>
              <w:t>1.2%</w:t>
            </w:r>
          </w:p>
        </w:tc>
        <w:tc>
          <w:tcPr>
            <w:tcW w:type="dxa" w:w="1277"/>
            <w:shd w:val="clear" w:color="auto" w:fill="D9E1F2"/>
          </w:tcPr>
          <w:p>
            <w:pPr>
              <w:spacing w:after="0" w:line="240" w:lineRule="auto"/>
              <w:jc w:val="right"/>
            </w:pPr>
            <w:r>
              <w:rPr>
                <w:b w:val="0"/>
                <w:i w:val="0"/>
                <w:sz w:val="16"/>
              </w:rPr>
              <w:t>0.9%</w:t>
            </w:r>
          </w:p>
        </w:tc>
        <w:tc>
          <w:tcPr>
            <w:tcW w:type="dxa" w:w="1277"/>
            <w:shd w:val="clear" w:color="auto" w:fill="D9E1F2"/>
          </w:tcPr>
          <w:p>
            <w:pPr>
              <w:spacing w:after="0" w:line="240" w:lineRule="auto"/>
              <w:jc w:val="right"/>
            </w:pPr>
            <w:r>
              <w:rPr>
                <w:b w:val="0"/>
                <w:i w:val="0"/>
                <w:sz w:val="16"/>
              </w:rPr>
              <w:t>1.4%</w:t>
            </w:r>
          </w:p>
        </w:tc>
        <w:tc>
          <w:tcPr>
            <w:tcW w:type="dxa" w:w="1277"/>
            <w:shd w:val="clear" w:color="auto" w:fill="D9E1F2"/>
          </w:tcPr>
          <w:p>
            <w:pPr>
              <w:spacing w:after="0" w:line="240" w:lineRule="auto"/>
              <w:jc w:val="right"/>
            </w:pPr>
            <w:r>
              <w:rPr>
                <w:b w:val="0"/>
                <w:i w:val="0"/>
                <w:sz w:val="16"/>
              </w:rPr>
              <w:t>0.9%</w:t>
            </w:r>
          </w:p>
        </w:tc>
        <w:tc>
          <w:tcPr>
            <w:tcW w:type="dxa" w:w="1277"/>
            <w:shd w:val="clear" w:color="auto" w:fill="D9E1F2"/>
          </w:tcPr>
          <w:p>
            <w:pPr>
              <w:spacing w:after="0" w:line="240" w:lineRule="auto"/>
              <w:jc w:val="right"/>
            </w:pPr>
            <w:r>
              <w:rPr>
                <w:b w:val="0"/>
                <w:i w:val="0"/>
                <w:sz w:val="16"/>
              </w:rPr>
              <w:t>1.3%</w:t>
            </w:r>
          </w:p>
        </w:tc>
      </w:tr>
      <w:tr>
        <w:trPr>
          <w:cantSplit/>
        </w:trPr>
        <w:tc>
          <w:tcPr>
            <w:tcW w:type="dxa" w:w="3406"/>
          </w:tcPr>
          <w:p>
            <w:pPr>
              <w:spacing w:after="0" w:line="240" w:lineRule="auto"/>
            </w:pPr>
            <w:r>
              <w:rPr>
                <w:b w:val="0"/>
                <w:i w:val="0"/>
                <w:sz w:val="16"/>
              </w:rPr>
              <w:t xml:space="preserve">CARFAX capex / B2B capex </w:t>
            </w:r>
            <w:r>
              <w:rPr>
                <w:b/>
                <w:color w:val="2E548C"/>
                <w:sz w:val="13"/>
              </w:rPr>
              <w:t>[D]</w:t>
            </w:r>
          </w:p>
        </w:tc>
        <w:tc>
          <w:tcPr>
            <w:tcW w:type="dxa" w:w="1277"/>
          </w:tcPr>
          <w:p>
            <w:pPr>
              <w:spacing w:after="0" w:line="240" w:lineRule="auto"/>
              <w:jc w:val="right"/>
            </w:pPr>
            <w:r>
              <w:rPr>
                <w:b w:val="0"/>
                <w:i w:val="0"/>
                <w:sz w:val="16"/>
              </w:rPr>
              <w:t>9 / 9</w:t>
            </w:r>
          </w:p>
        </w:tc>
        <w:tc>
          <w:tcPr>
            <w:tcW w:type="dxa" w:w="1277"/>
          </w:tcPr>
          <w:p>
            <w:pPr>
              <w:spacing w:after="0" w:line="240" w:lineRule="auto"/>
              <w:jc w:val="right"/>
            </w:pPr>
            <w:r>
              <w:rPr>
                <w:b w:val="0"/>
                <w:i w:val="0"/>
                <w:sz w:val="16"/>
              </w:rPr>
              <w:t>10 / 5</w:t>
            </w:r>
          </w:p>
        </w:tc>
        <w:tc>
          <w:tcPr>
            <w:tcW w:type="dxa" w:w="1277"/>
          </w:tcPr>
          <w:p>
            <w:pPr>
              <w:spacing w:after="0" w:line="240" w:lineRule="auto"/>
              <w:jc w:val="right"/>
            </w:pPr>
            <w:r>
              <w:rPr>
                <w:b w:val="0"/>
                <w:i w:val="0"/>
                <w:sz w:val="16"/>
              </w:rPr>
              <w:t>15 / 9</w:t>
            </w:r>
          </w:p>
        </w:tc>
        <w:tc>
          <w:tcPr>
            <w:tcW w:type="dxa" w:w="1277"/>
          </w:tcPr>
          <w:p>
            <w:pPr>
              <w:spacing w:after="0" w:line="240" w:lineRule="auto"/>
              <w:jc w:val="right"/>
            </w:pPr>
            <w:r>
              <w:rPr>
                <w:b w:val="0"/>
                <w:i w:val="0"/>
                <w:sz w:val="16"/>
              </w:rPr>
              <w:t>n/d</w:t>
            </w:r>
          </w:p>
        </w:tc>
        <w:tc>
          <w:tcPr>
            <w:tcW w:type="dxa" w:w="1277"/>
          </w:tcPr>
          <w:p>
            <w:pPr>
              <w:spacing w:after="0" w:line="240" w:lineRule="auto"/>
              <w:jc w:val="right"/>
            </w:pPr>
            <w:r>
              <w:rPr>
                <w:b w:val="0"/>
                <w:i w:val="0"/>
                <w:sz w:val="16"/>
              </w:rPr>
              <w:t>n/d (segment capex dropped in 10-Q)</w:t>
            </w:r>
          </w:p>
        </w:tc>
      </w:tr>
      <w:tr>
        <w:trPr>
          <w:cantSplit/>
        </w:trPr>
        <w:tc>
          <w:tcPr>
            <w:tcW w:type="dxa" w:w="3406"/>
            <w:shd w:val="clear" w:color="auto" w:fill="D9E1F2"/>
          </w:tcPr>
          <w:p>
            <w:pPr>
              <w:spacing w:after="0" w:line="240" w:lineRule="auto"/>
            </w:pPr>
            <w:r>
              <w:rPr>
                <w:b w:val="0"/>
                <w:i w:val="0"/>
                <w:sz w:val="16"/>
              </w:rPr>
              <w:t xml:space="preserve">Depreciation (excl. acquired amortization) </w:t>
            </w:r>
            <w:r>
              <w:rPr>
                <w:b/>
                <w:color w:val="2E548C"/>
                <w:sz w:val="13"/>
              </w:rPr>
              <w:t>[D]</w:t>
            </w:r>
          </w:p>
        </w:tc>
        <w:tc>
          <w:tcPr>
            <w:tcW w:type="dxa" w:w="1277"/>
            <w:shd w:val="clear" w:color="auto" w:fill="D9E1F2"/>
          </w:tcPr>
          <w:p>
            <w:pPr>
              <w:spacing w:after="0" w:line="240" w:lineRule="auto"/>
              <w:jc w:val="right"/>
            </w:pPr>
            <w:r>
              <w:rPr>
                <w:b w:val="0"/>
                <w:i w:val="0"/>
                <w:sz w:val="16"/>
              </w:rPr>
              <w:t>12</w:t>
            </w:r>
          </w:p>
        </w:tc>
        <w:tc>
          <w:tcPr>
            <w:tcW w:type="dxa" w:w="1277"/>
            <w:shd w:val="clear" w:color="auto" w:fill="D9E1F2"/>
          </w:tcPr>
          <w:p>
            <w:pPr>
              <w:spacing w:after="0" w:line="240" w:lineRule="auto"/>
              <w:jc w:val="right"/>
            </w:pPr>
            <w:r>
              <w:rPr>
                <w:b w:val="0"/>
                <w:i w:val="0"/>
                <w:sz w:val="16"/>
              </w:rPr>
              <w:t>13</w:t>
            </w:r>
          </w:p>
        </w:tc>
        <w:tc>
          <w:tcPr>
            <w:tcW w:type="dxa" w:w="1277"/>
            <w:shd w:val="clear" w:color="auto" w:fill="D9E1F2"/>
          </w:tcPr>
          <w:p>
            <w:pPr>
              <w:spacing w:after="0" w:line="240" w:lineRule="auto"/>
              <w:jc w:val="right"/>
            </w:pPr>
            <w:r>
              <w:rPr>
                <w:b w:val="0"/>
                <w:i w:val="0"/>
                <w:sz w:val="16"/>
              </w:rPr>
              <w:t>14</w:t>
            </w:r>
          </w:p>
        </w:tc>
        <w:tc>
          <w:tcPr>
            <w:tcW w:type="dxa" w:w="1277"/>
            <w:shd w:val="clear" w:color="auto" w:fill="D9E1F2"/>
          </w:tcPr>
          <w:p>
            <w:pPr>
              <w:spacing w:after="0" w:line="240" w:lineRule="auto"/>
              <w:jc w:val="right"/>
            </w:pPr>
            <w:r>
              <w:rPr>
                <w:b w:val="0"/>
                <w:i w:val="0"/>
                <w:sz w:val="16"/>
              </w:rPr>
              <w:t>7</w:t>
            </w:r>
          </w:p>
        </w:tc>
        <w:tc>
          <w:tcPr>
            <w:tcW w:type="dxa" w:w="1277"/>
            <w:shd w:val="clear" w:color="auto" w:fill="D9E1F2"/>
          </w:tcPr>
          <w:p>
            <w:pPr>
              <w:spacing w:after="0" w:line="240" w:lineRule="auto"/>
              <w:jc w:val="right"/>
            </w:pPr>
            <w:r>
              <w:rPr>
                <w:b w:val="0"/>
                <w:i w:val="0"/>
                <w:sz w:val="16"/>
              </w:rPr>
              <w:t>7</w:t>
            </w:r>
          </w:p>
        </w:tc>
      </w:tr>
      <w:tr>
        <w:trPr>
          <w:cantSplit/>
        </w:trPr>
        <w:tc>
          <w:tcPr>
            <w:tcW w:type="dxa" w:w="3406"/>
          </w:tcPr>
          <w:p>
            <w:pPr>
              <w:spacing w:after="0" w:line="240" w:lineRule="auto"/>
            </w:pPr>
            <w:r>
              <w:rPr>
                <w:b w:val="0"/>
                <w:i w:val="0"/>
                <w:sz w:val="16"/>
              </w:rPr>
              <w:t xml:space="preserve">Capex / depreciation </w:t>
            </w:r>
            <w:r>
              <w:rPr>
                <w:b/>
                <w:color w:val="2E548C"/>
                <w:sz w:val="13"/>
              </w:rPr>
              <w:t>[C]</w:t>
            </w:r>
          </w:p>
        </w:tc>
        <w:tc>
          <w:tcPr>
            <w:tcW w:type="dxa" w:w="1277"/>
          </w:tcPr>
          <w:p>
            <w:pPr>
              <w:spacing w:after="0" w:line="240" w:lineRule="auto"/>
              <w:jc w:val="right"/>
            </w:pPr>
            <w:r>
              <w:rPr>
                <w:b w:val="0"/>
                <w:i w:val="0"/>
                <w:sz w:val="16"/>
              </w:rPr>
              <w:t>1.5x</w:t>
            </w:r>
          </w:p>
        </w:tc>
        <w:tc>
          <w:tcPr>
            <w:tcW w:type="dxa" w:w="1277"/>
          </w:tcPr>
          <w:p>
            <w:pPr>
              <w:spacing w:after="0" w:line="240" w:lineRule="auto"/>
              <w:jc w:val="right"/>
            </w:pPr>
            <w:r>
              <w:rPr>
                <w:b w:val="0"/>
                <w:i w:val="0"/>
                <w:sz w:val="16"/>
              </w:rPr>
              <w:t>1.2x</w:t>
            </w:r>
          </w:p>
        </w:tc>
        <w:tc>
          <w:tcPr>
            <w:tcW w:type="dxa" w:w="1277"/>
          </w:tcPr>
          <w:p>
            <w:pPr>
              <w:spacing w:after="0" w:line="240" w:lineRule="auto"/>
              <w:jc w:val="right"/>
            </w:pPr>
            <w:r>
              <w:rPr>
                <w:b w:val="0"/>
                <w:i w:val="0"/>
                <w:sz w:val="16"/>
              </w:rPr>
              <w:t>1.7x</w:t>
            </w:r>
          </w:p>
        </w:tc>
        <w:tc>
          <w:tcPr>
            <w:tcW w:type="dxa" w:w="1277"/>
          </w:tcPr>
          <w:p>
            <w:pPr>
              <w:spacing w:after="0" w:line="240" w:lineRule="auto"/>
              <w:jc w:val="right"/>
            </w:pPr>
            <w:r>
              <w:rPr>
                <w:b w:val="0"/>
                <w:i w:val="0"/>
                <w:sz w:val="16"/>
              </w:rPr>
              <w:t>1.1x</w:t>
            </w:r>
          </w:p>
        </w:tc>
        <w:tc>
          <w:tcPr>
            <w:tcW w:type="dxa" w:w="1277"/>
          </w:tcPr>
          <w:p>
            <w:pPr>
              <w:spacing w:after="0" w:line="240" w:lineRule="auto"/>
              <w:jc w:val="right"/>
            </w:pPr>
            <w:r>
              <w:rPr>
                <w:b w:val="0"/>
                <w:i w:val="0"/>
                <w:sz w:val="16"/>
              </w:rPr>
              <w:t>1.7x</w:t>
            </w:r>
          </w:p>
        </w:tc>
      </w:tr>
      <w:tr>
        <w:trPr>
          <w:cantSplit/>
        </w:trPr>
        <w:tc>
          <w:tcPr>
            <w:tcW w:type="dxa" w:w="3406"/>
            <w:shd w:val="clear" w:color="auto" w:fill="D9E1F2"/>
          </w:tcPr>
          <w:p>
            <w:pPr>
              <w:spacing w:after="0" w:line="240" w:lineRule="auto"/>
            </w:pPr>
            <w:r>
              <w:rPr>
                <w:b w:val="0"/>
                <w:i w:val="0"/>
                <w:sz w:val="16"/>
              </w:rPr>
              <w:t xml:space="preserve">FCF </w:t>
            </w:r>
            <w:r>
              <w:rPr>
                <w:b/>
                <w:color w:val="2E548C"/>
                <w:sz w:val="13"/>
              </w:rPr>
              <w:t>[D]</w:t>
            </w:r>
            <w:r>
              <w:rPr>
                <w:b w:val="0"/>
                <w:i w:val="0"/>
                <w:sz w:val="16"/>
              </w:rPr>
              <w:t xml:space="preserve"> / FCF conversion (FCF / Adj. EBITDA)</w:t>
            </w:r>
          </w:p>
        </w:tc>
        <w:tc>
          <w:tcPr>
            <w:tcW w:type="dxa" w:w="1277"/>
            <w:shd w:val="clear" w:color="auto" w:fill="D9E1F2"/>
          </w:tcPr>
          <w:p>
            <w:pPr>
              <w:spacing w:after="0" w:line="240" w:lineRule="auto"/>
              <w:jc w:val="right"/>
            </w:pPr>
            <w:r>
              <w:rPr>
                <w:b w:val="0"/>
                <w:i w:val="0"/>
                <w:sz w:val="16"/>
              </w:rPr>
              <w:t>375 / 63%</w:t>
            </w:r>
          </w:p>
        </w:tc>
        <w:tc>
          <w:tcPr>
            <w:tcW w:type="dxa" w:w="1277"/>
            <w:shd w:val="clear" w:color="auto" w:fill="D9E1F2"/>
          </w:tcPr>
          <w:p>
            <w:pPr>
              <w:spacing w:after="0" w:line="240" w:lineRule="auto"/>
              <w:jc w:val="right"/>
            </w:pPr>
            <w:r>
              <w:rPr>
                <w:b w:val="0"/>
                <w:i w:val="0"/>
                <w:sz w:val="16"/>
              </w:rPr>
              <w:t>412 / 63%</w:t>
            </w:r>
          </w:p>
        </w:tc>
        <w:tc>
          <w:tcPr>
            <w:tcW w:type="dxa" w:w="1277"/>
            <w:shd w:val="clear" w:color="auto" w:fill="D9E1F2"/>
          </w:tcPr>
          <w:p>
            <w:pPr>
              <w:spacing w:after="0" w:line="240" w:lineRule="auto"/>
              <w:jc w:val="right"/>
            </w:pPr>
            <w:r>
              <w:rPr>
                <w:b w:val="0"/>
                <w:i w:val="0"/>
                <w:sz w:val="16"/>
              </w:rPr>
              <w:t>461 / 65%</w:t>
            </w:r>
          </w:p>
        </w:tc>
        <w:tc>
          <w:tcPr>
            <w:tcW w:type="dxa" w:w="1277"/>
            <w:shd w:val="clear" w:color="auto" w:fill="D9E1F2"/>
          </w:tcPr>
          <w:p>
            <w:pPr>
              <w:spacing w:after="0" w:line="240" w:lineRule="auto"/>
              <w:jc w:val="right"/>
            </w:pPr>
            <w:r>
              <w:rPr>
                <w:b w:val="0"/>
                <w:i w:val="0"/>
                <w:sz w:val="16"/>
              </w:rPr>
              <w:t xml:space="preserve">225 / 63% </w:t>
            </w:r>
            <w:r>
              <w:rPr>
                <w:b/>
                <w:color w:val="2E548C"/>
                <w:sz w:val="13"/>
              </w:rPr>
              <w:t>[C]</w:t>
            </w:r>
          </w:p>
        </w:tc>
        <w:tc>
          <w:tcPr>
            <w:tcW w:type="dxa" w:w="1277"/>
            <w:shd w:val="clear" w:color="auto" w:fill="D9E1F2"/>
          </w:tcPr>
          <w:p>
            <w:pPr>
              <w:spacing w:after="0" w:line="240" w:lineRule="auto"/>
              <w:jc w:val="right"/>
            </w:pPr>
            <w:r>
              <w:rPr>
                <w:b w:val="0"/>
                <w:i w:val="0"/>
                <w:sz w:val="16"/>
              </w:rPr>
              <w:t xml:space="preserve">177 / 46% </w:t>
            </w:r>
            <w:r>
              <w:rPr>
                <w:b/>
                <w:color w:val="2E548C"/>
                <w:sz w:val="13"/>
              </w:rPr>
              <w:t>[C]</w:t>
            </w:r>
          </w:p>
        </w:tc>
      </w:tr>
    </w:tbl>
    <w:p>
      <w:pPr>
        <w:spacing w:after="120"/>
      </w:pPr>
      <w:r>
        <w:rPr>
          <w:b w:val="0"/>
          <w:i/>
          <w:color w:val="595959"/>
          <w:sz w:val="15"/>
        </w:rPr>
        <w:t>Source: analysis/D2_unit_economics.md (e); 10A p.361, 463; 10Q p.7.</w:t>
      </w:r>
    </w:p>
    <w:p>
      <w:pPr>
        <w:pStyle w:val="ListBullet"/>
      </w:pPr>
      <w:r>
        <w:rPr>
          <w:b w:val="0"/>
          <w:i w:val="0"/>
        </w:rPr>
        <w:t xml:space="preserve">No capitalized-software asset is disclosed; acquired “Databases and software” cost is unchanged at $1,077m FY23–25 and gross PP&amp;E is ~$100m </w:t>
      </w:r>
      <w:r>
        <w:rPr>
          <w:b/>
          <w:color w:val="2E548C"/>
          <w:sz w:val="16"/>
        </w:rPr>
        <w:t>[D]</w:t>
      </w:r>
      <w:r>
        <w:rPr>
          <w:b w:val="0"/>
          <w:i w:val="0"/>
        </w:rPr>
        <w:t>. Inference: development cost runs through the P&amp;L, so FCF is not flattered by capitalization.</w:t>
      </w:r>
    </w:p>
    <w:p>
      <w:pPr>
        <w:pStyle w:val="ListBullet"/>
      </w:pPr>
      <w:r>
        <w:rPr>
          <w:b w:val="0"/>
          <w:i w:val="0"/>
        </w:rPr>
        <w:t xml:space="preserve">One-time stand-up spend: ~$100m, ~50% capitalized </w:t>
      </w:r>
      <w:r>
        <w:rPr>
          <w:b/>
          <w:color w:val="2E548C"/>
          <w:sz w:val="16"/>
        </w:rPr>
        <w:t>[IR]</w:t>
      </w:r>
      <w:r>
        <w:rPr>
          <w:b w:val="0"/>
          <w:i w:val="0"/>
        </w:rPr>
        <w:t xml:space="preserve"> → ~$50m of capitalized stand-up over 2026–27 vs $24m FY25 capex </w:t>
      </w:r>
      <w:r>
        <w:rPr>
          <w:b/>
          <w:color w:val="2E548C"/>
          <w:sz w:val="16"/>
        </w:rPr>
        <w:t>[C]</w:t>
      </w:r>
      <w:r>
        <w:rPr>
          <w:b w:val="0"/>
          <w:i w:val="0"/>
        </w:rPr>
        <w:t>.</w:t>
      </w:r>
    </w:p>
    <w:p>
      <w:pPr>
        <w:pStyle w:val="ListBullet"/>
      </w:pPr>
      <w:r>
        <w:rPr>
          <w:b w:val="0"/>
          <w:i w:val="0"/>
        </w:rPr>
        <w:t xml:space="preserve">ROIC (not printed): FY25 NOPAT ≈ $256m on ~$11.7bn carve-out invested capital ≈ 2.2%, or ≈ 3.9% before amortization </w:t>
      </w:r>
      <w:r>
        <w:rPr>
          <w:b/>
          <w:color w:val="2E548C"/>
          <w:sz w:val="16"/>
        </w:rPr>
        <w:t>[C]</w:t>
      </w:r>
      <w:r>
        <w:rPr>
          <w:b w:val="0"/>
          <w:i w:val="0"/>
        </w:rPr>
        <w:t xml:space="preserve"> — an artefact of pushed-down purchase prices (goodwill $8,845m </w:t>
      </w:r>
      <w:r>
        <w:rPr>
          <w:b/>
          <w:color w:val="2E548C"/>
          <w:sz w:val="16"/>
        </w:rPr>
        <w:t>[D]</w:t>
      </w:r>
      <w:r>
        <w:rPr>
          <w:b w:val="0"/>
          <w:i w:val="0"/>
        </w:rPr>
        <w:t>); incremental returns are very high (capex ~1% of revenue).</w:t>
      </w:r>
    </w:p>
    <w:p>
      <w:pPr>
        <w:pStyle w:val="ListBullet"/>
      </w:pPr>
      <w:r>
        <w:rPr>
          <w:b/>
          <w:color w:val="E36C09"/>
        </w:rPr>
        <w:t>[TO COLLECT #41: maintenance vs growth capex split]</w:t>
      </w:r>
      <w:r>
        <w:rPr>
          <w:b w:val="0"/>
          <w:i w:val="0"/>
        </w:rPr>
        <w:t xml:space="preserve">; </w:t>
      </w:r>
      <w:r>
        <w:rPr>
          <w:b/>
          <w:color w:val="E36C09"/>
        </w:rPr>
        <w:t>[TO COLLECT #42: R&amp;D expense included in S&amp;G]</w:t>
      </w:r>
      <w:r>
        <w:rPr>
          <w:b w:val="0"/>
          <w:i w:val="0"/>
        </w:rPr>
        <w:t>.</w:t>
      </w:r>
    </w:p>
    <w:p>
      <w:pPr>
        <w:pStyle w:val="Heading2"/>
      </w:pPr>
      <w:r>
        <w:t>7.5 International and new products</w:t>
      </w:r>
    </w:p>
    <w:p>
      <w:pPr>
        <w:keepNext/>
        <w:spacing w:before="80" w:after="40"/>
      </w:pPr>
      <w:r>
        <w:rPr>
          <w:b/>
          <w:i w:val="0"/>
          <w:color w:val="1F3864"/>
          <w:sz w:val="17"/>
        </w:rPr>
        <w:t>Exhibit 7.4 — International expansion anchors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880"/>
        <w:gridCol w:w="4320"/>
        <w:gridCol w:w="2592"/>
      </w:tblGrid>
      <w:tr>
        <w:trPr>
          <w:cantSplit/>
          <w:tblHeader/>
        </w:trPr>
        <w:tc>
          <w:tcPr>
            <w:tcW w:type="dxa" w:w="2880"/>
            <w:shd w:val="clear" w:color="auto" w:fill="1F3864"/>
          </w:tcPr>
          <w:p>
            <w:pPr>
              <w:spacing w:after="0" w:line="240" w:lineRule="auto"/>
            </w:pPr>
            <w:r>
              <w:rPr>
                <w:b/>
                <w:i w:val="0"/>
                <w:color w:val="FFFFFF"/>
                <w:sz w:val="15"/>
              </w:rPr>
              <w:t>Anchor</w:t>
            </w:r>
          </w:p>
        </w:tc>
        <w:tc>
          <w:tcPr>
            <w:tcW w:type="dxa" w:w="4320"/>
            <w:shd w:val="clear" w:color="auto" w:fill="1F3864"/>
          </w:tcPr>
          <w:p>
            <w:pPr>
              <w:spacing w:after="0" w:line="240" w:lineRule="auto"/>
            </w:pPr>
            <w:r>
              <w:rPr>
                <w:b/>
                <w:i w:val="0"/>
                <w:color w:val="FFFFFF"/>
                <w:sz w:val="15"/>
              </w:rPr>
              <w:t>Value</w:t>
            </w:r>
          </w:p>
        </w:tc>
        <w:tc>
          <w:tcPr>
            <w:tcW w:type="dxa" w:w="2592"/>
            <w:shd w:val="clear" w:color="auto" w:fill="1F3864"/>
          </w:tcPr>
          <w:p>
            <w:pPr>
              <w:spacing w:after="0" w:line="240" w:lineRule="auto"/>
            </w:pPr>
            <w:r>
              <w:rPr>
                <w:b/>
                <w:i w:val="0"/>
                <w:color w:val="FFFFFF"/>
                <w:sz w:val="15"/>
              </w:rPr>
              <w:t>Tier / source</w:t>
            </w:r>
          </w:p>
        </w:tc>
      </w:tr>
      <w:tr>
        <w:trPr>
          <w:cantSplit/>
        </w:trPr>
        <w:tc>
          <w:tcPr>
            <w:tcW w:type="dxa" w:w="2880"/>
          </w:tcPr>
          <w:p>
            <w:pPr>
              <w:spacing w:after="0" w:line="240" w:lineRule="auto"/>
            </w:pPr>
            <w:r>
              <w:rPr>
                <w:b w:val="0"/>
                <w:i w:val="0"/>
                <w:sz w:val="15"/>
              </w:rPr>
              <w:t>CARPROOF (Canada) acquisition</w:t>
            </w:r>
          </w:p>
        </w:tc>
        <w:tc>
          <w:tcPr>
            <w:tcW w:type="dxa" w:w="4320"/>
          </w:tcPr>
          <w:p>
            <w:pPr>
              <w:spacing w:after="0" w:line="240" w:lineRule="auto"/>
            </w:pPr>
            <w:r>
              <w:rPr>
                <w:b w:val="0"/>
                <w:i w:val="0"/>
                <w:sz w:val="15"/>
              </w:rPr>
              <w:t>2015-12-24, $459.2m net of cash; goodwill 330.0, intangibles 168.3</w:t>
            </w:r>
          </w:p>
        </w:tc>
        <w:tc>
          <w:tcPr>
            <w:tcW w:type="dxa" w:w="2592"/>
          </w:tcPr>
          <w:p>
            <w:pPr>
              <w:spacing w:after="0" w:line="240" w:lineRule="auto"/>
            </w:pPr>
            <w:r>
              <w:rPr>
                <w:b/>
                <w:color w:val="2E548C"/>
                <w:sz w:val="12"/>
              </w:rPr>
              <w:t>[D]</w:t>
            </w:r>
            <w:r>
              <w:rPr>
                <w:b w:val="0"/>
                <w:i w:val="0"/>
                <w:sz w:val="15"/>
              </w:rPr>
              <w:t xml:space="preserve"> IHS FY2016 10-K p.60-61 (acquisitions.csv)</w:t>
            </w:r>
          </w:p>
        </w:tc>
      </w:tr>
      <w:tr>
        <w:trPr>
          <w:cantSplit/>
        </w:trPr>
        <w:tc>
          <w:tcPr>
            <w:tcW w:type="dxa" w:w="2880"/>
            <w:shd w:val="clear" w:color="auto" w:fill="D9E1F2"/>
          </w:tcPr>
          <w:p>
            <w:pPr>
              <w:spacing w:after="0" w:line="240" w:lineRule="auto"/>
            </w:pPr>
            <w:r>
              <w:rPr>
                <w:b w:val="0"/>
                <w:i w:val="0"/>
                <w:sz w:val="15"/>
              </w:rPr>
              <w:t>Canada Carfax Loan (intra-group funding)</w:t>
            </w:r>
          </w:p>
        </w:tc>
        <w:tc>
          <w:tcPr>
            <w:tcW w:type="dxa" w:w="4320"/>
            <w:shd w:val="clear" w:color="auto" w:fill="D9E1F2"/>
          </w:tcPr>
          <w:p>
            <w:pPr>
              <w:spacing w:after="0" w:line="240" w:lineRule="auto"/>
            </w:pPr>
            <w:r>
              <w:rPr>
                <w:b w:val="0"/>
                <w:i w:val="0"/>
                <w:sz w:val="15"/>
              </w:rPr>
              <w:t>CAD 403m, 6.0%, 2018; $230m at 12/31/25; contributed and eliminated 2026-06-25</w:t>
            </w:r>
          </w:p>
        </w:tc>
        <w:tc>
          <w:tcPr>
            <w:tcW w:type="dxa" w:w="2592"/>
            <w:shd w:val="clear" w:color="auto" w:fill="D9E1F2"/>
          </w:tcPr>
          <w:p>
            <w:pPr>
              <w:spacing w:after="0" w:line="240" w:lineRule="auto"/>
            </w:pPr>
            <w:r>
              <w:rPr>
                <w:b/>
                <w:color w:val="2E548C"/>
                <w:sz w:val="12"/>
              </w:rPr>
              <w:t>[D]</w:t>
            </w:r>
            <w:r>
              <w:rPr>
                <w:b w:val="0"/>
                <w:i w:val="0"/>
                <w:sz w:val="15"/>
              </w:rPr>
              <w:t xml:space="preserve"> 10A p.363; 10Q p.17</w:t>
            </w:r>
          </w:p>
        </w:tc>
      </w:tr>
      <w:tr>
        <w:trPr>
          <w:cantSplit/>
        </w:trPr>
        <w:tc>
          <w:tcPr>
            <w:tcW w:type="dxa" w:w="2880"/>
          </w:tcPr>
          <w:p>
            <w:pPr>
              <w:spacing w:after="0" w:line="240" w:lineRule="auto"/>
            </w:pPr>
            <w:r>
              <w:rPr>
                <w:b w:val="0"/>
                <w:i w:val="0"/>
                <w:sz w:val="15"/>
              </w:rPr>
              <w:t>CARFAX International revenue FY23 / FY24 / FY25</w:t>
            </w:r>
          </w:p>
        </w:tc>
        <w:tc>
          <w:tcPr>
            <w:tcW w:type="dxa" w:w="4320"/>
          </w:tcPr>
          <w:p>
            <w:pPr>
              <w:spacing w:after="0" w:line="240" w:lineRule="auto"/>
            </w:pPr>
            <w:r>
              <w:rPr>
                <w:b w:val="0"/>
                <w:i w:val="0"/>
                <w:sz w:val="15"/>
              </w:rPr>
              <w:t>137 / 155 / 168 (+13% / +9%)</w:t>
            </w:r>
          </w:p>
        </w:tc>
        <w:tc>
          <w:tcPr>
            <w:tcW w:type="dxa" w:w="2592"/>
          </w:tcPr>
          <w:p>
            <w:pPr>
              <w:spacing w:after="0" w:line="240" w:lineRule="auto"/>
            </w:pPr>
            <w:r>
              <w:rPr>
                <w:b/>
                <w:color w:val="2E548C"/>
                <w:sz w:val="12"/>
              </w:rPr>
              <w:t>[D]</w:t>
            </w:r>
            <w:r>
              <w:rPr>
                <w:b w:val="0"/>
                <w:i w:val="0"/>
                <w:sz w:val="15"/>
              </w:rPr>
              <w:t xml:space="preserve"> 10A p.355</w:t>
            </w:r>
          </w:p>
        </w:tc>
      </w:tr>
      <w:tr>
        <w:trPr>
          <w:cantSplit/>
        </w:trPr>
        <w:tc>
          <w:tcPr>
            <w:tcW w:type="dxa" w:w="2880"/>
            <w:shd w:val="clear" w:color="auto" w:fill="D9E1F2"/>
          </w:tcPr>
          <w:p>
            <w:pPr>
              <w:spacing w:after="0" w:line="240" w:lineRule="auto"/>
            </w:pPr>
            <w:r>
              <w:rPr>
                <w:b w:val="0"/>
                <w:i w:val="0"/>
                <w:sz w:val="15"/>
              </w:rPr>
              <w:t>CARFAX International revenue Q2-26 / 6M-26</w:t>
            </w:r>
          </w:p>
        </w:tc>
        <w:tc>
          <w:tcPr>
            <w:tcW w:type="dxa" w:w="4320"/>
            <w:shd w:val="clear" w:color="auto" w:fill="D9E1F2"/>
          </w:tcPr>
          <w:p>
            <w:pPr>
              <w:spacing w:after="0" w:line="240" w:lineRule="auto"/>
            </w:pPr>
            <w:r>
              <w:rPr>
                <w:b w:val="0"/>
                <w:i w:val="0"/>
                <w:sz w:val="15"/>
              </w:rPr>
              <w:t>47 (+9%) / 92 (+12%)</w:t>
            </w:r>
          </w:p>
        </w:tc>
        <w:tc>
          <w:tcPr>
            <w:tcW w:type="dxa" w:w="2592"/>
            <w:shd w:val="clear" w:color="auto" w:fill="D9E1F2"/>
          </w:tcPr>
          <w:p>
            <w:pPr>
              <w:spacing w:after="0" w:line="240" w:lineRule="auto"/>
            </w:pPr>
            <w:r>
              <w:rPr>
                <w:b/>
                <w:color w:val="2E548C"/>
                <w:sz w:val="12"/>
              </w:rPr>
              <w:t>[D]</w:t>
            </w:r>
            <w:r>
              <w:rPr>
                <w:b w:val="0"/>
                <w:i w:val="0"/>
                <w:sz w:val="15"/>
              </w:rPr>
              <w:t xml:space="preserve"> 10Q p.28</w:t>
            </w:r>
          </w:p>
        </w:tc>
      </w:tr>
      <w:tr>
        <w:trPr>
          <w:cantSplit/>
        </w:trPr>
        <w:tc>
          <w:tcPr>
            <w:tcW w:type="dxa" w:w="2880"/>
          </w:tcPr>
          <w:p>
            <w:pPr>
              <w:spacing w:after="0" w:line="240" w:lineRule="auto"/>
            </w:pPr>
            <w:r>
              <w:rPr>
                <w:b w:val="0"/>
                <w:i w:val="0"/>
                <w:sz w:val="15"/>
              </w:rPr>
              <w:t>CARFAX International mix</w:t>
            </w:r>
          </w:p>
        </w:tc>
        <w:tc>
          <w:tcPr>
            <w:tcW w:type="dxa" w:w="4320"/>
          </w:tcPr>
          <w:p>
            <w:pPr>
              <w:spacing w:after="0" w:line="240" w:lineRule="auto"/>
            </w:pPr>
            <w:r>
              <w:rPr>
                <w:b w:val="0"/>
                <w:i w:val="0"/>
                <w:sz w:val="15"/>
              </w:rPr>
              <w:t>15% of CARFAX; "Canada is the largest established international business"</w:t>
            </w:r>
          </w:p>
        </w:tc>
        <w:tc>
          <w:tcPr>
            <w:tcW w:type="dxa" w:w="2592"/>
          </w:tcPr>
          <w:p>
            <w:pPr>
              <w:spacing w:after="0" w:line="240" w:lineRule="auto"/>
            </w:pPr>
            <w:r>
              <w:rPr>
                <w:b/>
                <w:color w:val="2E548C"/>
                <w:sz w:val="12"/>
              </w:rPr>
              <w:t>[D]</w:t>
            </w:r>
            <w:r>
              <w:rPr>
                <w:b w:val="0"/>
                <w:i w:val="0"/>
                <w:sz w:val="15"/>
              </w:rPr>
              <w:t xml:space="preserve"> 10A p.355; </w:t>
            </w:r>
            <w:r>
              <w:rPr>
                <w:b/>
                <w:color w:val="2E548C"/>
                <w:sz w:val="12"/>
              </w:rPr>
              <w:t>[IR]</w:t>
            </w:r>
            <w:r>
              <w:rPr>
                <w:b w:val="0"/>
                <w:i w:val="0"/>
                <w:sz w:val="15"/>
              </w:rPr>
              <w:t xml:space="preserve"> GS-T</w:t>
            </w:r>
          </w:p>
        </w:tc>
      </w:tr>
      <w:tr>
        <w:trPr>
          <w:cantSplit/>
        </w:trPr>
        <w:tc>
          <w:tcPr>
            <w:tcW w:type="dxa" w:w="2880"/>
            <w:shd w:val="clear" w:color="auto" w:fill="D9E1F2"/>
          </w:tcPr>
          <w:p>
            <w:pPr>
              <w:spacing w:after="0" w:line="240" w:lineRule="auto"/>
            </w:pPr>
            <w:r>
              <w:rPr>
                <w:b w:val="0"/>
                <w:i w:val="0"/>
                <w:sz w:val="15"/>
              </w:rPr>
              <w:t>Group foreign pre-tax income FY23 / FY24 / FY25</w:t>
            </w:r>
          </w:p>
        </w:tc>
        <w:tc>
          <w:tcPr>
            <w:tcW w:type="dxa" w:w="4320"/>
            <w:shd w:val="clear" w:color="auto" w:fill="D9E1F2"/>
          </w:tcPr>
          <w:p>
            <w:pPr>
              <w:spacing w:after="0" w:line="240" w:lineRule="auto"/>
            </w:pPr>
            <w:r>
              <w:rPr>
                <w:b w:val="0"/>
                <w:i w:val="0"/>
                <w:sz w:val="15"/>
              </w:rPr>
              <w:t>40 / 59 / 50</w:t>
            </w:r>
          </w:p>
        </w:tc>
        <w:tc>
          <w:tcPr>
            <w:tcW w:type="dxa" w:w="2592"/>
            <w:shd w:val="clear" w:color="auto" w:fill="D9E1F2"/>
          </w:tcPr>
          <w:p>
            <w:pPr>
              <w:spacing w:after="0" w:line="240" w:lineRule="auto"/>
            </w:pPr>
            <w:r>
              <w:rPr>
                <w:b/>
                <w:color w:val="2E548C"/>
                <w:sz w:val="12"/>
              </w:rPr>
              <w:t>[D]</w:t>
            </w:r>
            <w:r>
              <w:rPr>
                <w:b w:val="0"/>
                <w:i w:val="0"/>
                <w:sz w:val="15"/>
              </w:rPr>
              <w:t xml:space="preserve"> 10A p.455 (includes B2B international)</w:t>
            </w:r>
          </w:p>
        </w:tc>
      </w:tr>
      <w:tr>
        <w:trPr>
          <w:cantSplit/>
        </w:trPr>
        <w:tc>
          <w:tcPr>
            <w:tcW w:type="dxa" w:w="2880"/>
          </w:tcPr>
          <w:p>
            <w:pPr>
              <w:spacing w:after="0" w:line="240" w:lineRule="auto"/>
            </w:pPr>
            <w:r>
              <w:rPr>
                <w:b w:val="0"/>
                <w:i w:val="0"/>
                <w:sz w:val="15"/>
              </w:rPr>
              <w:t>UK valuation allowance charge</w:t>
            </w:r>
          </w:p>
        </w:tc>
        <w:tc>
          <w:tcPr>
            <w:tcW w:type="dxa" w:w="4320"/>
          </w:tcPr>
          <w:p>
            <w:pPr>
              <w:spacing w:after="0" w:line="240" w:lineRule="auto"/>
            </w:pPr>
            <w:r>
              <w:rPr>
                <w:b w:val="0"/>
                <w:i w:val="0"/>
                <w:sz w:val="15"/>
              </w:rPr>
              <w:t>$5m in FY25 ETR</w:t>
            </w:r>
          </w:p>
        </w:tc>
        <w:tc>
          <w:tcPr>
            <w:tcW w:type="dxa" w:w="2592"/>
          </w:tcPr>
          <w:p>
            <w:pPr>
              <w:spacing w:after="0" w:line="240" w:lineRule="auto"/>
            </w:pPr>
            <w:r>
              <w:rPr>
                <w:b/>
                <w:color w:val="2E548C"/>
                <w:sz w:val="12"/>
              </w:rPr>
              <w:t>[D]</w:t>
            </w:r>
            <w:r>
              <w:rPr>
                <w:b w:val="0"/>
                <w:i w:val="0"/>
                <w:sz w:val="15"/>
              </w:rPr>
              <w:t xml:space="preserve"> 10A p.456</w:t>
            </w:r>
          </w:p>
        </w:tc>
      </w:tr>
      <w:tr>
        <w:trPr>
          <w:cantSplit/>
        </w:trPr>
        <w:tc>
          <w:tcPr>
            <w:tcW w:type="dxa" w:w="2880"/>
            <w:shd w:val="clear" w:color="auto" w:fill="D9E1F2"/>
          </w:tcPr>
          <w:p>
            <w:pPr>
              <w:spacing w:after="0" w:line="240" w:lineRule="auto"/>
            </w:pPr>
            <w:r>
              <w:rPr>
                <w:b w:val="0"/>
                <w:i w:val="0"/>
                <w:sz w:val="15"/>
              </w:rPr>
              <w:t>VIO: US / Canada / EMEA</w:t>
            </w:r>
          </w:p>
        </w:tc>
        <w:tc>
          <w:tcPr>
            <w:tcW w:type="dxa" w:w="4320"/>
            <w:shd w:val="clear" w:color="auto" w:fill="D9E1F2"/>
          </w:tcPr>
          <w:p>
            <w:pPr>
              <w:spacing w:after="0" w:line="240" w:lineRule="auto"/>
            </w:pPr>
            <w:r>
              <w:rPr>
                <w:b w:val="0"/>
                <w:i w:val="0"/>
                <w:sz w:val="15"/>
              </w:rPr>
              <w:t>~292m / ~28m / ~506m</w:t>
            </w:r>
          </w:p>
        </w:tc>
        <w:tc>
          <w:tcPr>
            <w:tcW w:type="dxa" w:w="2592"/>
            <w:shd w:val="clear" w:color="auto" w:fill="D9E1F2"/>
          </w:tcPr>
          <w:p>
            <w:pPr>
              <w:spacing w:after="0" w:line="240" w:lineRule="auto"/>
            </w:pPr>
            <w:r>
              <w:rPr>
                <w:b/>
                <w:color w:val="2E548C"/>
                <w:sz w:val="12"/>
              </w:rPr>
              <w:t>[D-deck]</w:t>
            </w:r>
            <w:r>
              <w:rPr>
                <w:b w:val="0"/>
                <w:i w:val="0"/>
                <w:sz w:val="15"/>
              </w:rPr>
              <w:t xml:space="preserve"> ID 75</w:t>
            </w:r>
          </w:p>
        </w:tc>
      </w:tr>
      <w:tr>
        <w:trPr>
          <w:cantSplit/>
        </w:trPr>
        <w:tc>
          <w:tcPr>
            <w:tcW w:type="dxa" w:w="2880"/>
          </w:tcPr>
          <w:p>
            <w:pPr>
              <w:spacing w:after="0" w:line="240" w:lineRule="auto"/>
            </w:pPr>
            <w:r>
              <w:rPr>
                <w:b w:val="0"/>
                <w:i w:val="0"/>
                <w:sz w:val="15"/>
              </w:rPr>
              <w:t>Germany</w:t>
            </w:r>
          </w:p>
        </w:tc>
        <w:tc>
          <w:tcPr>
            <w:tcW w:type="dxa" w:w="4320"/>
          </w:tcPr>
          <w:p>
            <w:pPr>
              <w:spacing w:after="0" w:line="240" w:lineRule="auto"/>
            </w:pPr>
            <w:r>
              <w:rPr>
                <w:b w:val="0"/>
                <w:i w:val="0"/>
                <w:sz w:val="15"/>
              </w:rPr>
              <w:t>Launched early July 2026 vs a plan of "the beginning of 2027" by reusing the CARFAX US platform; plus Italy, Spain, Poland; France targeted</w:t>
            </w:r>
          </w:p>
        </w:tc>
        <w:tc>
          <w:tcPr>
            <w:tcW w:type="dxa" w:w="2592"/>
          </w:tcPr>
          <w:p>
            <w:pPr>
              <w:spacing w:after="0" w:line="240" w:lineRule="auto"/>
            </w:pPr>
            <w:r>
              <w:rPr>
                <w:b/>
                <w:color w:val="2E548C"/>
                <w:sz w:val="12"/>
              </w:rPr>
              <w:t>[IR]</w:t>
            </w:r>
            <w:r>
              <w:rPr>
                <w:b w:val="0"/>
                <w:i w:val="0"/>
                <w:sz w:val="15"/>
              </w:rPr>
              <w:t xml:space="preserve"> Q2-T, GS-T 119.5s</w:t>
            </w:r>
          </w:p>
        </w:tc>
      </w:tr>
      <w:tr>
        <w:trPr>
          <w:cantSplit/>
        </w:trPr>
        <w:tc>
          <w:tcPr>
            <w:tcW w:type="dxa" w:w="2880"/>
            <w:shd w:val="clear" w:color="auto" w:fill="D9E1F2"/>
          </w:tcPr>
          <w:p>
            <w:pPr>
              <w:spacing w:after="0" w:line="240" w:lineRule="auto"/>
            </w:pPr>
            <w:r>
              <w:rPr>
                <w:b w:val="0"/>
                <w:i w:val="0"/>
                <w:sz w:val="15"/>
              </w:rPr>
              <w:t>Europe performance</w:t>
            </w:r>
          </w:p>
        </w:tc>
        <w:tc>
          <w:tcPr>
            <w:tcW w:type="dxa" w:w="4320"/>
            <w:shd w:val="clear" w:color="auto" w:fill="D9E1F2"/>
          </w:tcPr>
          <w:p>
            <w:pPr>
              <w:spacing w:after="0" w:line="240" w:lineRule="auto"/>
            </w:pPr>
            <w:r>
              <w:rPr>
                <w:b w:val="0"/>
                <w:i w:val="0"/>
                <w:sz w:val="15"/>
              </w:rPr>
              <w:t>"strong double-digit growth, but our transactional revenue in the quarter lagged expectations"</w:t>
            </w:r>
          </w:p>
        </w:tc>
        <w:tc>
          <w:tcPr>
            <w:tcW w:type="dxa" w:w="2592"/>
            <w:shd w:val="clear" w:color="auto" w:fill="D9E1F2"/>
          </w:tcPr>
          <w:p>
            <w:pPr>
              <w:spacing w:after="0" w:line="240" w:lineRule="auto"/>
            </w:pPr>
            <w:r>
              <w:rPr>
                <w:b/>
                <w:color w:val="2E548C"/>
                <w:sz w:val="12"/>
              </w:rPr>
              <w:t>[IR]</w:t>
            </w:r>
            <w:r>
              <w:rPr>
                <w:b w:val="0"/>
                <w:i w:val="0"/>
                <w:sz w:val="15"/>
              </w:rPr>
              <w:t xml:space="preserve"> Q2-T 1069.83s</w:t>
            </w:r>
          </w:p>
        </w:tc>
      </w:tr>
      <w:tr>
        <w:trPr>
          <w:cantSplit/>
        </w:trPr>
        <w:tc>
          <w:tcPr>
            <w:tcW w:type="dxa" w:w="2880"/>
          </w:tcPr>
          <w:p>
            <w:pPr>
              <w:spacing w:after="0" w:line="240" w:lineRule="auto"/>
            </w:pPr>
            <w:r>
              <w:rPr>
                <w:b w:val="0"/>
                <w:i w:val="0"/>
                <w:sz w:val="15"/>
              </w:rPr>
              <w:t>International contribution to MT growth</w:t>
            </w:r>
          </w:p>
        </w:tc>
        <w:tc>
          <w:tcPr>
            <w:tcW w:type="dxa" w:w="4320"/>
          </w:tcPr>
          <w:p>
            <w:pPr>
              <w:spacing w:after="0" w:line="240" w:lineRule="auto"/>
            </w:pPr>
            <w:r>
              <w:rPr>
                <w:b w:val="0"/>
                <w:i w:val="0"/>
                <w:sz w:val="15"/>
              </w:rPr>
              <w:t>1-2pts of the 7.5-10%</w:t>
            </w:r>
          </w:p>
        </w:tc>
        <w:tc>
          <w:tcPr>
            <w:tcW w:type="dxa" w:w="2592"/>
          </w:tcPr>
          <w:p>
            <w:pPr>
              <w:spacing w:after="0" w:line="240" w:lineRule="auto"/>
            </w:pPr>
            <w:r>
              <w:rPr>
                <w:b/>
                <w:color w:val="2E548C"/>
                <w:sz w:val="12"/>
              </w:rPr>
              <w:t>[IR]</w:t>
            </w:r>
            <w:r>
              <w:rPr>
                <w:b w:val="0"/>
                <w:i w:val="0"/>
                <w:sz w:val="15"/>
              </w:rPr>
              <w:t xml:space="preserve"> GS-T 457.2s</w:t>
            </w:r>
          </w:p>
        </w:tc>
      </w:tr>
    </w:tbl>
    <w:p>
      <w:pPr>
        <w:spacing w:after="120"/>
      </w:pPr>
      <w:r>
        <w:rPr>
          <w:b w:val="0"/>
          <w:i/>
          <w:color w:val="595959"/>
          <w:sz w:val="15"/>
        </w:rPr>
        <w:t>Source: analysis/D2_unit_economics.md (f).</w:t>
      </w:r>
    </w:p>
    <w:p>
      <w:r>
        <w:rPr>
          <w:b w:val="0"/>
          <w:i w:val="0"/>
        </w:rPr>
        <w:t xml:space="preserve">No Canada revenue, margin, payback or IRR, and no Germany set-up cost, operating loss or break-even is disclosed </w:t>
      </w:r>
      <w:r>
        <w:rPr>
          <w:b/>
          <w:color w:val="2E548C"/>
          <w:sz w:val="16"/>
        </w:rPr>
        <w:t>[D]</w:t>
      </w:r>
      <w:r>
        <w:rPr>
          <w:b w:val="0"/>
          <w:i w:val="0"/>
        </w:rPr>
        <w:t xml:space="preserve">: </w:t>
      </w:r>
      <w:r>
        <w:rPr>
          <w:b/>
          <w:color w:val="E36C09"/>
        </w:rPr>
        <w:t>[TO COLLECT #43: Canada (CARPROOF) revenue and margin]</w:t>
      </w:r>
      <w:r>
        <w:rPr>
          <w:b w:val="0"/>
          <w:i w:val="0"/>
        </w:rPr>
        <w:t xml:space="preserve">; </w:t>
      </w:r>
      <w:r>
        <w:rPr>
          <w:b/>
          <w:color w:val="E36C09"/>
        </w:rPr>
        <w:t>[TO COLLECT #44: Europe set-up cost, annual operating loss and break-even year]</w:t>
      </w:r>
      <w:r>
        <w:rPr>
          <w:b w:val="0"/>
          <w:i w:val="0"/>
        </w:rPr>
        <w:t>.</w:t>
      </w:r>
    </w:p>
    <w:p>
      <w:pPr>
        <w:keepNext/>
        <w:spacing w:before="80" w:after="40"/>
      </w:pPr>
      <w:r>
        <w:rPr>
          <w:b/>
          <w:i w:val="0"/>
          <w:color w:val="1F3864"/>
          <w:sz w:val="17"/>
        </w:rPr>
        <w:t>Exhibit 7.5 — New-product economics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304"/>
        <w:gridCol w:w="4896"/>
        <w:gridCol w:w="2592"/>
      </w:tblGrid>
      <w:tr>
        <w:trPr>
          <w:cantSplit/>
          <w:tblHeader/>
        </w:trPr>
        <w:tc>
          <w:tcPr>
            <w:tcW w:type="dxa" w:w="2304"/>
            <w:shd w:val="clear" w:color="auto" w:fill="1F3864"/>
          </w:tcPr>
          <w:p>
            <w:pPr>
              <w:spacing w:after="0" w:line="240" w:lineRule="auto"/>
            </w:pPr>
            <w:r>
              <w:rPr>
                <w:b/>
                <w:i w:val="0"/>
                <w:color w:val="FFFFFF"/>
                <w:sz w:val="15"/>
              </w:rPr>
              <w:t>Product</w:t>
            </w:r>
          </w:p>
        </w:tc>
        <w:tc>
          <w:tcPr>
            <w:tcW w:type="dxa" w:w="4896"/>
            <w:shd w:val="clear" w:color="auto" w:fill="1F3864"/>
          </w:tcPr>
          <w:p>
            <w:pPr>
              <w:spacing w:after="0" w:line="240" w:lineRule="auto"/>
            </w:pPr>
            <w:r>
              <w:rPr>
                <w:b/>
                <w:i w:val="0"/>
                <w:color w:val="FFFFFF"/>
                <w:sz w:val="15"/>
              </w:rPr>
              <w:t>Printed anchors</w:t>
            </w:r>
          </w:p>
        </w:tc>
        <w:tc>
          <w:tcPr>
            <w:tcW w:type="dxa" w:w="2592"/>
            <w:shd w:val="clear" w:color="auto" w:fill="1F3864"/>
          </w:tcPr>
          <w:p>
            <w:pPr>
              <w:spacing w:after="0" w:line="240" w:lineRule="auto"/>
            </w:pPr>
            <w:r>
              <w:rPr>
                <w:b/>
                <w:i w:val="0"/>
                <w:color w:val="FFFFFF"/>
                <w:sz w:val="15"/>
              </w:rPr>
              <w:t>Economics disclosed?</w:t>
            </w:r>
          </w:p>
        </w:tc>
      </w:tr>
      <w:tr>
        <w:trPr>
          <w:cantSplit/>
        </w:trPr>
        <w:tc>
          <w:tcPr>
            <w:tcW w:type="dxa" w:w="2304"/>
          </w:tcPr>
          <w:p>
            <w:pPr>
              <w:spacing w:after="0" w:line="240" w:lineRule="auto"/>
            </w:pPr>
            <w:r>
              <w:rPr>
                <w:b w:val="0"/>
                <w:i w:val="0"/>
                <w:sz w:val="15"/>
              </w:rPr>
              <w:t>Car Care / CARFAX for Life / Service Loyalty</w:t>
            </w:r>
          </w:p>
        </w:tc>
        <w:tc>
          <w:tcPr>
            <w:tcW w:type="dxa" w:w="4896"/>
          </w:tcPr>
          <w:p>
            <w:pPr>
              <w:spacing w:after="0" w:line="240" w:lineRule="auto"/>
            </w:pPr>
            <w:r>
              <w:rPr>
                <w:b w:val="0"/>
                <w:i w:val="0"/>
                <w:sz w:val="15"/>
              </w:rPr>
              <w:t xml:space="preserve">53m+ consumers </w:t>
            </w:r>
            <w:r>
              <w:rPr>
                <w:b/>
                <w:color w:val="2E548C"/>
                <w:sz w:val="12"/>
              </w:rPr>
              <w:t>[D]</w:t>
            </w:r>
            <w:r>
              <w:rPr>
                <w:b w:val="0"/>
                <w:i w:val="0"/>
                <w:sz w:val="15"/>
              </w:rPr>
              <w:t xml:space="preserve">; goal 150m US+CA (ID) → "&gt;100 million" US (GS) </w:t>
            </w:r>
            <w:r>
              <w:rPr>
                <w:b/>
                <w:color w:val="2E548C"/>
                <w:sz w:val="12"/>
              </w:rPr>
              <w:t>[IR]</w:t>
            </w:r>
            <w:r>
              <w:rPr>
                <w:b w:val="0"/>
                <w:i w:val="0"/>
                <w:sz w:val="15"/>
              </w:rPr>
              <w:t xml:space="preserve">; 293 serviced cars per month per Lifetime dealer </w:t>
            </w:r>
            <w:r>
              <w:rPr>
                <w:b/>
                <w:color w:val="2E548C"/>
                <w:sz w:val="12"/>
              </w:rPr>
              <w:t>[IR]</w:t>
            </w:r>
          </w:p>
        </w:tc>
        <w:tc>
          <w:tcPr>
            <w:tcW w:type="dxa" w:w="2592"/>
          </w:tcPr>
          <w:p>
            <w:pPr>
              <w:spacing w:after="0" w:line="240" w:lineRule="auto"/>
            </w:pPr>
            <w:r>
              <w:rPr>
                <w:b w:val="0"/>
                <w:i w:val="0"/>
                <w:sz w:val="15"/>
              </w:rPr>
              <w:t>No revenue, no price. Monetized via dealer service-marketing subscriptions inside "Financial/Consumer/Other" or Advantage bundles [Inference]</w:t>
            </w:r>
          </w:p>
        </w:tc>
      </w:tr>
      <w:tr>
        <w:trPr>
          <w:cantSplit/>
        </w:trPr>
        <w:tc>
          <w:tcPr>
            <w:tcW w:type="dxa" w:w="2304"/>
            <w:shd w:val="clear" w:color="auto" w:fill="D9E1F2"/>
          </w:tcPr>
          <w:p>
            <w:pPr>
              <w:spacing w:after="0" w:line="240" w:lineRule="auto"/>
            </w:pPr>
            <w:r>
              <w:rPr>
                <w:b w:val="0"/>
                <w:i w:val="0"/>
                <w:sz w:val="15"/>
              </w:rPr>
              <w:t>Showroom (premium listing)</w:t>
            </w:r>
          </w:p>
        </w:tc>
        <w:tc>
          <w:tcPr>
            <w:tcW w:type="dxa" w:w="4896"/>
            <w:shd w:val="clear" w:color="auto" w:fill="D9E1F2"/>
          </w:tcPr>
          <w:p>
            <w:pPr>
              <w:spacing w:after="0" w:line="240" w:lineRule="auto"/>
            </w:pPr>
            <w:r>
              <w:rPr>
                <w:b w:val="0"/>
                <w:i w:val="0"/>
                <w:sz w:val="15"/>
              </w:rPr>
              <w:t xml:space="preserve">Launched Q2-26, paid add-on </w:t>
            </w:r>
            <w:r>
              <w:rPr>
                <w:b/>
                <w:color w:val="2E548C"/>
                <w:sz w:val="12"/>
              </w:rPr>
              <w:t>[IR]</w:t>
            </w:r>
          </w:p>
        </w:tc>
        <w:tc>
          <w:tcPr>
            <w:tcW w:type="dxa" w:w="2592"/>
            <w:shd w:val="clear" w:color="auto" w:fill="D9E1F2"/>
          </w:tcPr>
          <w:p>
            <w:pPr>
              <w:spacing w:after="0" w:line="240" w:lineRule="auto"/>
            </w:pPr>
            <w:r>
              <w:rPr>
                <w:b w:val="0"/>
                <w:i w:val="0"/>
                <w:sz w:val="15"/>
              </w:rPr>
              <w:t>No price, no uptake</w:t>
            </w:r>
          </w:p>
        </w:tc>
      </w:tr>
      <w:tr>
        <w:trPr>
          <w:cantSplit/>
        </w:trPr>
        <w:tc>
          <w:tcPr>
            <w:tcW w:type="dxa" w:w="2304"/>
          </w:tcPr>
          <w:p>
            <w:pPr>
              <w:spacing w:after="0" w:line="240" w:lineRule="auto"/>
            </w:pPr>
            <w:r>
              <w:rPr>
                <w:b w:val="0"/>
                <w:i w:val="0"/>
                <w:sz w:val="15"/>
              </w:rPr>
              <w:t>Homegrown, AMM SMS offers</w:t>
            </w:r>
          </w:p>
        </w:tc>
        <w:tc>
          <w:tcPr>
            <w:tcW w:type="dxa" w:w="4896"/>
          </w:tcPr>
          <w:p>
            <w:pPr>
              <w:spacing w:after="0" w:line="240" w:lineRule="auto"/>
            </w:pPr>
            <w:r>
              <w:rPr>
                <w:b w:val="0"/>
                <w:i w:val="0"/>
                <w:sz w:val="15"/>
              </w:rPr>
              <w:t xml:space="preserve">Included in base subscription "to support future price capture" </w:t>
            </w:r>
            <w:r>
              <w:rPr>
                <w:b/>
                <w:color w:val="2E548C"/>
                <w:sz w:val="12"/>
              </w:rPr>
              <w:t>[IR]</w:t>
            </w:r>
            <w:r>
              <w:rPr>
                <w:b w:val="0"/>
                <w:i w:val="0"/>
                <w:sz w:val="15"/>
              </w:rPr>
              <w:t xml:space="preserve"> GS-T 627.8s</w:t>
            </w:r>
          </w:p>
        </w:tc>
        <w:tc>
          <w:tcPr>
            <w:tcW w:type="dxa" w:w="2592"/>
          </w:tcPr>
          <w:p>
            <w:pPr>
              <w:spacing w:after="0" w:line="240" w:lineRule="auto"/>
            </w:pPr>
            <w:r>
              <w:rPr>
                <w:b w:val="0"/>
                <w:i w:val="0"/>
                <w:sz w:val="15"/>
              </w:rPr>
              <w:t>Zero direct revenue by design</w:t>
            </w:r>
          </w:p>
        </w:tc>
      </w:tr>
      <w:tr>
        <w:trPr>
          <w:cantSplit/>
        </w:trPr>
        <w:tc>
          <w:tcPr>
            <w:tcW w:type="dxa" w:w="2304"/>
            <w:shd w:val="clear" w:color="auto" w:fill="D9E1F2"/>
          </w:tcPr>
          <w:p>
            <w:pPr>
              <w:spacing w:after="0" w:line="240" w:lineRule="auto"/>
            </w:pPr>
            <w:r>
              <w:rPr>
                <w:b w:val="0"/>
                <w:i w:val="0"/>
                <w:sz w:val="15"/>
              </w:rPr>
              <w:t>FAST / PIQ / Data Studio</w:t>
            </w:r>
          </w:p>
        </w:tc>
        <w:tc>
          <w:tcPr>
            <w:tcW w:type="dxa" w:w="4896"/>
            <w:shd w:val="clear" w:color="auto" w:fill="D9E1F2"/>
          </w:tcPr>
          <w:p>
            <w:pPr>
              <w:spacing w:after="0" w:line="240" w:lineRule="auto"/>
            </w:pPr>
            <w:r>
              <w:rPr>
                <w:b w:val="0"/>
                <w:i w:val="0"/>
                <w:sz w:val="15"/>
              </w:rPr>
              <w:t xml:space="preserve">"all four of them are in their early stages" </w:t>
            </w:r>
            <w:r>
              <w:rPr>
                <w:b/>
                <w:color w:val="2E548C"/>
                <w:sz w:val="12"/>
              </w:rPr>
              <w:t>[IR]</w:t>
            </w:r>
            <w:r>
              <w:rPr>
                <w:b w:val="0"/>
                <w:i w:val="0"/>
                <w:sz w:val="15"/>
              </w:rPr>
              <w:t xml:space="preserve">; Data Studio 40% close-rate lift, 10% incentive reduction (case studies) </w:t>
            </w:r>
            <w:r>
              <w:rPr>
                <w:b/>
                <w:color w:val="2E548C"/>
                <w:sz w:val="12"/>
              </w:rPr>
              <w:t>[D-deck]</w:t>
            </w:r>
            <w:r>
              <w:rPr>
                <w:b w:val="0"/>
                <w:i w:val="0"/>
                <w:sz w:val="15"/>
              </w:rPr>
              <w:t xml:space="preserve"> ID 50</w:t>
            </w:r>
          </w:p>
        </w:tc>
        <w:tc>
          <w:tcPr>
            <w:tcW w:type="dxa" w:w="2592"/>
            <w:shd w:val="clear" w:color="auto" w:fill="D9E1F2"/>
          </w:tcPr>
          <w:p>
            <w:pPr>
              <w:spacing w:after="0" w:line="240" w:lineRule="auto"/>
            </w:pPr>
            <w:r>
              <w:rPr>
                <w:b w:val="0"/>
                <w:i w:val="0"/>
                <w:sz w:val="15"/>
              </w:rPr>
              <w:t>No revenue</w:t>
            </w:r>
          </w:p>
        </w:tc>
      </w:tr>
      <w:tr>
        <w:trPr>
          <w:cantSplit/>
        </w:trPr>
        <w:tc>
          <w:tcPr>
            <w:tcW w:type="dxa" w:w="2304"/>
          </w:tcPr>
          <w:p>
            <w:pPr>
              <w:spacing w:after="0" w:line="240" w:lineRule="auto"/>
            </w:pPr>
            <w:r>
              <w:rPr>
                <w:b w:val="0"/>
                <w:i w:val="0"/>
                <w:sz w:val="15"/>
              </w:rPr>
              <w:t>AI productivity</w:t>
            </w:r>
          </w:p>
        </w:tc>
        <w:tc>
          <w:tcPr>
            <w:tcW w:type="dxa" w:w="4896"/>
          </w:tcPr>
          <w:p>
            <w:pPr>
              <w:spacing w:after="0" w:line="240" w:lineRule="auto"/>
            </w:pPr>
            <w:r>
              <w:rPr>
                <w:b w:val="0"/>
                <w:i w:val="0"/>
                <w:sz w:val="15"/>
              </w:rPr>
              <w:t xml:space="preserve">100+ data scientists; 84% of customer queries deflected; 10-15% engineering lift in 2025, 4-5x in Q1-26 </w:t>
            </w:r>
            <w:r>
              <w:rPr>
                <w:b/>
                <w:color w:val="2E548C"/>
                <w:sz w:val="12"/>
              </w:rPr>
              <w:t>[IR]</w:t>
            </w:r>
            <w:r>
              <w:rPr>
                <w:b w:val="0"/>
                <w:i w:val="0"/>
                <w:sz w:val="15"/>
              </w:rPr>
              <w:t xml:space="preserve"> ID-T</w:t>
            </w:r>
          </w:p>
        </w:tc>
        <w:tc>
          <w:tcPr>
            <w:tcW w:type="dxa" w:w="2592"/>
          </w:tcPr>
          <w:p>
            <w:pPr>
              <w:spacing w:after="0" w:line="240" w:lineRule="auto"/>
            </w:pPr>
            <w:r>
              <w:rPr>
                <w:b w:val="0"/>
                <w:i w:val="0"/>
                <w:sz w:val="15"/>
              </w:rPr>
              <w:t xml:space="preserve">Savings "we've been reinvesting most of that" (GS-T 1809.58s) </w:t>
            </w:r>
            <w:r>
              <w:rPr>
                <w:b/>
                <w:color w:val="2E548C"/>
                <w:sz w:val="12"/>
              </w:rPr>
              <w:t>[IR]</w:t>
            </w:r>
            <w:r>
              <w:rPr>
                <w:b w:val="0"/>
                <w:i w:val="0"/>
                <w:sz w:val="15"/>
              </w:rPr>
              <w:t>. No $ quantified</w:t>
            </w:r>
          </w:p>
        </w:tc>
      </w:tr>
      <w:tr>
        <w:trPr>
          <w:cantSplit/>
        </w:trPr>
        <w:tc>
          <w:tcPr>
            <w:tcW w:type="dxa" w:w="2304"/>
            <w:shd w:val="clear" w:color="auto" w:fill="D9E1F2"/>
          </w:tcPr>
          <w:p>
            <w:pPr>
              <w:spacing w:after="0" w:line="240" w:lineRule="auto"/>
            </w:pPr>
            <w:r>
              <w:rPr>
                <w:b w:val="0"/>
                <w:i w:val="0"/>
                <w:sz w:val="15"/>
              </w:rPr>
              <w:t>New products in growth algorithm</w:t>
            </w:r>
          </w:p>
        </w:tc>
        <w:tc>
          <w:tcPr>
            <w:tcW w:type="dxa" w:w="4896"/>
            <w:shd w:val="clear" w:color="auto" w:fill="D9E1F2"/>
          </w:tcPr>
          <w:p>
            <w:pPr>
              <w:spacing w:after="0" w:line="240" w:lineRule="auto"/>
            </w:pPr>
            <w:r>
              <w:rPr>
                <w:b w:val="0"/>
                <w:i w:val="0"/>
                <w:sz w:val="15"/>
              </w:rPr>
              <w:t xml:space="preserve">1-2pts of MT growth = ~$18-38m a year </w:t>
            </w:r>
            <w:r>
              <w:rPr>
                <w:b/>
                <w:color w:val="2E548C"/>
                <w:sz w:val="12"/>
              </w:rPr>
              <w:t>[C]</w:t>
            </w:r>
          </w:p>
        </w:tc>
        <w:tc>
          <w:tcPr>
            <w:tcW w:type="dxa" w:w="2592"/>
            <w:shd w:val="clear" w:color="auto" w:fill="D9E1F2"/>
          </w:tcPr>
          <w:p>
            <w:pPr>
              <w:spacing w:after="0" w:line="240" w:lineRule="auto"/>
            </w:pPr>
            <w:r>
              <w:rPr>
                <w:b w:val="0"/>
                <w:i w:val="0"/>
                <w:sz w:val="15"/>
              </w:rPr>
              <w:t>—</w:t>
            </w:r>
          </w:p>
        </w:tc>
      </w:tr>
    </w:tbl>
    <w:p>
      <w:pPr>
        <w:spacing w:after="120"/>
      </w:pPr>
      <w:r>
        <w:rPr>
          <w:b w:val="0"/>
          <w:i/>
          <w:color w:val="595959"/>
          <w:sz w:val="15"/>
        </w:rPr>
        <w:t>Source: analysis/D2_unit_economics.md (g). AI is a cost-avoidance and reinvestment story, not a revenue line [Inference].</w:t>
      </w:r>
    </w:p>
    <w:p>
      <w:pPr>
        <w:pStyle w:val="Heading1"/>
        <w:pageBreakBefore/>
      </w:pPr>
      <w:r>
        <w:t>8 Financial history</w:t>
      </w:r>
    </w:p>
    <w:p>
      <w:r>
        <w:rPr>
          <w:b w:val="0"/>
          <w:i w:val="0"/>
        </w:rPr>
        <w:t xml:space="preserve">All statements are </w:t>
      </w:r>
      <w:r>
        <w:rPr>
          <w:b/>
          <w:i w:val="0"/>
        </w:rPr>
        <w:t>carve-out (combined) financials</w:t>
      </w:r>
      <w:r>
        <w:rPr>
          <w:b w:val="0"/>
          <w:i w:val="0"/>
        </w:rPr>
        <w:t xml:space="preserve"> of S&amp;P Global Mobility from the Form 10/A and the 10-Q, as originally reported, $m </w:t>
      </w:r>
      <w:r>
        <w:rPr>
          <w:b/>
          <w:color w:val="2E548C"/>
          <w:sz w:val="16"/>
        </w:rPr>
        <w:t>[D]</w:t>
      </w:r>
      <w:r>
        <w:rPr>
          <w:b w:val="0"/>
          <w:i w:val="0"/>
        </w:rPr>
        <w:t>. They include S&amp;P Global corporate allocations and do not include standalone debt, costs or SBC levels (accounting_notes BASIS). Figures are read directly from canonical/primary.csv (390 cells; 0 collisions).</w:t>
      </w:r>
    </w:p>
    <w:p>
      <w:pPr>
        <w:pStyle w:val="Heading2"/>
      </w:pPr>
      <w:r>
        <w:t>8.1 Income statement</w:t>
      </w:r>
    </w:p>
    <w:p>
      <w:pPr>
        <w:keepNext/>
        <w:spacing w:before="80" w:after="40"/>
      </w:pPr>
      <w:r>
        <w:rPr>
          <w:b/>
          <w:i w:val="0"/>
          <w:color w:val="1F3864"/>
          <w:sz w:val="17"/>
        </w:rPr>
        <w:t>Exhibit 8.1 — Combined statements of income / operations ($m)</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3716"/>
        <w:gridCol w:w="1215"/>
        <w:gridCol w:w="1215"/>
        <w:gridCol w:w="1215"/>
        <w:gridCol w:w="1215"/>
        <w:gridCol w:w="1215"/>
      </w:tblGrid>
      <w:tr>
        <w:trPr>
          <w:cantSplit/>
          <w:tblHeader/>
        </w:trPr>
        <w:tc>
          <w:tcPr>
            <w:tcW w:type="dxa" w:w="3717"/>
            <w:shd w:val="clear" w:color="auto" w:fill="1F3864"/>
          </w:tcPr>
          <w:p>
            <w:pPr>
              <w:spacing w:after="0" w:line="240" w:lineRule="auto"/>
            </w:pPr>
          </w:p>
        </w:tc>
        <w:tc>
          <w:tcPr>
            <w:tcW w:type="dxa" w:w="1215"/>
            <w:shd w:val="clear" w:color="auto" w:fill="1F3864"/>
          </w:tcPr>
          <w:p>
            <w:pPr>
              <w:spacing w:after="0" w:line="240" w:lineRule="auto"/>
              <w:jc w:val="right"/>
            </w:pPr>
            <w:r>
              <w:rPr>
                <w:b/>
                <w:i w:val="0"/>
                <w:color w:val="FFFFFF"/>
                <w:sz w:val="16"/>
              </w:rPr>
              <w:t>FY2023</w:t>
            </w:r>
          </w:p>
        </w:tc>
        <w:tc>
          <w:tcPr>
            <w:tcW w:type="dxa" w:w="1215"/>
            <w:shd w:val="clear" w:color="auto" w:fill="1F3864"/>
          </w:tcPr>
          <w:p>
            <w:pPr>
              <w:spacing w:after="0" w:line="240" w:lineRule="auto"/>
              <w:jc w:val="right"/>
            </w:pPr>
            <w:r>
              <w:rPr>
                <w:b/>
                <w:i w:val="0"/>
                <w:color w:val="FFFFFF"/>
                <w:sz w:val="16"/>
              </w:rPr>
              <w:t>FY2024</w:t>
            </w:r>
          </w:p>
        </w:tc>
        <w:tc>
          <w:tcPr>
            <w:tcW w:type="dxa" w:w="1215"/>
            <w:shd w:val="clear" w:color="auto" w:fill="1F3864"/>
          </w:tcPr>
          <w:p>
            <w:pPr>
              <w:spacing w:after="0" w:line="240" w:lineRule="auto"/>
              <w:jc w:val="right"/>
            </w:pPr>
            <w:r>
              <w:rPr>
                <w:b/>
                <w:i w:val="0"/>
                <w:color w:val="FFFFFF"/>
                <w:sz w:val="16"/>
              </w:rPr>
              <w:t>FY2025</w:t>
            </w:r>
          </w:p>
        </w:tc>
        <w:tc>
          <w:tcPr>
            <w:tcW w:type="dxa" w:w="1215"/>
            <w:shd w:val="clear" w:color="auto" w:fill="1F3864"/>
          </w:tcPr>
          <w:p>
            <w:pPr>
              <w:spacing w:after="0" w:line="240" w:lineRule="auto"/>
              <w:jc w:val="right"/>
            </w:pPr>
            <w:r>
              <w:rPr>
                <w:b/>
                <w:i w:val="0"/>
                <w:color w:val="FFFFFF"/>
                <w:sz w:val="16"/>
              </w:rPr>
              <w:t>6M-2025</w:t>
            </w:r>
          </w:p>
        </w:tc>
        <w:tc>
          <w:tcPr>
            <w:tcW w:type="dxa" w:w="1215"/>
            <w:shd w:val="clear" w:color="auto" w:fill="1F3864"/>
          </w:tcPr>
          <w:p>
            <w:pPr>
              <w:spacing w:after="0" w:line="240" w:lineRule="auto"/>
              <w:jc w:val="right"/>
            </w:pPr>
            <w:r>
              <w:rPr>
                <w:b/>
                <w:i w:val="0"/>
                <w:color w:val="FFFFFF"/>
                <w:sz w:val="16"/>
              </w:rPr>
              <w:t>6M-2026</w:t>
            </w:r>
          </w:p>
        </w:tc>
      </w:tr>
      <w:tr>
        <w:trPr>
          <w:cantSplit/>
        </w:trPr>
        <w:tc>
          <w:tcPr>
            <w:tcW w:type="dxa" w:w="3717"/>
          </w:tcPr>
          <w:p>
            <w:pPr>
              <w:spacing w:after="0" w:line="240" w:lineRule="auto"/>
            </w:pPr>
            <w:r>
              <w:rPr>
                <w:b w:val="0"/>
                <w:i w:val="0"/>
                <w:sz w:val="16"/>
              </w:rPr>
              <w:t xml:space="preserve">Revenue </w:t>
            </w:r>
            <w:r>
              <w:rPr>
                <w:b/>
                <w:color w:val="2E548C"/>
                <w:sz w:val="13"/>
              </w:rPr>
              <w:t>[D]</w:t>
            </w:r>
          </w:p>
        </w:tc>
        <w:tc>
          <w:tcPr>
            <w:tcW w:type="dxa" w:w="1215"/>
          </w:tcPr>
          <w:p>
            <w:pPr>
              <w:spacing w:after="0" w:line="240" w:lineRule="auto"/>
              <w:jc w:val="right"/>
            </w:pPr>
            <w:r>
              <w:rPr>
                <w:b w:val="0"/>
                <w:i w:val="0"/>
                <w:sz w:val="16"/>
              </w:rPr>
              <w:t>1,485</w:t>
            </w:r>
          </w:p>
        </w:tc>
        <w:tc>
          <w:tcPr>
            <w:tcW w:type="dxa" w:w="1215"/>
          </w:tcPr>
          <w:p>
            <w:pPr>
              <w:spacing w:after="0" w:line="240" w:lineRule="auto"/>
              <w:jc w:val="right"/>
            </w:pPr>
            <w:r>
              <w:rPr>
                <w:b w:val="0"/>
                <w:i w:val="0"/>
                <w:sz w:val="16"/>
              </w:rPr>
              <w:t>1,613</w:t>
            </w:r>
          </w:p>
        </w:tc>
        <w:tc>
          <w:tcPr>
            <w:tcW w:type="dxa" w:w="1215"/>
          </w:tcPr>
          <w:p>
            <w:pPr>
              <w:spacing w:after="0" w:line="240" w:lineRule="auto"/>
              <w:jc w:val="right"/>
            </w:pPr>
            <w:r>
              <w:rPr>
                <w:b w:val="0"/>
                <w:i w:val="0"/>
                <w:sz w:val="16"/>
              </w:rPr>
              <w:t>1,750</w:t>
            </w:r>
          </w:p>
        </w:tc>
        <w:tc>
          <w:tcPr>
            <w:tcW w:type="dxa" w:w="1215"/>
          </w:tcPr>
          <w:p>
            <w:pPr>
              <w:spacing w:after="0" w:line="240" w:lineRule="auto"/>
              <w:jc w:val="right"/>
            </w:pPr>
            <w:r>
              <w:rPr>
                <w:b w:val="0"/>
                <w:i w:val="0"/>
                <w:sz w:val="16"/>
              </w:rPr>
              <w:t>859</w:t>
            </w:r>
          </w:p>
        </w:tc>
        <w:tc>
          <w:tcPr>
            <w:tcW w:type="dxa" w:w="1215"/>
          </w:tcPr>
          <w:p>
            <w:pPr>
              <w:spacing w:after="0" w:line="240" w:lineRule="auto"/>
              <w:jc w:val="right"/>
            </w:pPr>
            <w:r>
              <w:rPr>
                <w:b w:val="0"/>
                <w:i w:val="0"/>
                <w:sz w:val="16"/>
              </w:rPr>
              <w:t>923</w:t>
            </w:r>
          </w:p>
        </w:tc>
      </w:tr>
      <w:tr>
        <w:trPr>
          <w:cantSplit/>
        </w:trPr>
        <w:tc>
          <w:tcPr>
            <w:tcW w:type="dxa" w:w="3717"/>
            <w:shd w:val="clear" w:color="auto" w:fill="D9E1F2"/>
          </w:tcPr>
          <w:p>
            <w:pPr>
              <w:spacing w:after="0" w:line="240" w:lineRule="auto"/>
            </w:pPr>
            <w:r>
              <w:rPr>
                <w:b w:val="0"/>
                <w:i w:val="0"/>
                <w:sz w:val="16"/>
              </w:rPr>
              <w:t xml:space="preserve">Operating-related expenses </w:t>
            </w:r>
            <w:r>
              <w:rPr>
                <w:b/>
                <w:color w:val="2E548C"/>
                <w:sz w:val="13"/>
              </w:rPr>
              <w:t>[D]</w:t>
            </w:r>
          </w:p>
        </w:tc>
        <w:tc>
          <w:tcPr>
            <w:tcW w:type="dxa" w:w="1215"/>
            <w:shd w:val="clear" w:color="auto" w:fill="D9E1F2"/>
          </w:tcPr>
          <w:p>
            <w:pPr>
              <w:spacing w:after="0" w:line="240" w:lineRule="auto"/>
              <w:jc w:val="right"/>
            </w:pPr>
            <w:r>
              <w:rPr>
                <w:b w:val="0"/>
                <w:i w:val="0"/>
                <w:sz w:val="16"/>
              </w:rPr>
              <w:t>448</w:t>
            </w:r>
          </w:p>
        </w:tc>
        <w:tc>
          <w:tcPr>
            <w:tcW w:type="dxa" w:w="1215"/>
            <w:shd w:val="clear" w:color="auto" w:fill="D9E1F2"/>
          </w:tcPr>
          <w:p>
            <w:pPr>
              <w:spacing w:after="0" w:line="240" w:lineRule="auto"/>
              <w:jc w:val="right"/>
            </w:pPr>
            <w:r>
              <w:rPr>
                <w:b w:val="0"/>
                <w:i w:val="0"/>
                <w:sz w:val="16"/>
              </w:rPr>
              <w:t>475</w:t>
            </w:r>
          </w:p>
        </w:tc>
        <w:tc>
          <w:tcPr>
            <w:tcW w:type="dxa" w:w="1215"/>
            <w:shd w:val="clear" w:color="auto" w:fill="D9E1F2"/>
          </w:tcPr>
          <w:p>
            <w:pPr>
              <w:spacing w:after="0" w:line="240" w:lineRule="auto"/>
              <w:jc w:val="right"/>
            </w:pPr>
            <w:r>
              <w:rPr>
                <w:b w:val="0"/>
                <w:i w:val="0"/>
                <w:sz w:val="16"/>
              </w:rPr>
              <w:t>516</w:t>
            </w:r>
          </w:p>
        </w:tc>
        <w:tc>
          <w:tcPr>
            <w:tcW w:type="dxa" w:w="1215"/>
            <w:shd w:val="clear" w:color="auto" w:fill="D9E1F2"/>
          </w:tcPr>
          <w:p>
            <w:pPr>
              <w:spacing w:after="0" w:line="240" w:lineRule="auto"/>
              <w:jc w:val="right"/>
            </w:pPr>
            <w:r>
              <w:rPr>
                <w:b w:val="0"/>
                <w:i w:val="0"/>
                <w:sz w:val="16"/>
              </w:rPr>
              <w:t>259</w:t>
            </w:r>
          </w:p>
        </w:tc>
        <w:tc>
          <w:tcPr>
            <w:tcW w:type="dxa" w:w="1215"/>
            <w:shd w:val="clear" w:color="auto" w:fill="D9E1F2"/>
          </w:tcPr>
          <w:p>
            <w:pPr>
              <w:spacing w:after="0" w:line="240" w:lineRule="auto"/>
              <w:jc w:val="right"/>
            </w:pPr>
            <w:r>
              <w:rPr>
                <w:b w:val="0"/>
                <w:i w:val="0"/>
                <w:sz w:val="16"/>
              </w:rPr>
              <w:t>270</w:t>
            </w:r>
          </w:p>
        </w:tc>
      </w:tr>
      <w:tr>
        <w:trPr>
          <w:cantSplit/>
        </w:trPr>
        <w:tc>
          <w:tcPr>
            <w:tcW w:type="dxa" w:w="3717"/>
          </w:tcPr>
          <w:p>
            <w:pPr>
              <w:spacing w:after="0" w:line="240" w:lineRule="auto"/>
            </w:pPr>
            <w:r>
              <w:rPr>
                <w:b w:val="0"/>
                <w:i w:val="0"/>
                <w:sz w:val="16"/>
              </w:rPr>
              <w:t xml:space="preserve">Selling and general expenses </w:t>
            </w:r>
            <w:r>
              <w:rPr>
                <w:b/>
                <w:color w:val="2E548C"/>
                <w:sz w:val="13"/>
              </w:rPr>
              <w:t>[D]</w:t>
            </w:r>
          </w:p>
        </w:tc>
        <w:tc>
          <w:tcPr>
            <w:tcW w:type="dxa" w:w="1215"/>
          </w:tcPr>
          <w:p>
            <w:pPr>
              <w:spacing w:after="0" w:line="240" w:lineRule="auto"/>
              <w:jc w:val="right"/>
            </w:pPr>
            <w:r>
              <w:rPr>
                <w:b w:val="0"/>
                <w:i w:val="0"/>
                <w:sz w:val="16"/>
              </w:rPr>
              <w:t>491</w:t>
            </w:r>
          </w:p>
        </w:tc>
        <w:tc>
          <w:tcPr>
            <w:tcW w:type="dxa" w:w="1215"/>
          </w:tcPr>
          <w:p>
            <w:pPr>
              <w:spacing w:after="0" w:line="240" w:lineRule="auto"/>
              <w:jc w:val="right"/>
            </w:pPr>
            <w:r>
              <w:rPr>
                <w:b w:val="0"/>
                <w:i w:val="0"/>
                <w:sz w:val="16"/>
              </w:rPr>
              <w:t>531</w:t>
            </w:r>
          </w:p>
        </w:tc>
        <w:tc>
          <w:tcPr>
            <w:tcW w:type="dxa" w:w="1215"/>
          </w:tcPr>
          <w:p>
            <w:pPr>
              <w:spacing w:after="0" w:line="240" w:lineRule="auto"/>
              <w:jc w:val="right"/>
            </w:pPr>
            <w:r>
              <w:rPr>
                <w:b w:val="0"/>
                <w:i w:val="0"/>
                <w:sz w:val="16"/>
              </w:rPr>
              <w:t>585</w:t>
            </w:r>
          </w:p>
        </w:tc>
        <w:tc>
          <w:tcPr>
            <w:tcW w:type="dxa" w:w="1215"/>
          </w:tcPr>
          <w:p>
            <w:pPr>
              <w:spacing w:after="0" w:line="240" w:lineRule="auto"/>
              <w:jc w:val="right"/>
            </w:pPr>
            <w:r>
              <w:rPr>
                <w:b w:val="0"/>
                <w:i w:val="0"/>
                <w:sz w:val="16"/>
              </w:rPr>
              <w:t>265</w:t>
            </w:r>
          </w:p>
        </w:tc>
        <w:tc>
          <w:tcPr>
            <w:tcW w:type="dxa" w:w="1215"/>
          </w:tcPr>
          <w:p>
            <w:pPr>
              <w:spacing w:after="0" w:line="240" w:lineRule="auto"/>
              <w:jc w:val="right"/>
            </w:pPr>
            <w:r>
              <w:rPr>
                <w:b w:val="0"/>
                <w:i w:val="0"/>
                <w:sz w:val="16"/>
              </w:rPr>
              <w:t>335</w:t>
            </w:r>
          </w:p>
        </w:tc>
      </w:tr>
      <w:tr>
        <w:trPr>
          <w:cantSplit/>
        </w:trPr>
        <w:tc>
          <w:tcPr>
            <w:tcW w:type="dxa" w:w="3717"/>
            <w:shd w:val="clear" w:color="auto" w:fill="D9E1F2"/>
          </w:tcPr>
          <w:p>
            <w:pPr>
              <w:spacing w:after="0" w:line="240" w:lineRule="auto"/>
            </w:pPr>
            <w:r>
              <w:rPr>
                <w:b w:val="0"/>
                <w:i w:val="0"/>
                <w:sz w:val="16"/>
              </w:rPr>
              <w:t xml:space="preserve">Depreciation </w:t>
            </w:r>
            <w:r>
              <w:rPr>
                <w:b/>
                <w:color w:val="2E548C"/>
                <w:sz w:val="13"/>
              </w:rPr>
              <w:t>[D]</w:t>
            </w:r>
          </w:p>
        </w:tc>
        <w:tc>
          <w:tcPr>
            <w:tcW w:type="dxa" w:w="1215"/>
            <w:shd w:val="clear" w:color="auto" w:fill="D9E1F2"/>
          </w:tcPr>
          <w:p>
            <w:pPr>
              <w:spacing w:after="0" w:line="240" w:lineRule="auto"/>
              <w:jc w:val="right"/>
            </w:pPr>
            <w:r>
              <w:rPr>
                <w:b w:val="0"/>
                <w:i w:val="0"/>
                <w:sz w:val="16"/>
              </w:rPr>
              <w:t>12</w:t>
            </w:r>
          </w:p>
        </w:tc>
        <w:tc>
          <w:tcPr>
            <w:tcW w:type="dxa" w:w="1215"/>
            <w:shd w:val="clear" w:color="auto" w:fill="D9E1F2"/>
          </w:tcPr>
          <w:p>
            <w:pPr>
              <w:spacing w:after="0" w:line="240" w:lineRule="auto"/>
              <w:jc w:val="right"/>
            </w:pPr>
            <w:r>
              <w:rPr>
                <w:b w:val="0"/>
                <w:i w:val="0"/>
                <w:sz w:val="16"/>
              </w:rPr>
              <w:t>13</w:t>
            </w:r>
          </w:p>
        </w:tc>
        <w:tc>
          <w:tcPr>
            <w:tcW w:type="dxa" w:w="1215"/>
            <w:shd w:val="clear" w:color="auto" w:fill="D9E1F2"/>
          </w:tcPr>
          <w:p>
            <w:pPr>
              <w:spacing w:after="0" w:line="240" w:lineRule="auto"/>
              <w:jc w:val="right"/>
            </w:pPr>
            <w:r>
              <w:rPr>
                <w:b w:val="0"/>
                <w:i w:val="0"/>
                <w:sz w:val="16"/>
              </w:rPr>
              <w:t>14</w:t>
            </w:r>
          </w:p>
        </w:tc>
        <w:tc>
          <w:tcPr>
            <w:tcW w:type="dxa" w:w="1215"/>
            <w:shd w:val="clear" w:color="auto" w:fill="D9E1F2"/>
          </w:tcPr>
          <w:p>
            <w:pPr>
              <w:spacing w:after="0" w:line="240" w:lineRule="auto"/>
              <w:jc w:val="right"/>
            </w:pPr>
            <w:r>
              <w:rPr>
                <w:b w:val="0"/>
                <w:i w:val="0"/>
                <w:sz w:val="16"/>
              </w:rPr>
              <w:t>7</w:t>
            </w:r>
          </w:p>
        </w:tc>
        <w:tc>
          <w:tcPr>
            <w:tcW w:type="dxa" w:w="1215"/>
            <w:shd w:val="clear" w:color="auto" w:fill="D9E1F2"/>
          </w:tcPr>
          <w:p>
            <w:pPr>
              <w:spacing w:after="0" w:line="240" w:lineRule="auto"/>
              <w:jc w:val="right"/>
            </w:pPr>
            <w:r>
              <w:rPr>
                <w:b w:val="0"/>
                <w:i w:val="0"/>
                <w:sz w:val="16"/>
              </w:rPr>
              <w:t>7</w:t>
            </w:r>
          </w:p>
        </w:tc>
      </w:tr>
      <w:tr>
        <w:trPr>
          <w:cantSplit/>
        </w:trPr>
        <w:tc>
          <w:tcPr>
            <w:tcW w:type="dxa" w:w="3717"/>
          </w:tcPr>
          <w:p>
            <w:pPr>
              <w:spacing w:after="0" w:line="240" w:lineRule="auto"/>
            </w:pPr>
            <w:r>
              <w:rPr>
                <w:b w:val="0"/>
                <w:i w:val="0"/>
                <w:sz w:val="16"/>
              </w:rPr>
              <w:t xml:space="preserve">Amortization of acquired intangibles </w:t>
            </w:r>
            <w:r>
              <w:rPr>
                <w:b/>
                <w:color w:val="2E548C"/>
                <w:sz w:val="13"/>
              </w:rPr>
              <w:t>[D]</w:t>
            </w:r>
          </w:p>
        </w:tc>
        <w:tc>
          <w:tcPr>
            <w:tcW w:type="dxa" w:w="1215"/>
          </w:tcPr>
          <w:p>
            <w:pPr>
              <w:spacing w:after="0" w:line="240" w:lineRule="auto"/>
              <w:jc w:val="right"/>
            </w:pPr>
            <w:r>
              <w:rPr>
                <w:b w:val="0"/>
                <w:i w:val="0"/>
                <w:sz w:val="16"/>
              </w:rPr>
              <w:t>295</w:t>
            </w:r>
          </w:p>
        </w:tc>
        <w:tc>
          <w:tcPr>
            <w:tcW w:type="dxa" w:w="1215"/>
          </w:tcPr>
          <w:p>
            <w:pPr>
              <w:spacing w:after="0" w:line="240" w:lineRule="auto"/>
              <w:jc w:val="right"/>
            </w:pPr>
            <w:r>
              <w:rPr>
                <w:b w:val="0"/>
                <w:i w:val="0"/>
                <w:sz w:val="16"/>
              </w:rPr>
              <w:t>296</w:t>
            </w:r>
          </w:p>
        </w:tc>
        <w:tc>
          <w:tcPr>
            <w:tcW w:type="dxa" w:w="1215"/>
          </w:tcPr>
          <w:p>
            <w:pPr>
              <w:spacing w:after="0" w:line="240" w:lineRule="auto"/>
              <w:jc w:val="right"/>
            </w:pPr>
            <w:r>
              <w:rPr>
                <w:b w:val="0"/>
                <w:i w:val="0"/>
                <w:sz w:val="16"/>
              </w:rPr>
              <w:t>296</w:t>
            </w:r>
          </w:p>
        </w:tc>
        <w:tc>
          <w:tcPr>
            <w:tcW w:type="dxa" w:w="1215"/>
          </w:tcPr>
          <w:p>
            <w:pPr>
              <w:spacing w:after="0" w:line="240" w:lineRule="auto"/>
              <w:jc w:val="right"/>
            </w:pPr>
            <w:r>
              <w:rPr>
                <w:b w:val="0"/>
                <w:i w:val="0"/>
                <w:sz w:val="16"/>
              </w:rPr>
              <w:t>148</w:t>
            </w:r>
          </w:p>
        </w:tc>
        <w:tc>
          <w:tcPr>
            <w:tcW w:type="dxa" w:w="1215"/>
          </w:tcPr>
          <w:p>
            <w:pPr>
              <w:spacing w:after="0" w:line="240" w:lineRule="auto"/>
              <w:jc w:val="right"/>
            </w:pPr>
            <w:r>
              <w:rPr>
                <w:b w:val="0"/>
                <w:i w:val="0"/>
                <w:sz w:val="16"/>
              </w:rPr>
              <w:t>148</w:t>
            </w:r>
          </w:p>
        </w:tc>
      </w:tr>
      <w:tr>
        <w:trPr>
          <w:cantSplit/>
        </w:trPr>
        <w:tc>
          <w:tcPr>
            <w:tcW w:type="dxa" w:w="3717"/>
            <w:shd w:val="clear" w:color="auto" w:fill="D9E1F2"/>
          </w:tcPr>
          <w:p>
            <w:pPr>
              <w:spacing w:after="0" w:line="240" w:lineRule="auto"/>
            </w:pPr>
            <w:r>
              <w:rPr>
                <w:b w:val="0"/>
                <w:i w:val="0"/>
                <w:sz w:val="16"/>
              </w:rPr>
              <w:t xml:space="preserve">Total expenses </w:t>
            </w:r>
            <w:r>
              <w:rPr>
                <w:b/>
                <w:color w:val="2E548C"/>
                <w:sz w:val="13"/>
              </w:rPr>
              <w:t>[D]</w:t>
            </w:r>
          </w:p>
        </w:tc>
        <w:tc>
          <w:tcPr>
            <w:tcW w:type="dxa" w:w="1215"/>
            <w:shd w:val="clear" w:color="auto" w:fill="D9E1F2"/>
          </w:tcPr>
          <w:p>
            <w:pPr>
              <w:spacing w:after="0" w:line="240" w:lineRule="auto"/>
              <w:jc w:val="right"/>
            </w:pPr>
            <w:r>
              <w:rPr>
                <w:b w:val="0"/>
                <w:i w:val="0"/>
                <w:sz w:val="16"/>
              </w:rPr>
              <w:t>1,246</w:t>
            </w:r>
          </w:p>
        </w:tc>
        <w:tc>
          <w:tcPr>
            <w:tcW w:type="dxa" w:w="1215"/>
            <w:shd w:val="clear" w:color="auto" w:fill="D9E1F2"/>
          </w:tcPr>
          <w:p>
            <w:pPr>
              <w:spacing w:after="0" w:line="240" w:lineRule="auto"/>
              <w:jc w:val="right"/>
            </w:pPr>
            <w:r>
              <w:rPr>
                <w:b w:val="0"/>
                <w:i w:val="0"/>
                <w:sz w:val="16"/>
              </w:rPr>
              <w:t>1,315</w:t>
            </w:r>
          </w:p>
        </w:tc>
        <w:tc>
          <w:tcPr>
            <w:tcW w:type="dxa" w:w="1215"/>
            <w:shd w:val="clear" w:color="auto" w:fill="D9E1F2"/>
          </w:tcPr>
          <w:p>
            <w:pPr>
              <w:spacing w:after="0" w:line="240" w:lineRule="auto"/>
              <w:jc w:val="right"/>
            </w:pPr>
            <w:r>
              <w:rPr>
                <w:b w:val="0"/>
                <w:i w:val="0"/>
                <w:sz w:val="16"/>
              </w:rPr>
              <w:t>1,411</w:t>
            </w:r>
          </w:p>
        </w:tc>
        <w:tc>
          <w:tcPr>
            <w:tcW w:type="dxa" w:w="1215"/>
            <w:shd w:val="clear" w:color="auto" w:fill="D9E1F2"/>
          </w:tcPr>
          <w:p>
            <w:pPr>
              <w:spacing w:after="0" w:line="240" w:lineRule="auto"/>
              <w:jc w:val="right"/>
            </w:pPr>
            <w:r>
              <w:rPr>
                <w:b w:val="0"/>
                <w:i w:val="0"/>
                <w:sz w:val="16"/>
              </w:rPr>
              <w:t>679</w:t>
            </w:r>
          </w:p>
        </w:tc>
        <w:tc>
          <w:tcPr>
            <w:tcW w:type="dxa" w:w="1215"/>
            <w:shd w:val="clear" w:color="auto" w:fill="D9E1F2"/>
          </w:tcPr>
          <w:p>
            <w:pPr>
              <w:spacing w:after="0" w:line="240" w:lineRule="auto"/>
              <w:jc w:val="right"/>
            </w:pPr>
            <w:r>
              <w:rPr>
                <w:b w:val="0"/>
                <w:i w:val="0"/>
                <w:sz w:val="16"/>
              </w:rPr>
              <w:t>760</w:t>
            </w:r>
          </w:p>
        </w:tc>
      </w:tr>
      <w:tr>
        <w:trPr>
          <w:cantSplit/>
        </w:trPr>
        <w:tc>
          <w:tcPr>
            <w:tcW w:type="dxa" w:w="3717"/>
          </w:tcPr>
          <w:p>
            <w:pPr>
              <w:spacing w:after="0" w:line="240" w:lineRule="auto"/>
            </w:pPr>
            <w:r>
              <w:rPr>
                <w:b w:val="0"/>
                <w:i w:val="0"/>
                <w:sz w:val="16"/>
              </w:rPr>
              <w:t xml:space="preserve">Operating profit </w:t>
            </w:r>
            <w:r>
              <w:rPr>
                <w:b/>
                <w:color w:val="2E548C"/>
                <w:sz w:val="13"/>
              </w:rPr>
              <w:t>[D]</w:t>
            </w:r>
          </w:p>
        </w:tc>
        <w:tc>
          <w:tcPr>
            <w:tcW w:type="dxa" w:w="1215"/>
          </w:tcPr>
          <w:p>
            <w:pPr>
              <w:spacing w:after="0" w:line="240" w:lineRule="auto"/>
              <w:jc w:val="right"/>
            </w:pPr>
            <w:r>
              <w:rPr>
                <w:b w:val="0"/>
                <w:i w:val="0"/>
                <w:sz w:val="16"/>
              </w:rPr>
              <w:t>239</w:t>
            </w:r>
          </w:p>
        </w:tc>
        <w:tc>
          <w:tcPr>
            <w:tcW w:type="dxa" w:w="1215"/>
          </w:tcPr>
          <w:p>
            <w:pPr>
              <w:spacing w:after="0" w:line="240" w:lineRule="auto"/>
              <w:jc w:val="right"/>
            </w:pPr>
            <w:r>
              <w:rPr>
                <w:b w:val="0"/>
                <w:i w:val="0"/>
                <w:sz w:val="16"/>
              </w:rPr>
              <w:t>298</w:t>
            </w:r>
          </w:p>
        </w:tc>
        <w:tc>
          <w:tcPr>
            <w:tcW w:type="dxa" w:w="1215"/>
          </w:tcPr>
          <w:p>
            <w:pPr>
              <w:spacing w:after="0" w:line="240" w:lineRule="auto"/>
              <w:jc w:val="right"/>
            </w:pPr>
            <w:r>
              <w:rPr>
                <w:b w:val="0"/>
                <w:i w:val="0"/>
                <w:sz w:val="16"/>
              </w:rPr>
              <w:t>339</w:t>
            </w:r>
          </w:p>
        </w:tc>
        <w:tc>
          <w:tcPr>
            <w:tcW w:type="dxa" w:w="1215"/>
          </w:tcPr>
          <w:p>
            <w:pPr>
              <w:spacing w:after="0" w:line="240" w:lineRule="auto"/>
              <w:jc w:val="right"/>
            </w:pPr>
            <w:r>
              <w:rPr>
                <w:b w:val="0"/>
                <w:i w:val="0"/>
                <w:sz w:val="16"/>
              </w:rPr>
              <w:t>180</w:t>
            </w:r>
          </w:p>
        </w:tc>
        <w:tc>
          <w:tcPr>
            <w:tcW w:type="dxa" w:w="1215"/>
          </w:tcPr>
          <w:p>
            <w:pPr>
              <w:spacing w:after="0" w:line="240" w:lineRule="auto"/>
              <w:jc w:val="right"/>
            </w:pPr>
            <w:r>
              <w:rPr>
                <w:b w:val="0"/>
                <w:i w:val="0"/>
                <w:sz w:val="16"/>
              </w:rPr>
              <w:t>163</w:t>
            </w:r>
          </w:p>
        </w:tc>
      </w:tr>
      <w:tr>
        <w:trPr>
          <w:cantSplit/>
        </w:trPr>
        <w:tc>
          <w:tcPr>
            <w:tcW w:type="dxa" w:w="3717"/>
            <w:shd w:val="clear" w:color="auto" w:fill="D9E1F2"/>
          </w:tcPr>
          <w:p>
            <w:pPr>
              <w:spacing w:after="0" w:line="240" w:lineRule="auto"/>
            </w:pPr>
            <w:r>
              <w:rPr>
                <w:b w:val="0"/>
                <w:i w:val="0"/>
                <w:sz w:val="16"/>
              </w:rPr>
              <w:t xml:space="preserve">Other (income) expense, net </w:t>
            </w:r>
            <w:r>
              <w:rPr>
                <w:b/>
                <w:color w:val="2E548C"/>
                <w:sz w:val="13"/>
              </w:rPr>
              <w:t>[D]</w:t>
            </w:r>
          </w:p>
        </w:tc>
        <w:tc>
          <w:tcPr>
            <w:tcW w:type="dxa" w:w="1215"/>
            <w:shd w:val="clear" w:color="auto" w:fill="D9E1F2"/>
          </w:tcPr>
          <w:p>
            <w:pPr>
              <w:spacing w:after="0" w:line="240" w:lineRule="auto"/>
              <w:jc w:val="right"/>
            </w:pPr>
            <w:r>
              <w:rPr>
                <w:b w:val="0"/>
                <w:i w:val="0"/>
                <w:sz w:val="16"/>
              </w:rPr>
              <w:t>(2)</w:t>
            </w:r>
          </w:p>
        </w:tc>
        <w:tc>
          <w:tcPr>
            <w:tcW w:type="dxa" w:w="1215"/>
            <w:shd w:val="clear" w:color="auto" w:fill="D9E1F2"/>
          </w:tcPr>
          <w:p>
            <w:pPr>
              <w:spacing w:after="0" w:line="240" w:lineRule="auto"/>
              <w:jc w:val="right"/>
            </w:pPr>
            <w:r>
              <w:rPr>
                <w:b w:val="0"/>
                <w:i w:val="0"/>
                <w:sz w:val="16"/>
              </w:rPr>
              <w:t>(1)</w:t>
            </w:r>
          </w:p>
        </w:tc>
        <w:tc>
          <w:tcPr>
            <w:tcW w:type="dxa" w:w="1215"/>
            <w:shd w:val="clear" w:color="auto" w:fill="D9E1F2"/>
          </w:tcPr>
          <w:p>
            <w:pPr>
              <w:spacing w:after="0" w:line="240" w:lineRule="auto"/>
              <w:jc w:val="right"/>
            </w:pPr>
            <w:r>
              <w:rPr>
                <w:b w:val="0"/>
                <w:i w:val="0"/>
                <w:sz w:val="16"/>
              </w:rPr>
              <w:t>—</w:t>
            </w:r>
          </w:p>
        </w:tc>
        <w:tc>
          <w:tcPr>
            <w:tcW w:type="dxa" w:w="1215"/>
            <w:shd w:val="clear" w:color="auto" w:fill="D9E1F2"/>
          </w:tcPr>
          <w:p>
            <w:pPr>
              <w:spacing w:after="0" w:line="240" w:lineRule="auto"/>
              <w:jc w:val="right"/>
            </w:pPr>
            <w:r>
              <w:rPr>
                <w:b w:val="0"/>
                <w:i w:val="0"/>
                <w:sz w:val="16"/>
              </w:rPr>
              <w:t>—</w:t>
            </w:r>
          </w:p>
        </w:tc>
        <w:tc>
          <w:tcPr>
            <w:tcW w:type="dxa" w:w="1215"/>
            <w:shd w:val="clear" w:color="auto" w:fill="D9E1F2"/>
          </w:tcPr>
          <w:p>
            <w:pPr>
              <w:spacing w:after="0" w:line="240" w:lineRule="auto"/>
              <w:jc w:val="right"/>
            </w:pPr>
            <w:r>
              <w:rPr>
                <w:b w:val="0"/>
                <w:i w:val="0"/>
                <w:sz w:val="16"/>
              </w:rPr>
              <w:t>—</w:t>
            </w:r>
          </w:p>
        </w:tc>
      </w:tr>
      <w:tr>
        <w:trPr>
          <w:cantSplit/>
        </w:trPr>
        <w:tc>
          <w:tcPr>
            <w:tcW w:type="dxa" w:w="3717"/>
          </w:tcPr>
          <w:p>
            <w:pPr>
              <w:spacing w:after="0" w:line="240" w:lineRule="auto"/>
            </w:pPr>
            <w:r>
              <w:rPr>
                <w:b w:val="0"/>
                <w:i w:val="0"/>
                <w:sz w:val="16"/>
              </w:rPr>
              <w:t xml:space="preserve">Interest expense, net </w:t>
            </w:r>
            <w:r>
              <w:rPr>
                <w:b/>
                <w:color w:val="2E548C"/>
                <w:sz w:val="13"/>
              </w:rPr>
              <w:t>[D]</w:t>
            </w:r>
          </w:p>
        </w:tc>
        <w:tc>
          <w:tcPr>
            <w:tcW w:type="dxa" w:w="1215"/>
          </w:tcPr>
          <w:p>
            <w:pPr>
              <w:spacing w:after="0" w:line="240" w:lineRule="auto"/>
              <w:jc w:val="right"/>
            </w:pPr>
            <w:r>
              <w:rPr>
                <w:b w:val="0"/>
                <w:i w:val="0"/>
                <w:sz w:val="16"/>
              </w:rPr>
              <w:t>17</w:t>
            </w:r>
          </w:p>
        </w:tc>
        <w:tc>
          <w:tcPr>
            <w:tcW w:type="dxa" w:w="1215"/>
          </w:tcPr>
          <w:p>
            <w:pPr>
              <w:spacing w:after="0" w:line="240" w:lineRule="auto"/>
              <w:jc w:val="right"/>
            </w:pPr>
            <w:r>
              <w:rPr>
                <w:b w:val="0"/>
                <w:i w:val="0"/>
                <w:sz w:val="16"/>
              </w:rPr>
              <w:t>15</w:t>
            </w:r>
          </w:p>
        </w:tc>
        <w:tc>
          <w:tcPr>
            <w:tcW w:type="dxa" w:w="1215"/>
          </w:tcPr>
          <w:p>
            <w:pPr>
              <w:spacing w:after="0" w:line="240" w:lineRule="auto"/>
              <w:jc w:val="right"/>
            </w:pPr>
            <w:r>
              <w:rPr>
                <w:b w:val="0"/>
                <w:i w:val="0"/>
                <w:sz w:val="16"/>
              </w:rPr>
              <w:t>13</w:t>
            </w:r>
          </w:p>
        </w:tc>
        <w:tc>
          <w:tcPr>
            <w:tcW w:type="dxa" w:w="1215"/>
          </w:tcPr>
          <w:p>
            <w:pPr>
              <w:spacing w:after="0" w:line="240" w:lineRule="auto"/>
              <w:jc w:val="right"/>
            </w:pPr>
            <w:r>
              <w:rPr>
                <w:b w:val="0"/>
                <w:i w:val="0"/>
                <w:sz w:val="16"/>
              </w:rPr>
              <w:t>7</w:t>
            </w:r>
          </w:p>
        </w:tc>
        <w:tc>
          <w:tcPr>
            <w:tcW w:type="dxa" w:w="1215"/>
          </w:tcPr>
          <w:p>
            <w:pPr>
              <w:spacing w:after="0" w:line="240" w:lineRule="auto"/>
              <w:jc w:val="right"/>
            </w:pPr>
            <w:r>
              <w:rPr>
                <w:b w:val="0"/>
                <w:i w:val="0"/>
                <w:sz w:val="16"/>
              </w:rPr>
              <w:t>10</w:t>
            </w:r>
          </w:p>
        </w:tc>
      </w:tr>
      <w:tr>
        <w:trPr>
          <w:cantSplit/>
        </w:trPr>
        <w:tc>
          <w:tcPr>
            <w:tcW w:type="dxa" w:w="3717"/>
            <w:shd w:val="clear" w:color="auto" w:fill="D9E1F2"/>
          </w:tcPr>
          <w:p>
            <w:pPr>
              <w:spacing w:after="0" w:line="240" w:lineRule="auto"/>
            </w:pPr>
            <w:r>
              <w:rPr>
                <w:b w:val="0"/>
                <w:i w:val="0"/>
                <w:sz w:val="16"/>
              </w:rPr>
              <w:t xml:space="preserve">Income before taxes </w:t>
            </w:r>
            <w:r>
              <w:rPr>
                <w:b/>
                <w:color w:val="2E548C"/>
                <w:sz w:val="13"/>
              </w:rPr>
              <w:t>[D]</w:t>
            </w:r>
          </w:p>
        </w:tc>
        <w:tc>
          <w:tcPr>
            <w:tcW w:type="dxa" w:w="1215"/>
            <w:shd w:val="clear" w:color="auto" w:fill="D9E1F2"/>
          </w:tcPr>
          <w:p>
            <w:pPr>
              <w:spacing w:after="0" w:line="240" w:lineRule="auto"/>
              <w:jc w:val="right"/>
            </w:pPr>
            <w:r>
              <w:rPr>
                <w:b w:val="0"/>
                <w:i w:val="0"/>
                <w:sz w:val="16"/>
              </w:rPr>
              <w:t>224</w:t>
            </w:r>
          </w:p>
        </w:tc>
        <w:tc>
          <w:tcPr>
            <w:tcW w:type="dxa" w:w="1215"/>
            <w:shd w:val="clear" w:color="auto" w:fill="D9E1F2"/>
          </w:tcPr>
          <w:p>
            <w:pPr>
              <w:spacing w:after="0" w:line="240" w:lineRule="auto"/>
              <w:jc w:val="right"/>
            </w:pPr>
            <w:r>
              <w:rPr>
                <w:b w:val="0"/>
                <w:i w:val="0"/>
                <w:sz w:val="16"/>
              </w:rPr>
              <w:t>284</w:t>
            </w:r>
          </w:p>
        </w:tc>
        <w:tc>
          <w:tcPr>
            <w:tcW w:type="dxa" w:w="1215"/>
            <w:shd w:val="clear" w:color="auto" w:fill="D9E1F2"/>
          </w:tcPr>
          <w:p>
            <w:pPr>
              <w:spacing w:after="0" w:line="240" w:lineRule="auto"/>
              <w:jc w:val="right"/>
            </w:pPr>
            <w:r>
              <w:rPr>
                <w:b w:val="0"/>
                <w:i w:val="0"/>
                <w:sz w:val="16"/>
              </w:rPr>
              <w:t>326</w:t>
            </w:r>
          </w:p>
        </w:tc>
        <w:tc>
          <w:tcPr>
            <w:tcW w:type="dxa" w:w="1215"/>
            <w:shd w:val="clear" w:color="auto" w:fill="D9E1F2"/>
          </w:tcPr>
          <w:p>
            <w:pPr>
              <w:spacing w:after="0" w:line="240" w:lineRule="auto"/>
              <w:jc w:val="right"/>
            </w:pPr>
            <w:r>
              <w:rPr>
                <w:b w:val="0"/>
                <w:i w:val="0"/>
                <w:sz w:val="16"/>
              </w:rPr>
              <w:t>173</w:t>
            </w:r>
          </w:p>
        </w:tc>
        <w:tc>
          <w:tcPr>
            <w:tcW w:type="dxa" w:w="1215"/>
            <w:shd w:val="clear" w:color="auto" w:fill="D9E1F2"/>
          </w:tcPr>
          <w:p>
            <w:pPr>
              <w:spacing w:after="0" w:line="240" w:lineRule="auto"/>
              <w:jc w:val="right"/>
            </w:pPr>
            <w:r>
              <w:rPr>
                <w:b w:val="0"/>
                <w:i w:val="0"/>
                <w:sz w:val="16"/>
              </w:rPr>
              <w:t>153</w:t>
            </w:r>
          </w:p>
        </w:tc>
      </w:tr>
      <w:tr>
        <w:trPr>
          <w:cantSplit/>
        </w:trPr>
        <w:tc>
          <w:tcPr>
            <w:tcW w:type="dxa" w:w="3717"/>
          </w:tcPr>
          <w:p>
            <w:pPr>
              <w:spacing w:after="0" w:line="240" w:lineRule="auto"/>
            </w:pPr>
            <w:r>
              <w:rPr>
                <w:b w:val="0"/>
                <w:i w:val="0"/>
                <w:sz w:val="16"/>
              </w:rPr>
              <w:t xml:space="preserve">Provision for income taxes </w:t>
            </w:r>
            <w:r>
              <w:rPr>
                <w:b/>
                <w:color w:val="2E548C"/>
                <w:sz w:val="13"/>
              </w:rPr>
              <w:t>[D]</w:t>
            </w:r>
          </w:p>
        </w:tc>
        <w:tc>
          <w:tcPr>
            <w:tcW w:type="dxa" w:w="1215"/>
          </w:tcPr>
          <w:p>
            <w:pPr>
              <w:spacing w:after="0" w:line="240" w:lineRule="auto"/>
              <w:jc w:val="right"/>
            </w:pPr>
            <w:r>
              <w:rPr>
                <w:b w:val="0"/>
                <w:i w:val="0"/>
                <w:sz w:val="16"/>
              </w:rPr>
              <w:t>61</w:t>
            </w:r>
          </w:p>
        </w:tc>
        <w:tc>
          <w:tcPr>
            <w:tcW w:type="dxa" w:w="1215"/>
          </w:tcPr>
          <w:p>
            <w:pPr>
              <w:spacing w:after="0" w:line="240" w:lineRule="auto"/>
              <w:jc w:val="right"/>
            </w:pPr>
            <w:r>
              <w:rPr>
                <w:b w:val="0"/>
                <w:i w:val="0"/>
                <w:sz w:val="16"/>
              </w:rPr>
              <w:t>76</w:t>
            </w:r>
          </w:p>
        </w:tc>
        <w:tc>
          <w:tcPr>
            <w:tcW w:type="dxa" w:w="1215"/>
          </w:tcPr>
          <w:p>
            <w:pPr>
              <w:spacing w:after="0" w:line="240" w:lineRule="auto"/>
              <w:jc w:val="right"/>
            </w:pPr>
            <w:r>
              <w:rPr>
                <w:b w:val="0"/>
                <w:i w:val="0"/>
                <w:sz w:val="16"/>
              </w:rPr>
              <w:t>106</w:t>
            </w:r>
          </w:p>
        </w:tc>
        <w:tc>
          <w:tcPr>
            <w:tcW w:type="dxa" w:w="1215"/>
          </w:tcPr>
          <w:p>
            <w:pPr>
              <w:spacing w:after="0" w:line="240" w:lineRule="auto"/>
              <w:jc w:val="right"/>
            </w:pPr>
            <w:r>
              <w:rPr>
                <w:b w:val="0"/>
                <w:i w:val="0"/>
                <w:sz w:val="16"/>
              </w:rPr>
              <w:t>50</w:t>
            </w:r>
          </w:p>
        </w:tc>
        <w:tc>
          <w:tcPr>
            <w:tcW w:type="dxa" w:w="1215"/>
          </w:tcPr>
          <w:p>
            <w:pPr>
              <w:spacing w:after="0" w:line="240" w:lineRule="auto"/>
              <w:jc w:val="right"/>
            </w:pPr>
            <w:r>
              <w:rPr>
                <w:b w:val="0"/>
                <w:i w:val="0"/>
                <w:sz w:val="16"/>
              </w:rPr>
              <w:t>45</w:t>
            </w:r>
          </w:p>
        </w:tc>
      </w:tr>
      <w:tr>
        <w:trPr>
          <w:cantSplit/>
        </w:trPr>
        <w:tc>
          <w:tcPr>
            <w:tcW w:type="dxa" w:w="3717"/>
            <w:shd w:val="clear" w:color="auto" w:fill="D9E1F2"/>
          </w:tcPr>
          <w:p>
            <w:pPr>
              <w:spacing w:after="0" w:line="240" w:lineRule="auto"/>
            </w:pPr>
            <w:r>
              <w:rPr>
                <w:b w:val="0"/>
                <w:i w:val="0"/>
                <w:sz w:val="16"/>
              </w:rPr>
              <w:t xml:space="preserve">Net income </w:t>
            </w:r>
            <w:r>
              <w:rPr>
                <w:b/>
                <w:color w:val="2E548C"/>
                <w:sz w:val="13"/>
              </w:rPr>
              <w:t>[D]</w:t>
            </w:r>
          </w:p>
        </w:tc>
        <w:tc>
          <w:tcPr>
            <w:tcW w:type="dxa" w:w="1215"/>
            <w:shd w:val="clear" w:color="auto" w:fill="D9E1F2"/>
          </w:tcPr>
          <w:p>
            <w:pPr>
              <w:spacing w:after="0" w:line="240" w:lineRule="auto"/>
              <w:jc w:val="right"/>
            </w:pPr>
            <w:r>
              <w:rPr>
                <w:b w:val="0"/>
                <w:i w:val="0"/>
                <w:sz w:val="16"/>
              </w:rPr>
              <w:t>163</w:t>
            </w:r>
          </w:p>
        </w:tc>
        <w:tc>
          <w:tcPr>
            <w:tcW w:type="dxa" w:w="1215"/>
            <w:shd w:val="clear" w:color="auto" w:fill="D9E1F2"/>
          </w:tcPr>
          <w:p>
            <w:pPr>
              <w:spacing w:after="0" w:line="240" w:lineRule="auto"/>
              <w:jc w:val="right"/>
            </w:pPr>
            <w:r>
              <w:rPr>
                <w:b w:val="0"/>
                <w:i w:val="0"/>
                <w:sz w:val="16"/>
              </w:rPr>
              <w:t>208</w:t>
            </w:r>
          </w:p>
        </w:tc>
        <w:tc>
          <w:tcPr>
            <w:tcW w:type="dxa" w:w="1215"/>
            <w:shd w:val="clear" w:color="auto" w:fill="D9E1F2"/>
          </w:tcPr>
          <w:p>
            <w:pPr>
              <w:spacing w:after="0" w:line="240" w:lineRule="auto"/>
              <w:jc w:val="right"/>
            </w:pPr>
            <w:r>
              <w:rPr>
                <w:b w:val="0"/>
                <w:i w:val="0"/>
                <w:sz w:val="16"/>
              </w:rPr>
              <w:t>220</w:t>
            </w:r>
          </w:p>
        </w:tc>
        <w:tc>
          <w:tcPr>
            <w:tcW w:type="dxa" w:w="1215"/>
            <w:shd w:val="clear" w:color="auto" w:fill="D9E1F2"/>
          </w:tcPr>
          <w:p>
            <w:pPr>
              <w:spacing w:after="0" w:line="240" w:lineRule="auto"/>
              <w:jc w:val="right"/>
            </w:pPr>
            <w:r>
              <w:rPr>
                <w:b w:val="0"/>
                <w:i w:val="0"/>
                <w:sz w:val="16"/>
              </w:rPr>
              <w:t>123</w:t>
            </w:r>
          </w:p>
        </w:tc>
        <w:tc>
          <w:tcPr>
            <w:tcW w:type="dxa" w:w="1215"/>
            <w:shd w:val="clear" w:color="auto" w:fill="D9E1F2"/>
          </w:tcPr>
          <w:p>
            <w:pPr>
              <w:spacing w:after="0" w:line="240" w:lineRule="auto"/>
              <w:jc w:val="right"/>
            </w:pPr>
            <w:r>
              <w:rPr>
                <w:b w:val="0"/>
                <w:i w:val="0"/>
                <w:sz w:val="16"/>
              </w:rPr>
              <w:t>108</w:t>
            </w:r>
          </w:p>
        </w:tc>
      </w:tr>
      <w:tr>
        <w:trPr>
          <w:cantSplit/>
        </w:trPr>
        <w:tc>
          <w:tcPr>
            <w:tcW w:type="dxa" w:w="3717"/>
          </w:tcPr>
          <w:p>
            <w:pPr>
              <w:spacing w:after="0" w:line="240" w:lineRule="auto"/>
            </w:pPr>
            <w:r>
              <w:rPr>
                <w:b w:val="0"/>
                <w:i w:val="0"/>
                <w:sz w:val="16"/>
              </w:rPr>
              <w:t xml:space="preserve">EPS, basic = diluted ($) </w:t>
            </w:r>
            <w:r>
              <w:rPr>
                <w:b/>
                <w:color w:val="2E548C"/>
                <w:sz w:val="13"/>
              </w:rPr>
              <w:t>[D]</w:t>
            </w:r>
          </w:p>
        </w:tc>
        <w:tc>
          <w:tcPr>
            <w:tcW w:type="dxa" w:w="1215"/>
          </w:tcPr>
          <w:p>
            <w:pPr>
              <w:spacing w:after="0" w:line="240" w:lineRule="auto"/>
              <w:jc w:val="right"/>
            </w:pPr>
            <w:r>
              <w:rPr>
                <w:b w:val="0"/>
                <w:i w:val="0"/>
                <w:sz w:val="16"/>
              </w:rPr>
              <w:t>n/p</w:t>
            </w:r>
          </w:p>
        </w:tc>
        <w:tc>
          <w:tcPr>
            <w:tcW w:type="dxa" w:w="1215"/>
          </w:tcPr>
          <w:p>
            <w:pPr>
              <w:spacing w:after="0" w:line="240" w:lineRule="auto"/>
              <w:jc w:val="right"/>
            </w:pPr>
            <w:r>
              <w:rPr>
                <w:b w:val="0"/>
                <w:i w:val="0"/>
                <w:sz w:val="16"/>
              </w:rPr>
              <w:t>n/p</w:t>
            </w:r>
          </w:p>
        </w:tc>
        <w:tc>
          <w:tcPr>
            <w:tcW w:type="dxa" w:w="1215"/>
          </w:tcPr>
          <w:p>
            <w:pPr>
              <w:spacing w:after="0" w:line="240" w:lineRule="auto"/>
              <w:jc w:val="right"/>
            </w:pPr>
            <w:r>
              <w:rPr>
                <w:b w:val="0"/>
                <w:i w:val="0"/>
                <w:sz w:val="16"/>
              </w:rPr>
              <w:t>n/p</w:t>
            </w:r>
          </w:p>
        </w:tc>
        <w:tc>
          <w:tcPr>
            <w:tcW w:type="dxa" w:w="1215"/>
          </w:tcPr>
          <w:p>
            <w:pPr>
              <w:spacing w:after="0" w:line="240" w:lineRule="auto"/>
              <w:jc w:val="right"/>
            </w:pPr>
            <w:r>
              <w:rPr>
                <w:b w:val="0"/>
                <w:i w:val="0"/>
                <w:sz w:val="16"/>
              </w:rPr>
              <w:t>0.42</w:t>
            </w:r>
          </w:p>
        </w:tc>
        <w:tc>
          <w:tcPr>
            <w:tcW w:type="dxa" w:w="1215"/>
          </w:tcPr>
          <w:p>
            <w:pPr>
              <w:spacing w:after="0" w:line="240" w:lineRule="auto"/>
              <w:jc w:val="right"/>
            </w:pPr>
            <w:r>
              <w:rPr>
                <w:b w:val="0"/>
                <w:i w:val="0"/>
                <w:sz w:val="16"/>
              </w:rPr>
              <w:t>0.37</w:t>
            </w:r>
          </w:p>
        </w:tc>
      </w:tr>
      <w:tr>
        <w:trPr>
          <w:cantSplit/>
        </w:trPr>
        <w:tc>
          <w:tcPr>
            <w:tcW w:type="dxa" w:w="3717"/>
            <w:shd w:val="clear" w:color="auto" w:fill="D9E1F2"/>
          </w:tcPr>
          <w:p>
            <w:pPr>
              <w:spacing w:after="0" w:line="240" w:lineRule="auto"/>
            </w:pPr>
            <w:r>
              <w:rPr>
                <w:b w:val="0"/>
                <w:i w:val="0"/>
                <w:sz w:val="16"/>
              </w:rPr>
              <w:t xml:space="preserve">Revenue growth </w:t>
            </w:r>
            <w:r>
              <w:rPr>
                <w:b/>
                <w:color w:val="2E548C"/>
                <w:sz w:val="13"/>
              </w:rPr>
              <w:t>[C]</w:t>
            </w:r>
          </w:p>
        </w:tc>
        <w:tc>
          <w:tcPr>
            <w:tcW w:type="dxa" w:w="1215"/>
            <w:shd w:val="clear" w:color="auto" w:fill="D9E1F2"/>
          </w:tcPr>
          <w:p>
            <w:pPr>
              <w:spacing w:after="0" w:line="240" w:lineRule="auto"/>
              <w:jc w:val="right"/>
            </w:pPr>
            <w:r>
              <w:rPr>
                <w:b w:val="0"/>
                <w:i w:val="0"/>
                <w:sz w:val="16"/>
              </w:rPr>
              <w:t>—</w:t>
            </w:r>
          </w:p>
        </w:tc>
        <w:tc>
          <w:tcPr>
            <w:tcW w:type="dxa" w:w="1215"/>
            <w:shd w:val="clear" w:color="auto" w:fill="D9E1F2"/>
          </w:tcPr>
          <w:p>
            <w:pPr>
              <w:spacing w:after="0" w:line="240" w:lineRule="auto"/>
              <w:jc w:val="right"/>
            </w:pPr>
            <w:r>
              <w:rPr>
                <w:b w:val="0"/>
                <w:i w:val="0"/>
                <w:sz w:val="16"/>
              </w:rPr>
              <w:t>+8.6%</w:t>
            </w:r>
          </w:p>
        </w:tc>
        <w:tc>
          <w:tcPr>
            <w:tcW w:type="dxa" w:w="1215"/>
            <w:shd w:val="clear" w:color="auto" w:fill="D9E1F2"/>
          </w:tcPr>
          <w:p>
            <w:pPr>
              <w:spacing w:after="0" w:line="240" w:lineRule="auto"/>
              <w:jc w:val="right"/>
            </w:pPr>
            <w:r>
              <w:rPr>
                <w:b w:val="0"/>
                <w:i w:val="0"/>
                <w:sz w:val="16"/>
              </w:rPr>
              <w:t>+8.5%</w:t>
            </w:r>
          </w:p>
        </w:tc>
        <w:tc>
          <w:tcPr>
            <w:tcW w:type="dxa" w:w="1215"/>
            <w:shd w:val="clear" w:color="auto" w:fill="D9E1F2"/>
          </w:tcPr>
          <w:p>
            <w:pPr>
              <w:spacing w:after="0" w:line="240" w:lineRule="auto"/>
              <w:jc w:val="right"/>
            </w:pPr>
            <w:r>
              <w:rPr>
                <w:b w:val="0"/>
                <w:i w:val="0"/>
                <w:sz w:val="16"/>
              </w:rPr>
              <w:t>—</w:t>
            </w:r>
          </w:p>
        </w:tc>
        <w:tc>
          <w:tcPr>
            <w:tcW w:type="dxa" w:w="1215"/>
            <w:shd w:val="clear" w:color="auto" w:fill="D9E1F2"/>
          </w:tcPr>
          <w:p>
            <w:pPr>
              <w:spacing w:after="0" w:line="240" w:lineRule="auto"/>
              <w:jc w:val="right"/>
            </w:pPr>
            <w:r>
              <w:rPr>
                <w:b w:val="0"/>
                <w:i w:val="0"/>
                <w:sz w:val="16"/>
              </w:rPr>
              <w:t>+7.5%</w:t>
            </w:r>
          </w:p>
        </w:tc>
      </w:tr>
      <w:tr>
        <w:trPr>
          <w:cantSplit/>
        </w:trPr>
        <w:tc>
          <w:tcPr>
            <w:tcW w:type="dxa" w:w="3717"/>
          </w:tcPr>
          <w:p>
            <w:pPr>
              <w:spacing w:after="0" w:line="240" w:lineRule="auto"/>
            </w:pPr>
            <w:r>
              <w:rPr>
                <w:b w:val="0"/>
                <w:i w:val="0"/>
                <w:sz w:val="16"/>
              </w:rPr>
              <w:t xml:space="preserve">Operating margin </w:t>
            </w:r>
            <w:r>
              <w:rPr>
                <w:b/>
                <w:color w:val="2E548C"/>
                <w:sz w:val="13"/>
              </w:rPr>
              <w:t>[C]</w:t>
            </w:r>
          </w:p>
        </w:tc>
        <w:tc>
          <w:tcPr>
            <w:tcW w:type="dxa" w:w="1215"/>
          </w:tcPr>
          <w:p>
            <w:pPr>
              <w:spacing w:after="0" w:line="240" w:lineRule="auto"/>
              <w:jc w:val="right"/>
            </w:pPr>
            <w:r>
              <w:rPr>
                <w:b w:val="0"/>
                <w:i w:val="0"/>
                <w:sz w:val="16"/>
              </w:rPr>
              <w:t>16.1%</w:t>
            </w:r>
          </w:p>
        </w:tc>
        <w:tc>
          <w:tcPr>
            <w:tcW w:type="dxa" w:w="1215"/>
          </w:tcPr>
          <w:p>
            <w:pPr>
              <w:spacing w:after="0" w:line="240" w:lineRule="auto"/>
              <w:jc w:val="right"/>
            </w:pPr>
            <w:r>
              <w:rPr>
                <w:b w:val="0"/>
                <w:i w:val="0"/>
                <w:sz w:val="16"/>
              </w:rPr>
              <w:t>18.5%</w:t>
            </w:r>
          </w:p>
        </w:tc>
        <w:tc>
          <w:tcPr>
            <w:tcW w:type="dxa" w:w="1215"/>
          </w:tcPr>
          <w:p>
            <w:pPr>
              <w:spacing w:after="0" w:line="240" w:lineRule="auto"/>
              <w:jc w:val="right"/>
            </w:pPr>
            <w:r>
              <w:rPr>
                <w:b w:val="0"/>
                <w:i w:val="0"/>
                <w:sz w:val="16"/>
              </w:rPr>
              <w:t>19.4%</w:t>
            </w:r>
          </w:p>
        </w:tc>
        <w:tc>
          <w:tcPr>
            <w:tcW w:type="dxa" w:w="1215"/>
          </w:tcPr>
          <w:p>
            <w:pPr>
              <w:spacing w:after="0" w:line="240" w:lineRule="auto"/>
              <w:jc w:val="right"/>
            </w:pPr>
            <w:r>
              <w:rPr>
                <w:b w:val="0"/>
                <w:i w:val="0"/>
                <w:sz w:val="16"/>
              </w:rPr>
              <w:t>21.0%</w:t>
            </w:r>
          </w:p>
        </w:tc>
        <w:tc>
          <w:tcPr>
            <w:tcW w:type="dxa" w:w="1215"/>
          </w:tcPr>
          <w:p>
            <w:pPr>
              <w:spacing w:after="0" w:line="240" w:lineRule="auto"/>
              <w:jc w:val="right"/>
            </w:pPr>
            <w:r>
              <w:rPr>
                <w:b w:val="0"/>
                <w:i w:val="0"/>
                <w:sz w:val="16"/>
              </w:rPr>
              <w:t>17.7%</w:t>
            </w:r>
          </w:p>
        </w:tc>
      </w:tr>
      <w:tr>
        <w:trPr>
          <w:cantSplit/>
        </w:trPr>
        <w:tc>
          <w:tcPr>
            <w:tcW w:type="dxa" w:w="3717"/>
            <w:shd w:val="clear" w:color="auto" w:fill="D9E1F2"/>
          </w:tcPr>
          <w:p>
            <w:pPr>
              <w:spacing w:after="0" w:line="240" w:lineRule="auto"/>
            </w:pPr>
            <w:r>
              <w:rPr>
                <w:b w:val="0"/>
                <w:i w:val="0"/>
                <w:sz w:val="16"/>
              </w:rPr>
              <w:t xml:space="preserve">Effective tax rate </w:t>
            </w:r>
            <w:r>
              <w:rPr>
                <w:b/>
                <w:color w:val="2E548C"/>
                <w:sz w:val="13"/>
              </w:rPr>
              <w:t>[C]</w:t>
            </w:r>
          </w:p>
        </w:tc>
        <w:tc>
          <w:tcPr>
            <w:tcW w:type="dxa" w:w="1215"/>
            <w:shd w:val="clear" w:color="auto" w:fill="D9E1F2"/>
          </w:tcPr>
          <w:p>
            <w:pPr>
              <w:spacing w:after="0" w:line="240" w:lineRule="auto"/>
              <w:jc w:val="right"/>
            </w:pPr>
            <w:r>
              <w:rPr>
                <w:b w:val="0"/>
                <w:i w:val="0"/>
                <w:sz w:val="16"/>
              </w:rPr>
              <w:t>27.2%</w:t>
            </w:r>
          </w:p>
        </w:tc>
        <w:tc>
          <w:tcPr>
            <w:tcW w:type="dxa" w:w="1215"/>
            <w:shd w:val="clear" w:color="auto" w:fill="D9E1F2"/>
          </w:tcPr>
          <w:p>
            <w:pPr>
              <w:spacing w:after="0" w:line="240" w:lineRule="auto"/>
              <w:jc w:val="right"/>
            </w:pPr>
            <w:r>
              <w:rPr>
                <w:b w:val="0"/>
                <w:i w:val="0"/>
                <w:sz w:val="16"/>
              </w:rPr>
              <w:t>26.8%</w:t>
            </w:r>
          </w:p>
        </w:tc>
        <w:tc>
          <w:tcPr>
            <w:tcW w:type="dxa" w:w="1215"/>
            <w:shd w:val="clear" w:color="auto" w:fill="D9E1F2"/>
          </w:tcPr>
          <w:p>
            <w:pPr>
              <w:spacing w:after="0" w:line="240" w:lineRule="auto"/>
              <w:jc w:val="right"/>
            </w:pPr>
            <w:r>
              <w:rPr>
                <w:b w:val="0"/>
                <w:i w:val="0"/>
                <w:sz w:val="16"/>
              </w:rPr>
              <w:t>32.5%</w:t>
            </w:r>
          </w:p>
        </w:tc>
        <w:tc>
          <w:tcPr>
            <w:tcW w:type="dxa" w:w="1215"/>
            <w:shd w:val="clear" w:color="auto" w:fill="D9E1F2"/>
          </w:tcPr>
          <w:p>
            <w:pPr>
              <w:spacing w:after="0" w:line="240" w:lineRule="auto"/>
              <w:jc w:val="right"/>
            </w:pPr>
            <w:r>
              <w:rPr>
                <w:b w:val="0"/>
                <w:i w:val="0"/>
                <w:sz w:val="16"/>
              </w:rPr>
              <w:t>28.9%</w:t>
            </w:r>
          </w:p>
        </w:tc>
        <w:tc>
          <w:tcPr>
            <w:tcW w:type="dxa" w:w="1215"/>
            <w:shd w:val="clear" w:color="auto" w:fill="D9E1F2"/>
          </w:tcPr>
          <w:p>
            <w:pPr>
              <w:spacing w:after="0" w:line="240" w:lineRule="auto"/>
              <w:jc w:val="right"/>
            </w:pPr>
            <w:r>
              <w:rPr>
                <w:b w:val="0"/>
                <w:i w:val="0"/>
                <w:sz w:val="16"/>
              </w:rPr>
              <w:t>29.4%</w:t>
            </w:r>
          </w:p>
        </w:tc>
      </w:tr>
      <w:tr>
        <w:trPr>
          <w:cantSplit/>
        </w:trPr>
        <w:tc>
          <w:tcPr>
            <w:tcW w:type="dxa" w:w="3717"/>
          </w:tcPr>
          <w:p>
            <w:pPr>
              <w:spacing w:after="0" w:line="240" w:lineRule="auto"/>
            </w:pPr>
            <w:r>
              <w:rPr>
                <w:b w:val="0"/>
                <w:i w:val="0"/>
                <w:sz w:val="16"/>
              </w:rPr>
              <w:t xml:space="preserve">Net margin </w:t>
            </w:r>
            <w:r>
              <w:rPr>
                <w:b/>
                <w:color w:val="2E548C"/>
                <w:sz w:val="13"/>
              </w:rPr>
              <w:t>[C]</w:t>
            </w:r>
          </w:p>
        </w:tc>
        <w:tc>
          <w:tcPr>
            <w:tcW w:type="dxa" w:w="1215"/>
          </w:tcPr>
          <w:p>
            <w:pPr>
              <w:spacing w:after="0" w:line="240" w:lineRule="auto"/>
              <w:jc w:val="right"/>
            </w:pPr>
            <w:r>
              <w:rPr>
                <w:b w:val="0"/>
                <w:i w:val="0"/>
                <w:sz w:val="16"/>
              </w:rPr>
              <w:t>11.0%</w:t>
            </w:r>
          </w:p>
        </w:tc>
        <w:tc>
          <w:tcPr>
            <w:tcW w:type="dxa" w:w="1215"/>
          </w:tcPr>
          <w:p>
            <w:pPr>
              <w:spacing w:after="0" w:line="240" w:lineRule="auto"/>
              <w:jc w:val="right"/>
            </w:pPr>
            <w:r>
              <w:rPr>
                <w:b w:val="0"/>
                <w:i w:val="0"/>
                <w:sz w:val="16"/>
              </w:rPr>
              <w:t>12.9%</w:t>
            </w:r>
          </w:p>
        </w:tc>
        <w:tc>
          <w:tcPr>
            <w:tcW w:type="dxa" w:w="1215"/>
          </w:tcPr>
          <w:p>
            <w:pPr>
              <w:spacing w:after="0" w:line="240" w:lineRule="auto"/>
              <w:jc w:val="right"/>
            </w:pPr>
            <w:r>
              <w:rPr>
                <w:b w:val="0"/>
                <w:i w:val="0"/>
                <w:sz w:val="16"/>
              </w:rPr>
              <w:t>12.6%</w:t>
            </w:r>
          </w:p>
        </w:tc>
        <w:tc>
          <w:tcPr>
            <w:tcW w:type="dxa" w:w="1215"/>
          </w:tcPr>
          <w:p>
            <w:pPr>
              <w:spacing w:after="0" w:line="240" w:lineRule="auto"/>
              <w:jc w:val="right"/>
            </w:pPr>
            <w:r>
              <w:rPr>
                <w:b w:val="0"/>
                <w:i w:val="0"/>
                <w:sz w:val="16"/>
              </w:rPr>
              <w:t>14.3%</w:t>
            </w:r>
          </w:p>
        </w:tc>
        <w:tc>
          <w:tcPr>
            <w:tcW w:type="dxa" w:w="1215"/>
          </w:tcPr>
          <w:p>
            <w:pPr>
              <w:spacing w:after="0" w:line="240" w:lineRule="auto"/>
              <w:jc w:val="right"/>
            </w:pPr>
            <w:r>
              <w:rPr>
                <w:b w:val="0"/>
                <w:i w:val="0"/>
                <w:sz w:val="16"/>
              </w:rPr>
              <w:t>11.7%</w:t>
            </w:r>
          </w:p>
        </w:tc>
      </w:tr>
    </w:tbl>
    <w:p>
      <w:pPr>
        <w:spacing w:after="120"/>
      </w:pPr>
      <w:r>
        <w:rPr>
          <w:b w:val="0"/>
          <w:i/>
          <w:color w:val="595959"/>
          <w:sz w:val="15"/>
        </w:rPr>
        <w:t>Source: canonical/primary.csv (Form 10/A p.440; 10-Q p.4). Other (income) expense: negative = income (FY23 2, FY24 1). EPS for carve-out periods printed in the 10-Q on 294,821,320 shares; the Form 10 said EPS could not be presented (n/p) — see §14.</w:t>
      </w:r>
    </w:p>
    <w:p>
      <w:pPr>
        <w:keepNext/>
        <w:spacing w:before="80" w:after="40"/>
      </w:pPr>
      <w:r>
        <w:rPr>
          <w:b/>
          <w:i w:val="0"/>
          <w:color w:val="1F3864"/>
          <w:sz w:val="17"/>
        </w:rPr>
        <w:t>Exhibit 8.2 — Quarterly profile ($m)</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3857"/>
        <w:gridCol w:w="1483"/>
        <w:gridCol w:w="1483"/>
        <w:gridCol w:w="1483"/>
        <w:gridCol w:w="1483"/>
      </w:tblGrid>
      <w:tr>
        <w:trPr>
          <w:cantSplit/>
          <w:tblHeader/>
        </w:trPr>
        <w:tc>
          <w:tcPr>
            <w:tcW w:type="dxa" w:w="3857"/>
            <w:shd w:val="clear" w:color="auto" w:fill="1F3864"/>
          </w:tcPr>
          <w:p>
            <w:pPr>
              <w:spacing w:after="0" w:line="240" w:lineRule="auto"/>
            </w:pPr>
          </w:p>
        </w:tc>
        <w:tc>
          <w:tcPr>
            <w:tcW w:type="dxa" w:w="1484"/>
            <w:shd w:val="clear" w:color="auto" w:fill="1F3864"/>
          </w:tcPr>
          <w:p>
            <w:pPr>
              <w:spacing w:after="0" w:line="240" w:lineRule="auto"/>
              <w:jc w:val="right"/>
            </w:pPr>
            <w:r>
              <w:rPr>
                <w:b/>
                <w:i w:val="0"/>
                <w:color w:val="FFFFFF"/>
                <w:sz w:val="16"/>
              </w:rPr>
              <w:t>Q1-2025</w:t>
            </w:r>
          </w:p>
        </w:tc>
        <w:tc>
          <w:tcPr>
            <w:tcW w:type="dxa" w:w="1484"/>
            <w:shd w:val="clear" w:color="auto" w:fill="1F3864"/>
          </w:tcPr>
          <w:p>
            <w:pPr>
              <w:spacing w:after="0" w:line="240" w:lineRule="auto"/>
              <w:jc w:val="right"/>
            </w:pPr>
            <w:r>
              <w:rPr>
                <w:b/>
                <w:i w:val="0"/>
                <w:color w:val="FFFFFF"/>
                <w:sz w:val="16"/>
              </w:rPr>
              <w:t>Q2-2025</w:t>
            </w:r>
          </w:p>
        </w:tc>
        <w:tc>
          <w:tcPr>
            <w:tcW w:type="dxa" w:w="1484"/>
            <w:shd w:val="clear" w:color="auto" w:fill="1F3864"/>
          </w:tcPr>
          <w:p>
            <w:pPr>
              <w:spacing w:after="0" w:line="240" w:lineRule="auto"/>
              <w:jc w:val="right"/>
            </w:pPr>
            <w:r>
              <w:rPr>
                <w:b/>
                <w:i w:val="0"/>
                <w:color w:val="FFFFFF"/>
                <w:sz w:val="16"/>
              </w:rPr>
              <w:t>Q1-2026</w:t>
            </w:r>
          </w:p>
        </w:tc>
        <w:tc>
          <w:tcPr>
            <w:tcW w:type="dxa" w:w="1484"/>
            <w:shd w:val="clear" w:color="auto" w:fill="1F3864"/>
          </w:tcPr>
          <w:p>
            <w:pPr>
              <w:spacing w:after="0" w:line="240" w:lineRule="auto"/>
              <w:jc w:val="right"/>
            </w:pPr>
            <w:r>
              <w:rPr>
                <w:b/>
                <w:i w:val="0"/>
                <w:color w:val="FFFFFF"/>
                <w:sz w:val="16"/>
              </w:rPr>
              <w:t>Q2-2026</w:t>
            </w:r>
          </w:p>
        </w:tc>
      </w:tr>
      <w:tr>
        <w:trPr>
          <w:cantSplit/>
        </w:trPr>
        <w:tc>
          <w:tcPr>
            <w:tcW w:type="dxa" w:w="3857"/>
          </w:tcPr>
          <w:p>
            <w:pPr>
              <w:spacing w:after="0" w:line="240" w:lineRule="auto"/>
            </w:pPr>
            <w:r>
              <w:rPr>
                <w:b w:val="0"/>
                <w:i w:val="0"/>
                <w:sz w:val="16"/>
              </w:rPr>
              <w:t xml:space="preserve">Revenue </w:t>
            </w:r>
            <w:r>
              <w:rPr>
                <w:b/>
                <w:color w:val="2E548C"/>
                <w:sz w:val="13"/>
              </w:rPr>
              <w:t>[D]</w:t>
            </w:r>
          </w:p>
        </w:tc>
        <w:tc>
          <w:tcPr>
            <w:tcW w:type="dxa" w:w="1484"/>
          </w:tcPr>
          <w:p>
            <w:pPr>
              <w:spacing w:after="0" w:line="240" w:lineRule="auto"/>
              <w:jc w:val="right"/>
            </w:pPr>
            <w:r>
              <w:rPr>
                <w:b w:val="0"/>
                <w:i w:val="0"/>
                <w:sz w:val="16"/>
              </w:rPr>
              <w:t>420</w:t>
            </w:r>
          </w:p>
        </w:tc>
        <w:tc>
          <w:tcPr>
            <w:tcW w:type="dxa" w:w="1484"/>
          </w:tcPr>
          <w:p>
            <w:pPr>
              <w:spacing w:after="0" w:line="240" w:lineRule="auto"/>
              <w:jc w:val="right"/>
            </w:pPr>
            <w:r>
              <w:rPr>
                <w:b w:val="0"/>
                <w:i w:val="0"/>
                <w:sz w:val="16"/>
              </w:rPr>
              <w:t>439</w:t>
            </w:r>
          </w:p>
        </w:tc>
        <w:tc>
          <w:tcPr>
            <w:tcW w:type="dxa" w:w="1484"/>
          </w:tcPr>
          <w:p>
            <w:pPr>
              <w:spacing w:after="0" w:line="240" w:lineRule="auto"/>
              <w:jc w:val="right"/>
            </w:pPr>
            <w:r>
              <w:rPr>
                <w:b w:val="0"/>
                <w:i w:val="0"/>
                <w:sz w:val="16"/>
              </w:rPr>
              <w:t>455</w:t>
            </w:r>
          </w:p>
        </w:tc>
        <w:tc>
          <w:tcPr>
            <w:tcW w:type="dxa" w:w="1484"/>
          </w:tcPr>
          <w:p>
            <w:pPr>
              <w:spacing w:after="0" w:line="240" w:lineRule="auto"/>
              <w:jc w:val="right"/>
            </w:pPr>
            <w:r>
              <w:rPr>
                <w:b w:val="0"/>
                <w:i w:val="0"/>
                <w:sz w:val="16"/>
              </w:rPr>
              <w:t>468</w:t>
            </w:r>
          </w:p>
        </w:tc>
      </w:tr>
      <w:tr>
        <w:trPr>
          <w:cantSplit/>
        </w:trPr>
        <w:tc>
          <w:tcPr>
            <w:tcW w:type="dxa" w:w="3857"/>
            <w:shd w:val="clear" w:color="auto" w:fill="D9E1F2"/>
          </w:tcPr>
          <w:p>
            <w:pPr>
              <w:spacing w:after="0" w:line="240" w:lineRule="auto"/>
            </w:pPr>
            <w:r>
              <w:rPr>
                <w:b w:val="0"/>
                <w:i w:val="0"/>
                <w:sz w:val="16"/>
              </w:rPr>
              <w:t xml:space="preserve">Revenue growth y/y </w:t>
            </w:r>
            <w:r>
              <w:rPr>
                <w:b/>
                <w:color w:val="2E548C"/>
                <w:sz w:val="13"/>
              </w:rPr>
              <w:t>[C]</w:t>
            </w:r>
          </w:p>
        </w:tc>
        <w:tc>
          <w:tcPr>
            <w:tcW w:type="dxa" w:w="1484"/>
            <w:shd w:val="clear" w:color="auto" w:fill="D9E1F2"/>
          </w:tcPr>
          <w:p>
            <w:pPr>
              <w:spacing w:after="0" w:line="240" w:lineRule="auto"/>
              <w:jc w:val="right"/>
            </w:pPr>
            <w:r>
              <w:rPr>
                <w:b w:val="0"/>
                <w:i w:val="0"/>
                <w:sz w:val="16"/>
              </w:rPr>
              <w:t>—</w:t>
            </w:r>
          </w:p>
        </w:tc>
        <w:tc>
          <w:tcPr>
            <w:tcW w:type="dxa" w:w="1484"/>
            <w:shd w:val="clear" w:color="auto" w:fill="D9E1F2"/>
          </w:tcPr>
          <w:p>
            <w:pPr>
              <w:spacing w:after="0" w:line="240" w:lineRule="auto"/>
              <w:jc w:val="right"/>
            </w:pPr>
            <w:r>
              <w:rPr>
                <w:b w:val="0"/>
                <w:i w:val="0"/>
                <w:sz w:val="16"/>
              </w:rPr>
              <w:t>—</w:t>
            </w:r>
          </w:p>
        </w:tc>
        <w:tc>
          <w:tcPr>
            <w:tcW w:type="dxa" w:w="1484"/>
            <w:shd w:val="clear" w:color="auto" w:fill="D9E1F2"/>
          </w:tcPr>
          <w:p>
            <w:pPr>
              <w:spacing w:after="0" w:line="240" w:lineRule="auto"/>
              <w:jc w:val="right"/>
            </w:pPr>
            <w:r>
              <w:rPr>
                <w:b w:val="0"/>
                <w:i w:val="0"/>
                <w:sz w:val="16"/>
              </w:rPr>
              <w:t>+8.3%</w:t>
            </w:r>
          </w:p>
        </w:tc>
        <w:tc>
          <w:tcPr>
            <w:tcW w:type="dxa" w:w="1484"/>
            <w:shd w:val="clear" w:color="auto" w:fill="D9E1F2"/>
          </w:tcPr>
          <w:p>
            <w:pPr>
              <w:spacing w:after="0" w:line="240" w:lineRule="auto"/>
              <w:jc w:val="right"/>
            </w:pPr>
            <w:r>
              <w:rPr>
                <w:b w:val="0"/>
                <w:i w:val="0"/>
                <w:sz w:val="16"/>
              </w:rPr>
              <w:t>+6.6%</w:t>
            </w:r>
          </w:p>
        </w:tc>
      </w:tr>
      <w:tr>
        <w:trPr>
          <w:cantSplit/>
        </w:trPr>
        <w:tc>
          <w:tcPr>
            <w:tcW w:type="dxa" w:w="3857"/>
          </w:tcPr>
          <w:p>
            <w:pPr>
              <w:spacing w:after="0" w:line="240" w:lineRule="auto"/>
            </w:pPr>
            <w:r>
              <w:rPr>
                <w:b w:val="0"/>
                <w:i w:val="0"/>
                <w:sz w:val="16"/>
              </w:rPr>
              <w:t xml:space="preserve">Operating profit </w:t>
            </w:r>
            <w:r>
              <w:rPr>
                <w:b/>
                <w:color w:val="2E548C"/>
                <w:sz w:val="13"/>
              </w:rPr>
              <w:t>[D]</w:t>
            </w:r>
          </w:p>
        </w:tc>
        <w:tc>
          <w:tcPr>
            <w:tcW w:type="dxa" w:w="1484"/>
          </w:tcPr>
          <w:p>
            <w:pPr>
              <w:spacing w:after="0" w:line="240" w:lineRule="auto"/>
              <w:jc w:val="right"/>
            </w:pPr>
            <w:r>
              <w:rPr>
                <w:b w:val="0"/>
                <w:i w:val="0"/>
                <w:sz w:val="16"/>
              </w:rPr>
              <w:t>84</w:t>
            </w:r>
          </w:p>
        </w:tc>
        <w:tc>
          <w:tcPr>
            <w:tcW w:type="dxa" w:w="1484"/>
          </w:tcPr>
          <w:p>
            <w:pPr>
              <w:spacing w:after="0" w:line="240" w:lineRule="auto"/>
              <w:jc w:val="right"/>
            </w:pPr>
            <w:r>
              <w:rPr>
                <w:b w:val="0"/>
                <w:i w:val="0"/>
                <w:sz w:val="16"/>
              </w:rPr>
              <w:t>96</w:t>
            </w:r>
          </w:p>
        </w:tc>
        <w:tc>
          <w:tcPr>
            <w:tcW w:type="dxa" w:w="1484"/>
          </w:tcPr>
          <w:p>
            <w:pPr>
              <w:spacing w:after="0" w:line="240" w:lineRule="auto"/>
              <w:jc w:val="right"/>
            </w:pPr>
            <w:r>
              <w:rPr>
                <w:b w:val="0"/>
                <w:i w:val="0"/>
                <w:sz w:val="16"/>
              </w:rPr>
              <w:t>81</w:t>
            </w:r>
          </w:p>
        </w:tc>
        <w:tc>
          <w:tcPr>
            <w:tcW w:type="dxa" w:w="1484"/>
          </w:tcPr>
          <w:p>
            <w:pPr>
              <w:spacing w:after="0" w:line="240" w:lineRule="auto"/>
              <w:jc w:val="right"/>
            </w:pPr>
            <w:r>
              <w:rPr>
                <w:b w:val="0"/>
                <w:i w:val="0"/>
                <w:sz w:val="16"/>
              </w:rPr>
              <w:t>82</w:t>
            </w:r>
          </w:p>
        </w:tc>
      </w:tr>
      <w:tr>
        <w:trPr>
          <w:cantSplit/>
        </w:trPr>
        <w:tc>
          <w:tcPr>
            <w:tcW w:type="dxa" w:w="3857"/>
            <w:shd w:val="clear" w:color="auto" w:fill="D9E1F2"/>
          </w:tcPr>
          <w:p>
            <w:pPr>
              <w:spacing w:after="0" w:line="240" w:lineRule="auto"/>
            </w:pPr>
            <w:r>
              <w:rPr>
                <w:b w:val="0"/>
                <w:i w:val="0"/>
                <w:sz w:val="16"/>
              </w:rPr>
              <w:t xml:space="preserve">Net income </w:t>
            </w:r>
            <w:r>
              <w:rPr>
                <w:b/>
                <w:color w:val="2E548C"/>
                <w:sz w:val="13"/>
              </w:rPr>
              <w:t>[D]</w:t>
            </w:r>
          </w:p>
        </w:tc>
        <w:tc>
          <w:tcPr>
            <w:tcW w:type="dxa" w:w="1484"/>
            <w:shd w:val="clear" w:color="auto" w:fill="D9E1F2"/>
          </w:tcPr>
          <w:p>
            <w:pPr>
              <w:spacing w:after="0" w:line="240" w:lineRule="auto"/>
              <w:jc w:val="right"/>
            </w:pPr>
            <w:r>
              <w:rPr>
                <w:b w:val="0"/>
                <w:i w:val="0"/>
                <w:sz w:val="16"/>
              </w:rPr>
              <w:t>58</w:t>
            </w:r>
          </w:p>
        </w:tc>
        <w:tc>
          <w:tcPr>
            <w:tcW w:type="dxa" w:w="1484"/>
            <w:shd w:val="clear" w:color="auto" w:fill="D9E1F2"/>
          </w:tcPr>
          <w:p>
            <w:pPr>
              <w:spacing w:after="0" w:line="240" w:lineRule="auto"/>
              <w:jc w:val="right"/>
            </w:pPr>
            <w:r>
              <w:rPr>
                <w:b w:val="0"/>
                <w:i w:val="0"/>
                <w:sz w:val="16"/>
              </w:rPr>
              <w:t>65</w:t>
            </w:r>
          </w:p>
        </w:tc>
        <w:tc>
          <w:tcPr>
            <w:tcW w:type="dxa" w:w="1484"/>
            <w:shd w:val="clear" w:color="auto" w:fill="D9E1F2"/>
          </w:tcPr>
          <w:p>
            <w:pPr>
              <w:spacing w:after="0" w:line="240" w:lineRule="auto"/>
              <w:jc w:val="right"/>
            </w:pPr>
            <w:r>
              <w:rPr>
                <w:b w:val="0"/>
                <w:i w:val="0"/>
                <w:sz w:val="16"/>
              </w:rPr>
              <w:t>55</w:t>
            </w:r>
          </w:p>
        </w:tc>
        <w:tc>
          <w:tcPr>
            <w:tcW w:type="dxa" w:w="1484"/>
            <w:shd w:val="clear" w:color="auto" w:fill="D9E1F2"/>
          </w:tcPr>
          <w:p>
            <w:pPr>
              <w:spacing w:after="0" w:line="240" w:lineRule="auto"/>
              <w:jc w:val="right"/>
            </w:pPr>
            <w:r>
              <w:rPr>
                <w:b w:val="0"/>
                <w:i w:val="0"/>
                <w:sz w:val="16"/>
              </w:rPr>
              <w:t>53</w:t>
            </w:r>
          </w:p>
        </w:tc>
      </w:tr>
      <w:tr>
        <w:trPr>
          <w:cantSplit/>
        </w:trPr>
        <w:tc>
          <w:tcPr>
            <w:tcW w:type="dxa" w:w="3857"/>
          </w:tcPr>
          <w:p>
            <w:pPr>
              <w:spacing w:after="0" w:line="240" w:lineRule="auto"/>
            </w:pPr>
            <w:r>
              <w:rPr>
                <w:b w:val="0"/>
                <w:i w:val="0"/>
                <w:sz w:val="16"/>
              </w:rPr>
              <w:t xml:space="preserve">Adj. EBITDA (10-Q basis) </w:t>
            </w:r>
            <w:r>
              <w:rPr>
                <w:b/>
                <w:color w:val="2E548C"/>
                <w:sz w:val="13"/>
              </w:rPr>
              <w:t>[D]</w:t>
            </w:r>
          </w:p>
        </w:tc>
        <w:tc>
          <w:tcPr>
            <w:tcW w:type="dxa" w:w="1484"/>
          </w:tcPr>
          <w:p>
            <w:pPr>
              <w:spacing w:after="0" w:line="240" w:lineRule="auto"/>
              <w:jc w:val="right"/>
            </w:pPr>
            <w:r>
              <w:rPr>
                <w:b w:val="0"/>
                <w:i w:val="0"/>
                <w:sz w:val="16"/>
              </w:rPr>
              <w:t>169</w:t>
            </w:r>
          </w:p>
        </w:tc>
        <w:tc>
          <w:tcPr>
            <w:tcW w:type="dxa" w:w="1484"/>
          </w:tcPr>
          <w:p>
            <w:pPr>
              <w:spacing w:after="0" w:line="240" w:lineRule="auto"/>
              <w:jc w:val="right"/>
            </w:pPr>
            <w:r>
              <w:rPr>
                <w:b w:val="0"/>
                <w:i w:val="0"/>
                <w:sz w:val="16"/>
              </w:rPr>
              <w:t>188</w:t>
            </w:r>
          </w:p>
        </w:tc>
        <w:tc>
          <w:tcPr>
            <w:tcW w:type="dxa" w:w="1484"/>
          </w:tcPr>
          <w:p>
            <w:pPr>
              <w:spacing w:after="0" w:line="240" w:lineRule="auto"/>
              <w:jc w:val="right"/>
            </w:pPr>
            <w:r>
              <w:rPr>
                <w:b w:val="0"/>
                <w:i w:val="0"/>
                <w:sz w:val="16"/>
              </w:rPr>
              <w:t>184</w:t>
            </w:r>
          </w:p>
        </w:tc>
        <w:tc>
          <w:tcPr>
            <w:tcW w:type="dxa" w:w="1484"/>
          </w:tcPr>
          <w:p>
            <w:pPr>
              <w:spacing w:after="0" w:line="240" w:lineRule="auto"/>
              <w:jc w:val="right"/>
            </w:pPr>
            <w:r>
              <w:rPr>
                <w:b w:val="0"/>
                <w:i w:val="0"/>
                <w:sz w:val="16"/>
              </w:rPr>
              <w:t>202</w:t>
            </w:r>
          </w:p>
        </w:tc>
      </w:tr>
      <w:tr>
        <w:trPr>
          <w:cantSplit/>
        </w:trPr>
        <w:tc>
          <w:tcPr>
            <w:tcW w:type="dxa" w:w="3857"/>
            <w:shd w:val="clear" w:color="auto" w:fill="D9E1F2"/>
          </w:tcPr>
          <w:p>
            <w:pPr>
              <w:spacing w:after="0" w:line="240" w:lineRule="auto"/>
            </w:pPr>
            <w:r>
              <w:rPr>
                <w:b w:val="0"/>
                <w:i w:val="0"/>
                <w:sz w:val="16"/>
              </w:rPr>
              <w:t xml:space="preserve">Adj. EBITDA margin </w:t>
            </w:r>
            <w:r>
              <w:rPr>
                <w:b/>
                <w:color w:val="2E548C"/>
                <w:sz w:val="13"/>
              </w:rPr>
              <w:t>[C]</w:t>
            </w:r>
          </w:p>
        </w:tc>
        <w:tc>
          <w:tcPr>
            <w:tcW w:type="dxa" w:w="1484"/>
            <w:shd w:val="clear" w:color="auto" w:fill="D9E1F2"/>
          </w:tcPr>
          <w:p>
            <w:pPr>
              <w:spacing w:after="0" w:line="240" w:lineRule="auto"/>
              <w:jc w:val="right"/>
            </w:pPr>
            <w:r>
              <w:rPr>
                <w:b w:val="0"/>
                <w:i w:val="0"/>
                <w:sz w:val="16"/>
              </w:rPr>
              <w:t>40.2%</w:t>
            </w:r>
          </w:p>
        </w:tc>
        <w:tc>
          <w:tcPr>
            <w:tcW w:type="dxa" w:w="1484"/>
            <w:shd w:val="clear" w:color="auto" w:fill="D9E1F2"/>
          </w:tcPr>
          <w:p>
            <w:pPr>
              <w:spacing w:after="0" w:line="240" w:lineRule="auto"/>
              <w:jc w:val="right"/>
            </w:pPr>
            <w:r>
              <w:rPr>
                <w:b w:val="0"/>
                <w:i w:val="0"/>
                <w:sz w:val="16"/>
              </w:rPr>
              <w:t>42.8%</w:t>
            </w:r>
          </w:p>
        </w:tc>
        <w:tc>
          <w:tcPr>
            <w:tcW w:type="dxa" w:w="1484"/>
            <w:shd w:val="clear" w:color="auto" w:fill="D9E1F2"/>
          </w:tcPr>
          <w:p>
            <w:pPr>
              <w:spacing w:after="0" w:line="240" w:lineRule="auto"/>
              <w:jc w:val="right"/>
            </w:pPr>
            <w:r>
              <w:rPr>
                <w:b w:val="0"/>
                <w:i w:val="0"/>
                <w:sz w:val="16"/>
              </w:rPr>
              <w:t>40.4%</w:t>
            </w:r>
          </w:p>
        </w:tc>
        <w:tc>
          <w:tcPr>
            <w:tcW w:type="dxa" w:w="1484"/>
            <w:shd w:val="clear" w:color="auto" w:fill="D9E1F2"/>
          </w:tcPr>
          <w:p>
            <w:pPr>
              <w:spacing w:after="0" w:line="240" w:lineRule="auto"/>
              <w:jc w:val="right"/>
            </w:pPr>
            <w:r>
              <w:rPr>
                <w:b w:val="0"/>
                <w:i w:val="0"/>
                <w:sz w:val="16"/>
              </w:rPr>
              <w:t>43.2%</w:t>
            </w:r>
          </w:p>
        </w:tc>
      </w:tr>
      <w:tr>
        <w:trPr>
          <w:cantSplit/>
        </w:trPr>
        <w:tc>
          <w:tcPr>
            <w:tcW w:type="dxa" w:w="3857"/>
          </w:tcPr>
          <w:p>
            <w:pPr>
              <w:spacing w:after="0" w:line="240" w:lineRule="auto"/>
            </w:pPr>
            <w:r>
              <w:rPr>
                <w:b w:val="0"/>
                <w:i w:val="0"/>
                <w:sz w:val="16"/>
              </w:rPr>
              <w:t xml:space="preserve">Transaction costs in period </w:t>
            </w:r>
            <w:r>
              <w:rPr>
                <w:b/>
                <w:color w:val="2E548C"/>
                <w:sz w:val="13"/>
              </w:rPr>
              <w:t>[D]</w:t>
            </w:r>
          </w:p>
        </w:tc>
        <w:tc>
          <w:tcPr>
            <w:tcW w:type="dxa" w:w="1484"/>
          </w:tcPr>
          <w:p>
            <w:pPr>
              <w:spacing w:after="0" w:line="240" w:lineRule="auto"/>
              <w:jc w:val="right"/>
            </w:pPr>
            <w:r>
              <w:rPr>
                <w:b w:val="0"/>
                <w:i w:val="0"/>
                <w:sz w:val="16"/>
              </w:rPr>
              <w:t>—</w:t>
            </w:r>
          </w:p>
        </w:tc>
        <w:tc>
          <w:tcPr>
            <w:tcW w:type="dxa" w:w="1484"/>
          </w:tcPr>
          <w:p>
            <w:pPr>
              <w:spacing w:after="0" w:line="240" w:lineRule="auto"/>
              <w:jc w:val="right"/>
            </w:pPr>
            <w:r>
              <w:rPr>
                <w:b w:val="0"/>
                <w:i w:val="0"/>
                <w:sz w:val="16"/>
              </w:rPr>
              <w:t>2</w:t>
            </w:r>
          </w:p>
        </w:tc>
        <w:tc>
          <w:tcPr>
            <w:tcW w:type="dxa" w:w="1484"/>
          </w:tcPr>
          <w:p>
            <w:pPr>
              <w:spacing w:after="0" w:line="240" w:lineRule="auto"/>
              <w:jc w:val="right"/>
            </w:pPr>
            <w:r>
              <w:rPr>
                <w:b w:val="0"/>
                <w:i w:val="0"/>
                <w:sz w:val="16"/>
              </w:rPr>
              <w:t>21</w:t>
            </w:r>
          </w:p>
        </w:tc>
        <w:tc>
          <w:tcPr>
            <w:tcW w:type="dxa" w:w="1484"/>
          </w:tcPr>
          <w:p>
            <w:pPr>
              <w:spacing w:after="0" w:line="240" w:lineRule="auto"/>
              <w:jc w:val="right"/>
            </w:pPr>
            <w:r>
              <w:rPr>
                <w:b w:val="0"/>
                <w:i w:val="0"/>
                <w:sz w:val="16"/>
              </w:rPr>
              <w:t>36</w:t>
            </w:r>
          </w:p>
        </w:tc>
      </w:tr>
    </w:tbl>
    <w:p>
      <w:pPr>
        <w:spacing w:after="120"/>
      </w:pPr>
      <w:r>
        <w:rPr>
          <w:b w:val="0"/>
          <w:i/>
          <w:color w:val="595959"/>
          <w:sz w:val="15"/>
        </w:rPr>
        <w:t>Source: primary.csv; K_session_tables.md (D3). Q1-25 Adj. EBITDA 169 on the 10-Q basis (170 in the Investor Day deck); Q2-25 recast 186 → 188 (D4 §5). Transaction costs: QUALITATIVE §9; Q2 call.</w:t>
      </w:r>
    </w:p>
    <w:p>
      <w:pPr>
        <w:pStyle w:val="Heading2"/>
      </w:pPr>
      <w:r>
        <w:t>8.2 Balance sheet</w:t>
      </w:r>
    </w:p>
    <w:p>
      <w:pPr>
        <w:keepNext/>
        <w:spacing w:before="80" w:after="40"/>
      </w:pPr>
      <w:r>
        <w:rPr>
          <w:b/>
          <w:i w:val="0"/>
          <w:color w:val="1F3864"/>
          <w:sz w:val="17"/>
        </w:rPr>
        <w:t>Exhibit 8.3 — Combined balance sheets ($m)</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4320"/>
        <w:gridCol w:w="1368"/>
        <w:gridCol w:w="1368"/>
        <w:gridCol w:w="1368"/>
        <w:gridCol w:w="1368"/>
      </w:tblGrid>
      <w:tr>
        <w:trPr>
          <w:cantSplit/>
          <w:tblHeader/>
        </w:trPr>
        <w:tc>
          <w:tcPr>
            <w:tcW w:type="dxa" w:w="4320"/>
            <w:shd w:val="clear" w:color="auto" w:fill="1F3864"/>
          </w:tcPr>
          <w:p>
            <w:pPr>
              <w:spacing w:after="0" w:line="240" w:lineRule="auto"/>
            </w:pPr>
            <w:r>
              <w:rPr>
                <w:b/>
                <w:i w:val="0"/>
                <w:color w:val="FFFFFF"/>
                <w:sz w:val="15"/>
              </w:rPr>
              <w:t>$m</w:t>
            </w:r>
          </w:p>
        </w:tc>
        <w:tc>
          <w:tcPr>
            <w:tcW w:type="dxa" w:w="1368"/>
            <w:shd w:val="clear" w:color="auto" w:fill="1F3864"/>
          </w:tcPr>
          <w:p>
            <w:pPr>
              <w:spacing w:after="0" w:line="240" w:lineRule="auto"/>
              <w:jc w:val="right"/>
            </w:pPr>
            <w:r>
              <w:rPr>
                <w:b/>
                <w:i w:val="0"/>
                <w:color w:val="FFFFFF"/>
                <w:sz w:val="15"/>
              </w:rPr>
              <w:t>12/31/2024</w:t>
            </w:r>
          </w:p>
        </w:tc>
        <w:tc>
          <w:tcPr>
            <w:tcW w:type="dxa" w:w="1368"/>
            <w:shd w:val="clear" w:color="auto" w:fill="1F3864"/>
          </w:tcPr>
          <w:p>
            <w:pPr>
              <w:spacing w:after="0" w:line="240" w:lineRule="auto"/>
              <w:jc w:val="right"/>
            </w:pPr>
            <w:r>
              <w:rPr>
                <w:b/>
                <w:i w:val="0"/>
                <w:color w:val="FFFFFF"/>
                <w:sz w:val="15"/>
              </w:rPr>
              <w:t>12/31/2025</w:t>
            </w:r>
          </w:p>
        </w:tc>
        <w:tc>
          <w:tcPr>
            <w:tcW w:type="dxa" w:w="1368"/>
            <w:shd w:val="clear" w:color="auto" w:fill="1F3864"/>
          </w:tcPr>
          <w:p>
            <w:pPr>
              <w:spacing w:after="0" w:line="240" w:lineRule="auto"/>
              <w:jc w:val="right"/>
            </w:pPr>
            <w:r>
              <w:rPr>
                <w:b/>
                <w:i w:val="0"/>
                <w:color w:val="FFFFFF"/>
                <w:sz w:val="15"/>
              </w:rPr>
              <w:t>3/31/2026</w:t>
            </w:r>
          </w:p>
        </w:tc>
        <w:tc>
          <w:tcPr>
            <w:tcW w:type="dxa" w:w="1368"/>
            <w:shd w:val="clear" w:color="auto" w:fill="1F3864"/>
          </w:tcPr>
          <w:p>
            <w:pPr>
              <w:spacing w:after="0" w:line="240" w:lineRule="auto"/>
              <w:jc w:val="right"/>
            </w:pPr>
            <w:r>
              <w:rPr>
                <w:b/>
                <w:i w:val="0"/>
                <w:color w:val="FFFFFF"/>
                <w:sz w:val="15"/>
              </w:rPr>
              <w:t>6/30/2026</w:t>
            </w:r>
          </w:p>
        </w:tc>
      </w:tr>
      <w:tr>
        <w:trPr>
          <w:cantSplit/>
        </w:trPr>
        <w:tc>
          <w:tcPr>
            <w:tcW w:type="dxa" w:w="4320"/>
          </w:tcPr>
          <w:p>
            <w:pPr>
              <w:spacing w:after="0" w:line="240" w:lineRule="auto"/>
            </w:pPr>
            <w:r>
              <w:rPr>
                <w:b w:val="0"/>
                <w:i w:val="0"/>
                <w:sz w:val="15"/>
              </w:rPr>
              <w:t xml:space="preserve">Cash and cash equivalents </w:t>
            </w:r>
            <w:r>
              <w:rPr>
                <w:b/>
                <w:color w:val="2E548C"/>
                <w:sz w:val="12"/>
              </w:rPr>
              <w:t>[D]</w:t>
            </w:r>
          </w:p>
        </w:tc>
        <w:tc>
          <w:tcPr>
            <w:tcW w:type="dxa" w:w="1368"/>
          </w:tcPr>
          <w:p>
            <w:pPr>
              <w:spacing w:after="0" w:line="240" w:lineRule="auto"/>
              <w:jc w:val="right"/>
            </w:pPr>
            <w:r>
              <w:rPr>
                <w:b w:val="0"/>
                <w:i w:val="0"/>
                <w:sz w:val="15"/>
              </w:rPr>
              <w:t>27</w:t>
            </w:r>
          </w:p>
        </w:tc>
        <w:tc>
          <w:tcPr>
            <w:tcW w:type="dxa" w:w="1368"/>
          </w:tcPr>
          <w:p>
            <w:pPr>
              <w:spacing w:after="0" w:line="240" w:lineRule="auto"/>
              <w:jc w:val="right"/>
            </w:pPr>
            <w:r>
              <w:rPr>
                <w:b w:val="0"/>
                <w:i w:val="0"/>
                <w:sz w:val="15"/>
              </w:rPr>
              <w:t>38</w:t>
            </w:r>
          </w:p>
        </w:tc>
        <w:tc>
          <w:tcPr>
            <w:tcW w:type="dxa" w:w="1368"/>
          </w:tcPr>
          <w:p>
            <w:pPr>
              <w:spacing w:after="0" w:line="240" w:lineRule="auto"/>
              <w:jc w:val="right"/>
            </w:pPr>
            <w:r>
              <w:rPr>
                <w:b w:val="0"/>
                <w:i w:val="0"/>
                <w:sz w:val="15"/>
              </w:rPr>
              <w:t>122</w:t>
            </w:r>
          </w:p>
        </w:tc>
        <w:tc>
          <w:tcPr>
            <w:tcW w:type="dxa" w:w="1368"/>
          </w:tcPr>
          <w:p>
            <w:pPr>
              <w:spacing w:after="0" w:line="240" w:lineRule="auto"/>
              <w:jc w:val="right"/>
            </w:pPr>
            <w:r>
              <w:rPr>
                <w:b w:val="0"/>
                <w:i w:val="0"/>
                <w:sz w:val="15"/>
              </w:rPr>
              <w:t>186</w:t>
            </w:r>
          </w:p>
        </w:tc>
      </w:tr>
      <w:tr>
        <w:trPr>
          <w:cantSplit/>
        </w:trPr>
        <w:tc>
          <w:tcPr>
            <w:tcW w:type="dxa" w:w="4320"/>
            <w:shd w:val="clear" w:color="auto" w:fill="D9E1F2"/>
          </w:tcPr>
          <w:p>
            <w:pPr>
              <w:spacing w:after="0" w:line="240" w:lineRule="auto"/>
            </w:pPr>
            <w:r>
              <w:rPr>
                <w:b w:val="0"/>
                <w:i w:val="0"/>
                <w:sz w:val="15"/>
              </w:rPr>
              <w:t xml:space="preserve">Accounts receivable, net </w:t>
            </w:r>
            <w:r>
              <w:rPr>
                <w:b/>
                <w:color w:val="2E548C"/>
                <w:sz w:val="12"/>
              </w:rPr>
              <w:t>[D]</w:t>
            </w:r>
          </w:p>
        </w:tc>
        <w:tc>
          <w:tcPr>
            <w:tcW w:type="dxa" w:w="1368"/>
            <w:shd w:val="clear" w:color="auto" w:fill="D9E1F2"/>
          </w:tcPr>
          <w:p>
            <w:pPr>
              <w:spacing w:after="0" w:line="240" w:lineRule="auto"/>
              <w:jc w:val="right"/>
            </w:pPr>
            <w:r>
              <w:rPr>
                <w:b w:val="0"/>
                <w:i w:val="0"/>
                <w:sz w:val="15"/>
              </w:rPr>
              <w:t>195</w:t>
            </w:r>
          </w:p>
        </w:tc>
        <w:tc>
          <w:tcPr>
            <w:tcW w:type="dxa" w:w="1368"/>
            <w:shd w:val="clear" w:color="auto" w:fill="D9E1F2"/>
          </w:tcPr>
          <w:p>
            <w:pPr>
              <w:spacing w:after="0" w:line="240" w:lineRule="auto"/>
              <w:jc w:val="right"/>
            </w:pPr>
            <w:r>
              <w:rPr>
                <w:b w:val="0"/>
                <w:i w:val="0"/>
                <w:sz w:val="15"/>
              </w:rPr>
              <w:t>203</w:t>
            </w:r>
          </w:p>
        </w:tc>
        <w:tc>
          <w:tcPr>
            <w:tcW w:type="dxa" w:w="1368"/>
            <w:shd w:val="clear" w:color="auto" w:fill="D9E1F2"/>
          </w:tcPr>
          <w:p>
            <w:pPr>
              <w:spacing w:after="0" w:line="240" w:lineRule="auto"/>
              <w:jc w:val="right"/>
            </w:pPr>
            <w:r>
              <w:rPr>
                <w:b w:val="0"/>
                <w:i w:val="0"/>
                <w:sz w:val="15"/>
              </w:rPr>
              <w:t>216</w:t>
            </w:r>
          </w:p>
        </w:tc>
        <w:tc>
          <w:tcPr>
            <w:tcW w:type="dxa" w:w="1368"/>
            <w:shd w:val="clear" w:color="auto" w:fill="D9E1F2"/>
          </w:tcPr>
          <w:p>
            <w:pPr>
              <w:spacing w:after="0" w:line="240" w:lineRule="auto"/>
              <w:jc w:val="right"/>
            </w:pPr>
            <w:r>
              <w:rPr>
                <w:b w:val="0"/>
                <w:i w:val="0"/>
                <w:sz w:val="15"/>
              </w:rPr>
              <w:t>216</w:t>
            </w:r>
          </w:p>
        </w:tc>
      </w:tr>
      <w:tr>
        <w:trPr>
          <w:cantSplit/>
        </w:trPr>
        <w:tc>
          <w:tcPr>
            <w:tcW w:type="dxa" w:w="4320"/>
          </w:tcPr>
          <w:p>
            <w:pPr>
              <w:spacing w:after="0" w:line="240" w:lineRule="auto"/>
            </w:pPr>
            <w:r>
              <w:rPr>
                <w:b w:val="0"/>
                <w:i w:val="0"/>
                <w:sz w:val="15"/>
              </w:rPr>
              <w:t xml:space="preserve">Prepaid and other current assets </w:t>
            </w:r>
            <w:r>
              <w:rPr>
                <w:b/>
                <w:color w:val="2E548C"/>
                <w:sz w:val="12"/>
              </w:rPr>
              <w:t>[D]</w:t>
            </w:r>
          </w:p>
        </w:tc>
        <w:tc>
          <w:tcPr>
            <w:tcW w:type="dxa" w:w="1368"/>
          </w:tcPr>
          <w:p>
            <w:pPr>
              <w:spacing w:after="0" w:line="240" w:lineRule="auto"/>
              <w:jc w:val="right"/>
            </w:pPr>
            <w:r>
              <w:rPr>
                <w:b w:val="0"/>
                <w:i w:val="0"/>
                <w:sz w:val="15"/>
              </w:rPr>
              <w:t>24</w:t>
            </w:r>
          </w:p>
        </w:tc>
        <w:tc>
          <w:tcPr>
            <w:tcW w:type="dxa" w:w="1368"/>
          </w:tcPr>
          <w:p>
            <w:pPr>
              <w:spacing w:after="0" w:line="240" w:lineRule="auto"/>
              <w:jc w:val="right"/>
            </w:pPr>
            <w:r>
              <w:rPr>
                <w:b w:val="0"/>
                <w:i w:val="0"/>
                <w:sz w:val="15"/>
              </w:rPr>
              <w:t>32</w:t>
            </w:r>
          </w:p>
        </w:tc>
        <w:tc>
          <w:tcPr>
            <w:tcW w:type="dxa" w:w="1368"/>
          </w:tcPr>
          <w:p>
            <w:pPr>
              <w:spacing w:after="0" w:line="240" w:lineRule="auto"/>
              <w:jc w:val="right"/>
            </w:pPr>
            <w:r>
              <w:rPr>
                <w:b w:val="0"/>
                <w:i w:val="0"/>
                <w:sz w:val="15"/>
              </w:rPr>
              <w:t>39</w:t>
            </w:r>
          </w:p>
        </w:tc>
        <w:tc>
          <w:tcPr>
            <w:tcW w:type="dxa" w:w="1368"/>
          </w:tcPr>
          <w:p>
            <w:pPr>
              <w:spacing w:after="0" w:line="240" w:lineRule="auto"/>
              <w:jc w:val="right"/>
            </w:pPr>
            <w:r>
              <w:rPr>
                <w:b w:val="0"/>
                <w:i w:val="0"/>
                <w:sz w:val="15"/>
              </w:rPr>
              <w:t>47</w:t>
            </w:r>
          </w:p>
        </w:tc>
      </w:tr>
      <w:tr>
        <w:trPr>
          <w:cantSplit/>
        </w:trPr>
        <w:tc>
          <w:tcPr>
            <w:tcW w:type="dxa" w:w="4320"/>
            <w:shd w:val="clear" w:color="auto" w:fill="D9E1F2"/>
          </w:tcPr>
          <w:p>
            <w:pPr>
              <w:spacing w:after="0" w:line="240" w:lineRule="auto"/>
            </w:pPr>
            <w:r>
              <w:rPr>
                <w:b w:val="0"/>
                <w:i w:val="0"/>
                <w:sz w:val="15"/>
              </w:rPr>
              <w:t xml:space="preserve">Due from S&amp;P Global (current) </w:t>
            </w:r>
            <w:r>
              <w:rPr>
                <w:b/>
                <w:color w:val="2E548C"/>
                <w:sz w:val="12"/>
              </w:rPr>
              <w:t>[D]</w:t>
            </w:r>
          </w:p>
        </w:tc>
        <w:tc>
          <w:tcPr>
            <w:tcW w:type="dxa" w:w="1368"/>
            <w:shd w:val="clear" w:color="auto" w:fill="D9E1F2"/>
          </w:tcPr>
          <w:p>
            <w:pPr>
              <w:spacing w:after="0" w:line="240" w:lineRule="auto"/>
              <w:jc w:val="right"/>
            </w:pPr>
            <w:r>
              <w:rPr>
                <w:b w:val="0"/>
                <w:i w:val="0"/>
                <w:sz w:val="15"/>
              </w:rPr>
              <w:t>4</w:t>
            </w:r>
          </w:p>
        </w:tc>
        <w:tc>
          <w:tcPr>
            <w:tcW w:type="dxa" w:w="1368"/>
            <w:shd w:val="clear" w:color="auto" w:fill="D9E1F2"/>
          </w:tcPr>
          <w:p>
            <w:pPr>
              <w:spacing w:after="0" w:line="240" w:lineRule="auto"/>
              <w:jc w:val="right"/>
            </w:pPr>
            <w:r>
              <w:rPr>
                <w:b w:val="0"/>
                <w:i w:val="0"/>
                <w:sz w:val="15"/>
              </w:rPr>
              <w:t>8</w:t>
            </w:r>
          </w:p>
        </w:tc>
        <w:tc>
          <w:tcPr>
            <w:tcW w:type="dxa" w:w="1368"/>
            <w:shd w:val="clear" w:color="auto" w:fill="D9E1F2"/>
          </w:tcPr>
          <w:p>
            <w:pPr>
              <w:spacing w:after="0" w:line="240" w:lineRule="auto"/>
              <w:jc w:val="right"/>
            </w:pPr>
            <w:r>
              <w:rPr>
                <w:b w:val="0"/>
                <w:i w:val="0"/>
                <w:sz w:val="15"/>
              </w:rPr>
              <w:t>15</w:t>
            </w:r>
          </w:p>
        </w:tc>
        <w:tc>
          <w:tcPr>
            <w:tcW w:type="dxa" w:w="1368"/>
            <w:shd w:val="clear" w:color="auto" w:fill="D9E1F2"/>
          </w:tcPr>
          <w:p>
            <w:pPr>
              <w:spacing w:after="0" w:line="240" w:lineRule="auto"/>
              <w:jc w:val="right"/>
            </w:pPr>
            <w:r>
              <w:rPr>
                <w:b w:val="0"/>
                <w:i w:val="0"/>
                <w:sz w:val="15"/>
              </w:rPr>
              <w:t>17</w:t>
            </w:r>
          </w:p>
        </w:tc>
      </w:tr>
      <w:tr>
        <w:trPr>
          <w:cantSplit/>
        </w:trPr>
        <w:tc>
          <w:tcPr>
            <w:tcW w:type="dxa" w:w="4320"/>
          </w:tcPr>
          <w:p>
            <w:pPr>
              <w:spacing w:after="0" w:line="240" w:lineRule="auto"/>
            </w:pPr>
            <w:r>
              <w:rPr>
                <w:b w:val="0"/>
                <w:i w:val="0"/>
                <w:sz w:val="15"/>
              </w:rPr>
              <w:t xml:space="preserve">Total current assets </w:t>
            </w:r>
            <w:r>
              <w:rPr>
                <w:b/>
                <w:color w:val="2E548C"/>
                <w:sz w:val="12"/>
              </w:rPr>
              <w:t>[D]</w:t>
            </w:r>
          </w:p>
        </w:tc>
        <w:tc>
          <w:tcPr>
            <w:tcW w:type="dxa" w:w="1368"/>
          </w:tcPr>
          <w:p>
            <w:pPr>
              <w:spacing w:after="0" w:line="240" w:lineRule="auto"/>
              <w:jc w:val="right"/>
            </w:pPr>
            <w:r>
              <w:rPr>
                <w:b w:val="0"/>
                <w:i w:val="0"/>
                <w:sz w:val="15"/>
              </w:rPr>
              <w:t>250</w:t>
            </w:r>
          </w:p>
        </w:tc>
        <w:tc>
          <w:tcPr>
            <w:tcW w:type="dxa" w:w="1368"/>
          </w:tcPr>
          <w:p>
            <w:pPr>
              <w:spacing w:after="0" w:line="240" w:lineRule="auto"/>
              <w:jc w:val="right"/>
            </w:pPr>
            <w:r>
              <w:rPr>
                <w:b w:val="0"/>
                <w:i w:val="0"/>
                <w:sz w:val="15"/>
              </w:rPr>
              <w:t>281</w:t>
            </w:r>
          </w:p>
        </w:tc>
        <w:tc>
          <w:tcPr>
            <w:tcW w:type="dxa" w:w="1368"/>
          </w:tcPr>
          <w:p>
            <w:pPr>
              <w:spacing w:after="0" w:line="240" w:lineRule="auto"/>
              <w:jc w:val="right"/>
            </w:pPr>
            <w:r>
              <w:rPr>
                <w:b w:val="0"/>
                <w:i w:val="0"/>
                <w:sz w:val="15"/>
              </w:rPr>
              <w:t>392</w:t>
            </w:r>
          </w:p>
        </w:tc>
        <w:tc>
          <w:tcPr>
            <w:tcW w:type="dxa" w:w="1368"/>
          </w:tcPr>
          <w:p>
            <w:pPr>
              <w:spacing w:after="0" w:line="240" w:lineRule="auto"/>
              <w:jc w:val="right"/>
            </w:pPr>
            <w:r>
              <w:rPr>
                <w:b w:val="0"/>
                <w:i w:val="0"/>
                <w:sz w:val="15"/>
              </w:rPr>
              <w:t>466</w:t>
            </w:r>
          </w:p>
        </w:tc>
      </w:tr>
      <w:tr>
        <w:trPr>
          <w:cantSplit/>
        </w:trPr>
        <w:tc>
          <w:tcPr>
            <w:tcW w:type="dxa" w:w="4320"/>
            <w:shd w:val="clear" w:color="auto" w:fill="D9E1F2"/>
          </w:tcPr>
          <w:p>
            <w:pPr>
              <w:spacing w:after="0" w:line="240" w:lineRule="auto"/>
            </w:pPr>
            <w:r>
              <w:rPr>
                <w:b w:val="0"/>
                <w:i w:val="0"/>
                <w:sz w:val="15"/>
              </w:rPr>
              <w:t xml:space="preserve">PP&amp;E, net </w:t>
            </w:r>
            <w:r>
              <w:rPr>
                <w:b/>
                <w:color w:val="2E548C"/>
                <w:sz w:val="12"/>
              </w:rPr>
              <w:t>[D]</w:t>
            </w:r>
          </w:p>
        </w:tc>
        <w:tc>
          <w:tcPr>
            <w:tcW w:type="dxa" w:w="1368"/>
            <w:shd w:val="clear" w:color="auto" w:fill="D9E1F2"/>
          </w:tcPr>
          <w:p>
            <w:pPr>
              <w:spacing w:after="0" w:line="240" w:lineRule="auto"/>
              <w:jc w:val="right"/>
            </w:pPr>
            <w:r>
              <w:rPr>
                <w:b w:val="0"/>
                <w:i w:val="0"/>
                <w:sz w:val="15"/>
              </w:rPr>
              <w:t>20</w:t>
            </w:r>
          </w:p>
        </w:tc>
        <w:tc>
          <w:tcPr>
            <w:tcW w:type="dxa" w:w="1368"/>
            <w:shd w:val="clear" w:color="auto" w:fill="D9E1F2"/>
          </w:tcPr>
          <w:p>
            <w:pPr>
              <w:spacing w:after="0" w:line="240" w:lineRule="auto"/>
              <w:jc w:val="right"/>
            </w:pPr>
            <w:r>
              <w:rPr>
                <w:b w:val="0"/>
                <w:i w:val="0"/>
                <w:sz w:val="15"/>
              </w:rPr>
              <w:t>19</w:t>
            </w:r>
          </w:p>
        </w:tc>
        <w:tc>
          <w:tcPr>
            <w:tcW w:type="dxa" w:w="1368"/>
            <w:shd w:val="clear" w:color="auto" w:fill="D9E1F2"/>
          </w:tcPr>
          <w:p>
            <w:pPr>
              <w:spacing w:after="0" w:line="240" w:lineRule="auto"/>
              <w:jc w:val="right"/>
            </w:pPr>
            <w:r>
              <w:rPr>
                <w:b w:val="0"/>
                <w:i w:val="0"/>
                <w:sz w:val="15"/>
              </w:rPr>
              <w:t>19</w:t>
            </w:r>
          </w:p>
        </w:tc>
        <w:tc>
          <w:tcPr>
            <w:tcW w:type="dxa" w:w="1368"/>
            <w:shd w:val="clear" w:color="auto" w:fill="D9E1F2"/>
          </w:tcPr>
          <w:p>
            <w:pPr>
              <w:spacing w:after="0" w:line="240" w:lineRule="auto"/>
              <w:jc w:val="right"/>
            </w:pPr>
            <w:r>
              <w:rPr>
                <w:b w:val="0"/>
                <w:i w:val="0"/>
                <w:sz w:val="15"/>
              </w:rPr>
              <w:t>18</w:t>
            </w:r>
          </w:p>
        </w:tc>
      </w:tr>
      <w:tr>
        <w:trPr>
          <w:cantSplit/>
        </w:trPr>
        <w:tc>
          <w:tcPr>
            <w:tcW w:type="dxa" w:w="4320"/>
          </w:tcPr>
          <w:p>
            <w:pPr>
              <w:spacing w:after="0" w:line="240" w:lineRule="auto"/>
            </w:pPr>
            <w:r>
              <w:rPr>
                <w:b w:val="0"/>
                <w:i w:val="0"/>
                <w:sz w:val="15"/>
              </w:rPr>
              <w:t xml:space="preserve">Right-of-use assets </w:t>
            </w:r>
            <w:r>
              <w:rPr>
                <w:b/>
                <w:color w:val="2E548C"/>
                <w:sz w:val="12"/>
              </w:rPr>
              <w:t>[D]</w:t>
            </w:r>
          </w:p>
        </w:tc>
        <w:tc>
          <w:tcPr>
            <w:tcW w:type="dxa" w:w="1368"/>
          </w:tcPr>
          <w:p>
            <w:pPr>
              <w:spacing w:after="0" w:line="240" w:lineRule="auto"/>
              <w:jc w:val="right"/>
            </w:pPr>
            <w:r>
              <w:rPr>
                <w:b w:val="0"/>
                <w:i w:val="0"/>
                <w:sz w:val="15"/>
              </w:rPr>
              <w:t>20</w:t>
            </w:r>
          </w:p>
        </w:tc>
        <w:tc>
          <w:tcPr>
            <w:tcW w:type="dxa" w:w="1368"/>
          </w:tcPr>
          <w:p>
            <w:pPr>
              <w:spacing w:after="0" w:line="240" w:lineRule="auto"/>
              <w:jc w:val="right"/>
            </w:pPr>
            <w:r>
              <w:rPr>
                <w:b w:val="0"/>
                <w:i w:val="0"/>
                <w:sz w:val="15"/>
              </w:rPr>
              <w:t>16</w:t>
            </w:r>
          </w:p>
        </w:tc>
        <w:tc>
          <w:tcPr>
            <w:tcW w:type="dxa" w:w="1368"/>
          </w:tcPr>
          <w:p>
            <w:pPr>
              <w:spacing w:after="0" w:line="240" w:lineRule="auto"/>
              <w:jc w:val="right"/>
            </w:pPr>
            <w:r>
              <w:rPr>
                <w:b w:val="0"/>
                <w:i w:val="0"/>
                <w:sz w:val="15"/>
              </w:rPr>
              <w:t>23</w:t>
            </w:r>
          </w:p>
        </w:tc>
        <w:tc>
          <w:tcPr>
            <w:tcW w:type="dxa" w:w="1368"/>
          </w:tcPr>
          <w:p>
            <w:pPr>
              <w:spacing w:after="0" w:line="240" w:lineRule="auto"/>
              <w:jc w:val="right"/>
            </w:pPr>
            <w:r>
              <w:rPr>
                <w:b w:val="0"/>
                <w:i w:val="0"/>
                <w:sz w:val="15"/>
              </w:rPr>
              <w:t>33</w:t>
            </w:r>
          </w:p>
        </w:tc>
      </w:tr>
      <w:tr>
        <w:trPr>
          <w:cantSplit/>
        </w:trPr>
        <w:tc>
          <w:tcPr>
            <w:tcW w:type="dxa" w:w="4320"/>
            <w:shd w:val="clear" w:color="auto" w:fill="D9E1F2"/>
          </w:tcPr>
          <w:p>
            <w:pPr>
              <w:spacing w:after="0" w:line="240" w:lineRule="auto"/>
            </w:pPr>
            <w:r>
              <w:rPr>
                <w:b w:val="0"/>
                <w:i w:val="0"/>
                <w:sz w:val="15"/>
              </w:rPr>
              <w:t xml:space="preserve">Goodwill </w:t>
            </w:r>
            <w:r>
              <w:rPr>
                <w:b/>
                <w:color w:val="2E548C"/>
                <w:sz w:val="12"/>
              </w:rPr>
              <w:t>[D]</w:t>
            </w:r>
          </w:p>
        </w:tc>
        <w:tc>
          <w:tcPr>
            <w:tcW w:type="dxa" w:w="1368"/>
            <w:shd w:val="clear" w:color="auto" w:fill="D9E1F2"/>
          </w:tcPr>
          <w:p>
            <w:pPr>
              <w:spacing w:after="0" w:line="240" w:lineRule="auto"/>
              <w:jc w:val="right"/>
            </w:pPr>
            <w:r>
              <w:rPr>
                <w:b w:val="0"/>
                <w:i w:val="0"/>
                <w:sz w:val="15"/>
              </w:rPr>
              <w:t>8,845</w:t>
            </w:r>
          </w:p>
        </w:tc>
        <w:tc>
          <w:tcPr>
            <w:tcW w:type="dxa" w:w="1368"/>
            <w:shd w:val="clear" w:color="auto" w:fill="D9E1F2"/>
          </w:tcPr>
          <w:p>
            <w:pPr>
              <w:spacing w:after="0" w:line="240" w:lineRule="auto"/>
              <w:jc w:val="right"/>
            </w:pPr>
            <w:r>
              <w:rPr>
                <w:b w:val="0"/>
                <w:i w:val="0"/>
                <w:sz w:val="15"/>
              </w:rPr>
              <w:t>8,845</w:t>
            </w:r>
          </w:p>
        </w:tc>
        <w:tc>
          <w:tcPr>
            <w:tcW w:type="dxa" w:w="1368"/>
            <w:shd w:val="clear" w:color="auto" w:fill="D9E1F2"/>
          </w:tcPr>
          <w:p>
            <w:pPr>
              <w:spacing w:after="0" w:line="240" w:lineRule="auto"/>
              <w:jc w:val="right"/>
            </w:pPr>
            <w:r>
              <w:rPr>
                <w:b w:val="0"/>
                <w:i w:val="0"/>
                <w:sz w:val="15"/>
              </w:rPr>
              <w:t>8,845</w:t>
            </w:r>
          </w:p>
        </w:tc>
        <w:tc>
          <w:tcPr>
            <w:tcW w:type="dxa" w:w="1368"/>
            <w:shd w:val="clear" w:color="auto" w:fill="D9E1F2"/>
          </w:tcPr>
          <w:p>
            <w:pPr>
              <w:spacing w:after="0" w:line="240" w:lineRule="auto"/>
              <w:jc w:val="right"/>
            </w:pPr>
            <w:r>
              <w:rPr>
                <w:b w:val="0"/>
                <w:i w:val="0"/>
                <w:sz w:val="15"/>
              </w:rPr>
              <w:t>8,845</w:t>
            </w:r>
          </w:p>
        </w:tc>
      </w:tr>
      <w:tr>
        <w:trPr>
          <w:cantSplit/>
        </w:trPr>
        <w:tc>
          <w:tcPr>
            <w:tcW w:type="dxa" w:w="4320"/>
          </w:tcPr>
          <w:p>
            <w:pPr>
              <w:spacing w:after="0" w:line="240" w:lineRule="auto"/>
            </w:pPr>
            <w:r>
              <w:rPr>
                <w:b w:val="0"/>
                <w:i w:val="0"/>
                <w:sz w:val="15"/>
              </w:rPr>
              <w:t xml:space="preserve">Other intangible assets, net </w:t>
            </w:r>
            <w:r>
              <w:rPr>
                <w:b/>
                <w:color w:val="2E548C"/>
                <w:sz w:val="12"/>
              </w:rPr>
              <w:t>[D]</w:t>
            </w:r>
          </w:p>
        </w:tc>
        <w:tc>
          <w:tcPr>
            <w:tcW w:type="dxa" w:w="1368"/>
          </w:tcPr>
          <w:p>
            <w:pPr>
              <w:spacing w:after="0" w:line="240" w:lineRule="auto"/>
              <w:jc w:val="right"/>
            </w:pPr>
            <w:r>
              <w:rPr>
                <w:b w:val="0"/>
                <w:i w:val="0"/>
                <w:sz w:val="15"/>
              </w:rPr>
              <w:t>4,085</w:t>
            </w:r>
          </w:p>
        </w:tc>
        <w:tc>
          <w:tcPr>
            <w:tcW w:type="dxa" w:w="1368"/>
          </w:tcPr>
          <w:p>
            <w:pPr>
              <w:spacing w:after="0" w:line="240" w:lineRule="auto"/>
              <w:jc w:val="right"/>
            </w:pPr>
            <w:r>
              <w:rPr>
                <w:b w:val="0"/>
                <w:i w:val="0"/>
                <w:sz w:val="15"/>
              </w:rPr>
              <w:t>3,789</w:t>
            </w:r>
          </w:p>
        </w:tc>
        <w:tc>
          <w:tcPr>
            <w:tcW w:type="dxa" w:w="1368"/>
          </w:tcPr>
          <w:p>
            <w:pPr>
              <w:spacing w:after="0" w:line="240" w:lineRule="auto"/>
              <w:jc w:val="right"/>
            </w:pPr>
            <w:r>
              <w:rPr>
                <w:b w:val="0"/>
                <w:i w:val="0"/>
                <w:sz w:val="15"/>
              </w:rPr>
              <w:t>3,714</w:t>
            </w:r>
          </w:p>
        </w:tc>
        <w:tc>
          <w:tcPr>
            <w:tcW w:type="dxa" w:w="1368"/>
          </w:tcPr>
          <w:p>
            <w:pPr>
              <w:spacing w:after="0" w:line="240" w:lineRule="auto"/>
              <w:jc w:val="right"/>
            </w:pPr>
            <w:r>
              <w:rPr>
                <w:b w:val="0"/>
                <w:i w:val="0"/>
                <w:sz w:val="15"/>
              </w:rPr>
              <w:t>3,640</w:t>
            </w:r>
          </w:p>
        </w:tc>
      </w:tr>
      <w:tr>
        <w:trPr>
          <w:cantSplit/>
        </w:trPr>
        <w:tc>
          <w:tcPr>
            <w:tcW w:type="dxa" w:w="4320"/>
            <w:shd w:val="clear" w:color="auto" w:fill="D9E1F2"/>
          </w:tcPr>
          <w:p>
            <w:pPr>
              <w:spacing w:after="0" w:line="240" w:lineRule="auto"/>
            </w:pPr>
            <w:r>
              <w:rPr>
                <w:b w:val="0"/>
                <w:i w:val="0"/>
                <w:sz w:val="15"/>
              </w:rPr>
              <w:t xml:space="preserve">Other non-current assets </w:t>
            </w:r>
            <w:r>
              <w:rPr>
                <w:b/>
                <w:color w:val="2E548C"/>
                <w:sz w:val="12"/>
              </w:rPr>
              <w:t>[D]</w:t>
            </w:r>
          </w:p>
        </w:tc>
        <w:tc>
          <w:tcPr>
            <w:tcW w:type="dxa" w:w="1368"/>
            <w:shd w:val="clear" w:color="auto" w:fill="D9E1F2"/>
          </w:tcPr>
          <w:p>
            <w:pPr>
              <w:spacing w:after="0" w:line="240" w:lineRule="auto"/>
              <w:jc w:val="right"/>
            </w:pPr>
            <w:r>
              <w:rPr>
                <w:b w:val="0"/>
                <w:i w:val="0"/>
                <w:sz w:val="15"/>
              </w:rPr>
              <w:t>31</w:t>
            </w:r>
          </w:p>
        </w:tc>
        <w:tc>
          <w:tcPr>
            <w:tcW w:type="dxa" w:w="1368"/>
            <w:shd w:val="clear" w:color="auto" w:fill="D9E1F2"/>
          </w:tcPr>
          <w:p>
            <w:pPr>
              <w:spacing w:after="0" w:line="240" w:lineRule="auto"/>
              <w:jc w:val="right"/>
            </w:pPr>
            <w:r>
              <w:rPr>
                <w:b w:val="0"/>
                <w:i w:val="0"/>
                <w:sz w:val="15"/>
              </w:rPr>
              <w:t>45</w:t>
            </w:r>
          </w:p>
        </w:tc>
        <w:tc>
          <w:tcPr>
            <w:tcW w:type="dxa" w:w="1368"/>
            <w:shd w:val="clear" w:color="auto" w:fill="D9E1F2"/>
          </w:tcPr>
          <w:p>
            <w:pPr>
              <w:spacing w:after="0" w:line="240" w:lineRule="auto"/>
              <w:jc w:val="right"/>
            </w:pPr>
            <w:r>
              <w:rPr>
                <w:b w:val="0"/>
                <w:i w:val="0"/>
                <w:sz w:val="15"/>
              </w:rPr>
              <w:t>49</w:t>
            </w:r>
          </w:p>
        </w:tc>
        <w:tc>
          <w:tcPr>
            <w:tcW w:type="dxa" w:w="1368"/>
            <w:shd w:val="clear" w:color="auto" w:fill="D9E1F2"/>
          </w:tcPr>
          <w:p>
            <w:pPr>
              <w:spacing w:after="0" w:line="240" w:lineRule="auto"/>
              <w:jc w:val="right"/>
            </w:pPr>
            <w:r>
              <w:rPr>
                <w:b w:val="0"/>
                <w:i w:val="0"/>
                <w:sz w:val="15"/>
              </w:rPr>
              <w:t>58</w:t>
            </w:r>
          </w:p>
        </w:tc>
      </w:tr>
      <w:tr>
        <w:trPr>
          <w:cantSplit/>
        </w:trPr>
        <w:tc>
          <w:tcPr>
            <w:tcW w:type="dxa" w:w="4320"/>
          </w:tcPr>
          <w:p>
            <w:pPr>
              <w:spacing w:after="0" w:line="240" w:lineRule="auto"/>
            </w:pPr>
            <w:r>
              <w:rPr>
                <w:b w:val="0"/>
                <w:i w:val="0"/>
                <w:sz w:val="15"/>
              </w:rPr>
              <w:t xml:space="preserve">Total assets </w:t>
            </w:r>
            <w:r>
              <w:rPr>
                <w:b/>
                <w:color w:val="2E548C"/>
                <w:sz w:val="12"/>
              </w:rPr>
              <w:t>[D]</w:t>
            </w:r>
          </w:p>
        </w:tc>
        <w:tc>
          <w:tcPr>
            <w:tcW w:type="dxa" w:w="1368"/>
          </w:tcPr>
          <w:p>
            <w:pPr>
              <w:spacing w:after="0" w:line="240" w:lineRule="auto"/>
              <w:jc w:val="right"/>
            </w:pPr>
            <w:r>
              <w:rPr>
                <w:b w:val="0"/>
                <w:i w:val="0"/>
                <w:sz w:val="15"/>
              </w:rPr>
              <w:t>13,255</w:t>
            </w:r>
          </w:p>
        </w:tc>
        <w:tc>
          <w:tcPr>
            <w:tcW w:type="dxa" w:w="1368"/>
          </w:tcPr>
          <w:p>
            <w:pPr>
              <w:spacing w:after="0" w:line="240" w:lineRule="auto"/>
              <w:jc w:val="right"/>
            </w:pPr>
            <w:r>
              <w:rPr>
                <w:b w:val="0"/>
                <w:i w:val="0"/>
                <w:sz w:val="15"/>
              </w:rPr>
              <w:t>12,995</w:t>
            </w:r>
          </w:p>
        </w:tc>
        <w:tc>
          <w:tcPr>
            <w:tcW w:type="dxa" w:w="1368"/>
          </w:tcPr>
          <w:p>
            <w:pPr>
              <w:spacing w:after="0" w:line="240" w:lineRule="auto"/>
              <w:jc w:val="right"/>
            </w:pPr>
            <w:r>
              <w:rPr>
                <w:b w:val="0"/>
                <w:i w:val="0"/>
                <w:sz w:val="15"/>
              </w:rPr>
              <w:t>13,042</w:t>
            </w:r>
          </w:p>
        </w:tc>
        <w:tc>
          <w:tcPr>
            <w:tcW w:type="dxa" w:w="1368"/>
          </w:tcPr>
          <w:p>
            <w:pPr>
              <w:spacing w:after="0" w:line="240" w:lineRule="auto"/>
              <w:jc w:val="right"/>
            </w:pPr>
            <w:r>
              <w:rPr>
                <w:b w:val="0"/>
                <w:i w:val="0"/>
                <w:sz w:val="15"/>
              </w:rPr>
              <w:t>13,060</w:t>
            </w:r>
          </w:p>
        </w:tc>
      </w:tr>
      <w:tr>
        <w:trPr>
          <w:cantSplit/>
        </w:trPr>
        <w:tc>
          <w:tcPr>
            <w:tcW w:type="dxa" w:w="4320"/>
            <w:shd w:val="clear" w:color="auto" w:fill="D9E1F2"/>
          </w:tcPr>
          <w:p>
            <w:pPr>
              <w:spacing w:after="0" w:line="240" w:lineRule="auto"/>
            </w:pPr>
            <w:r>
              <w:rPr>
                <w:b w:val="0"/>
                <w:i w:val="0"/>
                <w:sz w:val="15"/>
              </w:rPr>
              <w:t xml:space="preserve">Accounts payable </w:t>
            </w:r>
            <w:r>
              <w:rPr>
                <w:b/>
                <w:color w:val="2E548C"/>
                <w:sz w:val="12"/>
              </w:rPr>
              <w:t>[D]</w:t>
            </w:r>
          </w:p>
        </w:tc>
        <w:tc>
          <w:tcPr>
            <w:tcW w:type="dxa" w:w="1368"/>
            <w:shd w:val="clear" w:color="auto" w:fill="D9E1F2"/>
          </w:tcPr>
          <w:p>
            <w:pPr>
              <w:spacing w:after="0" w:line="240" w:lineRule="auto"/>
              <w:jc w:val="right"/>
            </w:pPr>
            <w:r>
              <w:rPr>
                <w:b w:val="0"/>
                <w:i w:val="0"/>
                <w:sz w:val="15"/>
              </w:rPr>
              <w:t>38</w:t>
            </w:r>
          </w:p>
        </w:tc>
        <w:tc>
          <w:tcPr>
            <w:tcW w:type="dxa" w:w="1368"/>
            <w:shd w:val="clear" w:color="auto" w:fill="D9E1F2"/>
          </w:tcPr>
          <w:p>
            <w:pPr>
              <w:spacing w:after="0" w:line="240" w:lineRule="auto"/>
              <w:jc w:val="right"/>
            </w:pPr>
            <w:r>
              <w:rPr>
                <w:b w:val="0"/>
                <w:i w:val="0"/>
                <w:sz w:val="15"/>
              </w:rPr>
              <w:t>56</w:t>
            </w:r>
          </w:p>
        </w:tc>
        <w:tc>
          <w:tcPr>
            <w:tcW w:type="dxa" w:w="1368"/>
            <w:shd w:val="clear" w:color="auto" w:fill="D9E1F2"/>
          </w:tcPr>
          <w:p>
            <w:pPr>
              <w:spacing w:after="0" w:line="240" w:lineRule="auto"/>
              <w:jc w:val="right"/>
            </w:pPr>
            <w:r>
              <w:rPr>
                <w:b w:val="0"/>
                <w:i w:val="0"/>
                <w:sz w:val="15"/>
              </w:rPr>
              <w:t>48</w:t>
            </w:r>
          </w:p>
        </w:tc>
        <w:tc>
          <w:tcPr>
            <w:tcW w:type="dxa" w:w="1368"/>
            <w:shd w:val="clear" w:color="auto" w:fill="D9E1F2"/>
          </w:tcPr>
          <w:p>
            <w:pPr>
              <w:spacing w:after="0" w:line="240" w:lineRule="auto"/>
              <w:jc w:val="right"/>
            </w:pPr>
            <w:r>
              <w:rPr>
                <w:b w:val="0"/>
                <w:i w:val="0"/>
                <w:sz w:val="15"/>
              </w:rPr>
              <w:t>63</w:t>
            </w:r>
          </w:p>
        </w:tc>
      </w:tr>
      <w:tr>
        <w:trPr>
          <w:cantSplit/>
        </w:trPr>
        <w:tc>
          <w:tcPr>
            <w:tcW w:type="dxa" w:w="4320"/>
          </w:tcPr>
          <w:p>
            <w:pPr>
              <w:spacing w:after="0" w:line="240" w:lineRule="auto"/>
            </w:pPr>
            <w:r>
              <w:rPr>
                <w:b w:val="0"/>
                <w:i w:val="0"/>
                <w:sz w:val="15"/>
              </w:rPr>
              <w:t xml:space="preserve">Accrued compensation </w:t>
            </w:r>
            <w:r>
              <w:rPr>
                <w:b/>
                <w:color w:val="2E548C"/>
                <w:sz w:val="12"/>
              </w:rPr>
              <w:t>[D]</w:t>
            </w:r>
          </w:p>
        </w:tc>
        <w:tc>
          <w:tcPr>
            <w:tcW w:type="dxa" w:w="1368"/>
          </w:tcPr>
          <w:p>
            <w:pPr>
              <w:spacing w:after="0" w:line="240" w:lineRule="auto"/>
              <w:jc w:val="right"/>
            </w:pPr>
            <w:r>
              <w:rPr>
                <w:b w:val="0"/>
                <w:i w:val="0"/>
                <w:sz w:val="15"/>
              </w:rPr>
              <w:t>56</w:t>
            </w:r>
          </w:p>
        </w:tc>
        <w:tc>
          <w:tcPr>
            <w:tcW w:type="dxa" w:w="1368"/>
          </w:tcPr>
          <w:p>
            <w:pPr>
              <w:spacing w:after="0" w:line="240" w:lineRule="auto"/>
              <w:jc w:val="right"/>
            </w:pPr>
            <w:r>
              <w:rPr>
                <w:b w:val="0"/>
                <w:i w:val="0"/>
                <w:sz w:val="15"/>
              </w:rPr>
              <w:t>64</w:t>
            </w:r>
          </w:p>
        </w:tc>
        <w:tc>
          <w:tcPr>
            <w:tcW w:type="dxa" w:w="1368"/>
          </w:tcPr>
          <w:p>
            <w:pPr>
              <w:spacing w:after="0" w:line="240" w:lineRule="auto"/>
              <w:jc w:val="right"/>
            </w:pPr>
            <w:r>
              <w:rPr>
                <w:b w:val="0"/>
                <w:i w:val="0"/>
                <w:sz w:val="15"/>
              </w:rPr>
              <w:t>25</w:t>
            </w:r>
          </w:p>
        </w:tc>
        <w:tc>
          <w:tcPr>
            <w:tcW w:type="dxa" w:w="1368"/>
          </w:tcPr>
          <w:p>
            <w:pPr>
              <w:spacing w:after="0" w:line="240" w:lineRule="auto"/>
              <w:jc w:val="right"/>
            </w:pPr>
            <w:r>
              <w:rPr>
                <w:b w:val="0"/>
                <w:i w:val="0"/>
                <w:sz w:val="15"/>
              </w:rPr>
              <w:t>41</w:t>
            </w:r>
          </w:p>
        </w:tc>
      </w:tr>
      <w:tr>
        <w:trPr>
          <w:cantSplit/>
        </w:trPr>
        <w:tc>
          <w:tcPr>
            <w:tcW w:type="dxa" w:w="4320"/>
            <w:shd w:val="clear" w:color="auto" w:fill="D9E1F2"/>
          </w:tcPr>
          <w:p>
            <w:pPr>
              <w:spacing w:after="0" w:line="240" w:lineRule="auto"/>
            </w:pPr>
            <w:r>
              <w:rPr>
                <w:b w:val="0"/>
                <w:i w:val="0"/>
                <w:sz w:val="15"/>
              </w:rPr>
              <w:t xml:space="preserve">Unearned revenue </w:t>
            </w:r>
            <w:r>
              <w:rPr>
                <w:b/>
                <w:color w:val="2E548C"/>
                <w:sz w:val="12"/>
              </w:rPr>
              <w:t>[D]</w:t>
            </w:r>
          </w:p>
        </w:tc>
        <w:tc>
          <w:tcPr>
            <w:tcW w:type="dxa" w:w="1368"/>
            <w:shd w:val="clear" w:color="auto" w:fill="D9E1F2"/>
          </w:tcPr>
          <w:p>
            <w:pPr>
              <w:spacing w:after="0" w:line="240" w:lineRule="auto"/>
              <w:jc w:val="right"/>
            </w:pPr>
            <w:r>
              <w:rPr>
                <w:b w:val="0"/>
                <w:i w:val="0"/>
                <w:sz w:val="15"/>
              </w:rPr>
              <w:t>75</w:t>
            </w:r>
          </w:p>
        </w:tc>
        <w:tc>
          <w:tcPr>
            <w:tcW w:type="dxa" w:w="1368"/>
            <w:shd w:val="clear" w:color="auto" w:fill="D9E1F2"/>
          </w:tcPr>
          <w:p>
            <w:pPr>
              <w:spacing w:after="0" w:line="240" w:lineRule="auto"/>
              <w:jc w:val="right"/>
            </w:pPr>
            <w:r>
              <w:rPr>
                <w:b w:val="0"/>
                <w:i w:val="0"/>
                <w:sz w:val="15"/>
              </w:rPr>
              <w:t>78</w:t>
            </w:r>
          </w:p>
        </w:tc>
        <w:tc>
          <w:tcPr>
            <w:tcW w:type="dxa" w:w="1368"/>
            <w:shd w:val="clear" w:color="auto" w:fill="D9E1F2"/>
          </w:tcPr>
          <w:p>
            <w:pPr>
              <w:spacing w:after="0" w:line="240" w:lineRule="auto"/>
              <w:jc w:val="right"/>
            </w:pPr>
            <w:r>
              <w:rPr>
                <w:b w:val="0"/>
                <w:i w:val="0"/>
                <w:sz w:val="15"/>
              </w:rPr>
              <w:t>94</w:t>
            </w:r>
          </w:p>
        </w:tc>
        <w:tc>
          <w:tcPr>
            <w:tcW w:type="dxa" w:w="1368"/>
            <w:shd w:val="clear" w:color="auto" w:fill="D9E1F2"/>
          </w:tcPr>
          <w:p>
            <w:pPr>
              <w:spacing w:after="0" w:line="240" w:lineRule="auto"/>
              <w:jc w:val="right"/>
            </w:pPr>
            <w:r>
              <w:rPr>
                <w:b w:val="0"/>
                <w:i w:val="0"/>
                <w:sz w:val="15"/>
              </w:rPr>
              <w:t>102</w:t>
            </w:r>
          </w:p>
        </w:tc>
      </w:tr>
      <w:tr>
        <w:trPr>
          <w:cantSplit/>
        </w:trPr>
        <w:tc>
          <w:tcPr>
            <w:tcW w:type="dxa" w:w="4320"/>
          </w:tcPr>
          <w:p>
            <w:pPr>
              <w:spacing w:after="0" w:line="240" w:lineRule="auto"/>
            </w:pPr>
            <w:r>
              <w:rPr>
                <w:b w:val="0"/>
                <w:i w:val="0"/>
                <w:sz w:val="15"/>
              </w:rPr>
              <w:t xml:space="preserve">Other current liabilities </w:t>
            </w:r>
            <w:r>
              <w:rPr>
                <w:b/>
                <w:color w:val="2E548C"/>
                <w:sz w:val="12"/>
              </w:rPr>
              <w:t>[D]</w:t>
            </w:r>
          </w:p>
        </w:tc>
        <w:tc>
          <w:tcPr>
            <w:tcW w:type="dxa" w:w="1368"/>
          </w:tcPr>
          <w:p>
            <w:pPr>
              <w:spacing w:after="0" w:line="240" w:lineRule="auto"/>
              <w:jc w:val="right"/>
            </w:pPr>
            <w:r>
              <w:rPr>
                <w:b w:val="0"/>
                <w:i w:val="0"/>
                <w:sz w:val="15"/>
              </w:rPr>
              <w:t>40</w:t>
            </w:r>
          </w:p>
        </w:tc>
        <w:tc>
          <w:tcPr>
            <w:tcW w:type="dxa" w:w="1368"/>
          </w:tcPr>
          <w:p>
            <w:pPr>
              <w:spacing w:after="0" w:line="240" w:lineRule="auto"/>
              <w:jc w:val="right"/>
            </w:pPr>
            <w:r>
              <w:rPr>
                <w:b w:val="0"/>
                <w:i w:val="0"/>
                <w:sz w:val="15"/>
              </w:rPr>
              <w:t>45</w:t>
            </w:r>
          </w:p>
        </w:tc>
        <w:tc>
          <w:tcPr>
            <w:tcW w:type="dxa" w:w="1368"/>
          </w:tcPr>
          <w:p>
            <w:pPr>
              <w:spacing w:after="0" w:line="240" w:lineRule="auto"/>
              <w:jc w:val="right"/>
            </w:pPr>
            <w:r>
              <w:rPr>
                <w:b w:val="0"/>
                <w:i w:val="0"/>
                <w:sz w:val="15"/>
              </w:rPr>
              <w:t>38</w:t>
            </w:r>
          </w:p>
        </w:tc>
        <w:tc>
          <w:tcPr>
            <w:tcW w:type="dxa" w:w="1368"/>
          </w:tcPr>
          <w:p>
            <w:pPr>
              <w:spacing w:after="0" w:line="240" w:lineRule="auto"/>
              <w:jc w:val="right"/>
            </w:pPr>
            <w:r>
              <w:rPr>
                <w:b w:val="0"/>
                <w:i w:val="0"/>
                <w:sz w:val="15"/>
              </w:rPr>
              <w:t>42</w:t>
            </w:r>
          </w:p>
        </w:tc>
      </w:tr>
      <w:tr>
        <w:trPr>
          <w:cantSplit/>
        </w:trPr>
        <w:tc>
          <w:tcPr>
            <w:tcW w:type="dxa" w:w="4320"/>
            <w:shd w:val="clear" w:color="auto" w:fill="D9E1F2"/>
          </w:tcPr>
          <w:p>
            <w:pPr>
              <w:spacing w:after="0" w:line="240" w:lineRule="auto"/>
            </w:pPr>
            <w:r>
              <w:rPr>
                <w:b w:val="0"/>
                <w:i w:val="0"/>
                <w:sz w:val="15"/>
              </w:rPr>
              <w:t xml:space="preserve">Due to S&amp;P Global (current) </w:t>
            </w:r>
            <w:r>
              <w:rPr>
                <w:b/>
                <w:color w:val="2E548C"/>
                <w:sz w:val="12"/>
              </w:rPr>
              <w:t>[D]</w:t>
            </w:r>
          </w:p>
        </w:tc>
        <w:tc>
          <w:tcPr>
            <w:tcW w:type="dxa" w:w="1368"/>
            <w:shd w:val="clear" w:color="auto" w:fill="D9E1F2"/>
          </w:tcPr>
          <w:p>
            <w:pPr>
              <w:spacing w:after="0" w:line="240" w:lineRule="auto"/>
              <w:jc w:val="right"/>
            </w:pPr>
            <w:r>
              <w:rPr>
                <w:b w:val="0"/>
                <w:i w:val="0"/>
                <w:sz w:val="15"/>
              </w:rPr>
              <w:t>12</w:t>
            </w:r>
          </w:p>
        </w:tc>
        <w:tc>
          <w:tcPr>
            <w:tcW w:type="dxa" w:w="1368"/>
            <w:shd w:val="clear" w:color="auto" w:fill="D9E1F2"/>
          </w:tcPr>
          <w:p>
            <w:pPr>
              <w:spacing w:after="0" w:line="240" w:lineRule="auto"/>
              <w:jc w:val="right"/>
            </w:pPr>
            <w:r>
              <w:rPr>
                <w:b w:val="0"/>
                <w:i w:val="0"/>
                <w:sz w:val="15"/>
              </w:rPr>
              <w:t>19</w:t>
            </w:r>
          </w:p>
        </w:tc>
        <w:tc>
          <w:tcPr>
            <w:tcW w:type="dxa" w:w="1368"/>
            <w:shd w:val="clear" w:color="auto" w:fill="D9E1F2"/>
          </w:tcPr>
          <w:p>
            <w:pPr>
              <w:spacing w:after="0" w:line="240" w:lineRule="auto"/>
              <w:jc w:val="right"/>
            </w:pPr>
            <w:r>
              <w:rPr>
                <w:b w:val="0"/>
                <w:i w:val="0"/>
                <w:sz w:val="15"/>
              </w:rPr>
              <w:t>24</w:t>
            </w:r>
          </w:p>
        </w:tc>
        <w:tc>
          <w:tcPr>
            <w:tcW w:type="dxa" w:w="1368"/>
            <w:shd w:val="clear" w:color="auto" w:fill="D9E1F2"/>
          </w:tcPr>
          <w:p>
            <w:pPr>
              <w:spacing w:after="0" w:line="240" w:lineRule="auto"/>
              <w:jc w:val="right"/>
            </w:pPr>
            <w:r>
              <w:rPr>
                <w:b w:val="0"/>
                <w:i w:val="0"/>
                <w:sz w:val="15"/>
              </w:rPr>
              <w:t>—</w:t>
            </w:r>
          </w:p>
        </w:tc>
      </w:tr>
      <w:tr>
        <w:trPr>
          <w:cantSplit/>
        </w:trPr>
        <w:tc>
          <w:tcPr>
            <w:tcW w:type="dxa" w:w="4320"/>
          </w:tcPr>
          <w:p>
            <w:pPr>
              <w:spacing w:after="0" w:line="240" w:lineRule="auto"/>
            </w:pPr>
            <w:r>
              <w:rPr>
                <w:b w:val="0"/>
                <w:i w:val="0"/>
                <w:sz w:val="15"/>
              </w:rPr>
              <w:t xml:space="preserve">Total current liabilities </w:t>
            </w:r>
            <w:r>
              <w:rPr>
                <w:b/>
                <w:color w:val="2E548C"/>
                <w:sz w:val="12"/>
              </w:rPr>
              <w:t>[D]</w:t>
            </w:r>
          </w:p>
        </w:tc>
        <w:tc>
          <w:tcPr>
            <w:tcW w:type="dxa" w:w="1368"/>
          </w:tcPr>
          <w:p>
            <w:pPr>
              <w:spacing w:after="0" w:line="240" w:lineRule="auto"/>
              <w:jc w:val="right"/>
            </w:pPr>
            <w:r>
              <w:rPr>
                <w:b w:val="0"/>
                <w:i w:val="0"/>
                <w:sz w:val="15"/>
              </w:rPr>
              <w:t>221</w:t>
            </w:r>
          </w:p>
        </w:tc>
        <w:tc>
          <w:tcPr>
            <w:tcW w:type="dxa" w:w="1368"/>
          </w:tcPr>
          <w:p>
            <w:pPr>
              <w:spacing w:after="0" w:line="240" w:lineRule="auto"/>
              <w:jc w:val="right"/>
            </w:pPr>
            <w:r>
              <w:rPr>
                <w:b w:val="0"/>
                <w:i w:val="0"/>
                <w:sz w:val="15"/>
              </w:rPr>
              <w:t>262</w:t>
            </w:r>
          </w:p>
        </w:tc>
        <w:tc>
          <w:tcPr>
            <w:tcW w:type="dxa" w:w="1368"/>
          </w:tcPr>
          <w:p>
            <w:pPr>
              <w:spacing w:after="0" w:line="240" w:lineRule="auto"/>
              <w:jc w:val="right"/>
            </w:pPr>
            <w:r>
              <w:rPr>
                <w:b w:val="0"/>
                <w:i w:val="0"/>
                <w:sz w:val="15"/>
              </w:rPr>
              <w:t>229</w:t>
            </w:r>
          </w:p>
        </w:tc>
        <w:tc>
          <w:tcPr>
            <w:tcW w:type="dxa" w:w="1368"/>
          </w:tcPr>
          <w:p>
            <w:pPr>
              <w:spacing w:after="0" w:line="240" w:lineRule="auto"/>
              <w:jc w:val="right"/>
            </w:pPr>
            <w:r>
              <w:rPr>
                <w:b w:val="0"/>
                <w:i w:val="0"/>
                <w:sz w:val="15"/>
              </w:rPr>
              <w:t>248</w:t>
            </w:r>
          </w:p>
        </w:tc>
      </w:tr>
      <w:tr>
        <w:trPr>
          <w:cantSplit/>
        </w:trPr>
        <w:tc>
          <w:tcPr>
            <w:tcW w:type="dxa" w:w="4320"/>
            <w:shd w:val="clear" w:color="auto" w:fill="D9E1F2"/>
          </w:tcPr>
          <w:p>
            <w:pPr>
              <w:spacing w:after="0" w:line="240" w:lineRule="auto"/>
            </w:pPr>
            <w:r>
              <w:rPr>
                <w:b w:val="0"/>
                <w:i w:val="0"/>
                <w:sz w:val="15"/>
              </w:rPr>
              <w:t xml:space="preserve">Long-term debt </w:t>
            </w:r>
            <w:r>
              <w:rPr>
                <w:b/>
                <w:color w:val="2E548C"/>
                <w:sz w:val="12"/>
              </w:rPr>
              <w:t>[D]</w:t>
            </w:r>
          </w:p>
        </w:tc>
        <w:tc>
          <w:tcPr>
            <w:tcW w:type="dxa" w:w="1368"/>
            <w:shd w:val="clear" w:color="auto" w:fill="D9E1F2"/>
          </w:tcPr>
          <w:p>
            <w:pPr>
              <w:spacing w:after="0" w:line="240" w:lineRule="auto"/>
              <w:jc w:val="right"/>
            </w:pPr>
            <w:r>
              <w:rPr>
                <w:b w:val="0"/>
                <w:i w:val="0"/>
                <w:sz w:val="15"/>
              </w:rPr>
              <w:t>—</w:t>
            </w:r>
          </w:p>
        </w:tc>
        <w:tc>
          <w:tcPr>
            <w:tcW w:type="dxa" w:w="1368"/>
            <w:shd w:val="clear" w:color="auto" w:fill="D9E1F2"/>
          </w:tcPr>
          <w:p>
            <w:pPr>
              <w:spacing w:after="0" w:line="240" w:lineRule="auto"/>
              <w:jc w:val="right"/>
            </w:pPr>
            <w:r>
              <w:rPr>
                <w:b w:val="0"/>
                <w:i w:val="0"/>
                <w:sz w:val="15"/>
              </w:rPr>
              <w:t>—</w:t>
            </w:r>
          </w:p>
        </w:tc>
        <w:tc>
          <w:tcPr>
            <w:tcW w:type="dxa" w:w="1368"/>
            <w:shd w:val="clear" w:color="auto" w:fill="D9E1F2"/>
          </w:tcPr>
          <w:p>
            <w:pPr>
              <w:spacing w:after="0" w:line="240" w:lineRule="auto"/>
              <w:jc w:val="right"/>
            </w:pPr>
            <w:r>
              <w:rPr>
                <w:b w:val="0"/>
                <w:i w:val="0"/>
                <w:sz w:val="15"/>
              </w:rPr>
              <w:t>—</w:t>
            </w:r>
          </w:p>
        </w:tc>
        <w:tc>
          <w:tcPr>
            <w:tcW w:type="dxa" w:w="1368"/>
            <w:shd w:val="clear" w:color="auto" w:fill="D9E1F2"/>
          </w:tcPr>
          <w:p>
            <w:pPr>
              <w:spacing w:after="0" w:line="240" w:lineRule="auto"/>
              <w:jc w:val="right"/>
            </w:pPr>
            <w:r>
              <w:rPr>
                <w:b w:val="0"/>
                <w:i w:val="0"/>
                <w:sz w:val="15"/>
              </w:rPr>
              <w:t>1,981</w:t>
            </w:r>
          </w:p>
        </w:tc>
      </w:tr>
      <w:tr>
        <w:trPr>
          <w:cantSplit/>
        </w:trPr>
        <w:tc>
          <w:tcPr>
            <w:tcW w:type="dxa" w:w="4320"/>
          </w:tcPr>
          <w:p>
            <w:pPr>
              <w:spacing w:after="0" w:line="240" w:lineRule="auto"/>
            </w:pPr>
            <w:r>
              <w:rPr>
                <w:b w:val="0"/>
                <w:i w:val="0"/>
                <w:sz w:val="15"/>
              </w:rPr>
              <w:t xml:space="preserve">Deferred tax liability, net </w:t>
            </w:r>
            <w:r>
              <w:rPr>
                <w:b/>
                <w:color w:val="2E548C"/>
                <w:sz w:val="12"/>
              </w:rPr>
              <w:t>[D]</w:t>
            </w:r>
          </w:p>
        </w:tc>
        <w:tc>
          <w:tcPr>
            <w:tcW w:type="dxa" w:w="1368"/>
          </w:tcPr>
          <w:p>
            <w:pPr>
              <w:spacing w:after="0" w:line="240" w:lineRule="auto"/>
              <w:jc w:val="right"/>
            </w:pPr>
            <w:r>
              <w:rPr>
                <w:b w:val="0"/>
                <w:i w:val="0"/>
                <w:sz w:val="15"/>
              </w:rPr>
              <w:t>1,096</w:t>
            </w:r>
          </w:p>
        </w:tc>
        <w:tc>
          <w:tcPr>
            <w:tcW w:type="dxa" w:w="1368"/>
          </w:tcPr>
          <w:p>
            <w:pPr>
              <w:spacing w:after="0" w:line="240" w:lineRule="auto"/>
              <w:jc w:val="right"/>
            </w:pPr>
            <w:r>
              <w:rPr>
                <w:b w:val="0"/>
                <w:i w:val="0"/>
                <w:sz w:val="15"/>
              </w:rPr>
              <w:t>1,006</w:t>
            </w:r>
          </w:p>
        </w:tc>
        <w:tc>
          <w:tcPr>
            <w:tcW w:type="dxa" w:w="1368"/>
          </w:tcPr>
          <w:p>
            <w:pPr>
              <w:spacing w:after="0" w:line="240" w:lineRule="auto"/>
              <w:jc w:val="right"/>
            </w:pPr>
            <w:r>
              <w:rPr>
                <w:b w:val="0"/>
                <w:i w:val="0"/>
                <w:sz w:val="15"/>
              </w:rPr>
              <w:t>983</w:t>
            </w:r>
          </w:p>
        </w:tc>
        <w:tc>
          <w:tcPr>
            <w:tcW w:type="dxa" w:w="1368"/>
          </w:tcPr>
          <w:p>
            <w:pPr>
              <w:spacing w:after="0" w:line="240" w:lineRule="auto"/>
              <w:jc w:val="right"/>
            </w:pPr>
            <w:r>
              <w:rPr>
                <w:b w:val="0"/>
                <w:i w:val="0"/>
                <w:sz w:val="15"/>
              </w:rPr>
              <w:t>967</w:t>
            </w:r>
          </w:p>
        </w:tc>
      </w:tr>
      <w:tr>
        <w:trPr>
          <w:cantSplit/>
        </w:trPr>
        <w:tc>
          <w:tcPr>
            <w:tcW w:type="dxa" w:w="4320"/>
            <w:shd w:val="clear" w:color="auto" w:fill="D9E1F2"/>
          </w:tcPr>
          <w:p>
            <w:pPr>
              <w:spacing w:after="0" w:line="240" w:lineRule="auto"/>
            </w:pPr>
            <w:r>
              <w:rPr>
                <w:b w:val="0"/>
                <w:i w:val="0"/>
                <w:sz w:val="15"/>
              </w:rPr>
              <w:t xml:space="preserve">Operating lease liabilities, non-current </w:t>
            </w:r>
            <w:r>
              <w:rPr>
                <w:b/>
                <w:color w:val="2E548C"/>
                <w:sz w:val="12"/>
              </w:rPr>
              <w:t>[D]</w:t>
            </w:r>
          </w:p>
        </w:tc>
        <w:tc>
          <w:tcPr>
            <w:tcW w:type="dxa" w:w="1368"/>
            <w:shd w:val="clear" w:color="auto" w:fill="D9E1F2"/>
          </w:tcPr>
          <w:p>
            <w:pPr>
              <w:spacing w:after="0" w:line="240" w:lineRule="auto"/>
              <w:jc w:val="right"/>
            </w:pPr>
            <w:r>
              <w:rPr>
                <w:b w:val="0"/>
                <w:i w:val="0"/>
                <w:sz w:val="15"/>
              </w:rPr>
              <w:t>16</w:t>
            </w:r>
          </w:p>
        </w:tc>
        <w:tc>
          <w:tcPr>
            <w:tcW w:type="dxa" w:w="1368"/>
            <w:shd w:val="clear" w:color="auto" w:fill="D9E1F2"/>
          </w:tcPr>
          <w:p>
            <w:pPr>
              <w:spacing w:after="0" w:line="240" w:lineRule="auto"/>
              <w:jc w:val="right"/>
            </w:pPr>
            <w:r>
              <w:rPr>
                <w:b w:val="0"/>
                <w:i w:val="0"/>
                <w:sz w:val="15"/>
              </w:rPr>
              <w:t>11</w:t>
            </w:r>
          </w:p>
        </w:tc>
        <w:tc>
          <w:tcPr>
            <w:tcW w:type="dxa" w:w="1368"/>
            <w:shd w:val="clear" w:color="auto" w:fill="D9E1F2"/>
          </w:tcPr>
          <w:p>
            <w:pPr>
              <w:spacing w:after="0" w:line="240" w:lineRule="auto"/>
              <w:jc w:val="right"/>
            </w:pPr>
            <w:r>
              <w:rPr>
                <w:b w:val="0"/>
                <w:i w:val="0"/>
                <w:sz w:val="15"/>
              </w:rPr>
              <w:t>19</w:t>
            </w:r>
          </w:p>
        </w:tc>
        <w:tc>
          <w:tcPr>
            <w:tcW w:type="dxa" w:w="1368"/>
            <w:shd w:val="clear" w:color="auto" w:fill="D9E1F2"/>
          </w:tcPr>
          <w:p>
            <w:pPr>
              <w:spacing w:after="0" w:line="240" w:lineRule="auto"/>
              <w:jc w:val="right"/>
            </w:pPr>
            <w:r>
              <w:rPr>
                <w:b w:val="0"/>
                <w:i w:val="0"/>
                <w:sz w:val="15"/>
              </w:rPr>
              <w:t>27</w:t>
            </w:r>
          </w:p>
        </w:tc>
      </w:tr>
      <w:tr>
        <w:trPr>
          <w:cantSplit/>
        </w:trPr>
        <w:tc>
          <w:tcPr>
            <w:tcW w:type="dxa" w:w="4320"/>
          </w:tcPr>
          <w:p>
            <w:pPr>
              <w:spacing w:after="0" w:line="240" w:lineRule="auto"/>
            </w:pPr>
            <w:r>
              <w:rPr>
                <w:b w:val="0"/>
                <w:i w:val="0"/>
                <w:sz w:val="15"/>
              </w:rPr>
              <w:t xml:space="preserve">Due to S&amp;P Global, non-current (Canada Carfax Loan) </w:t>
            </w:r>
            <w:r>
              <w:rPr>
                <w:b/>
                <w:color w:val="2E548C"/>
                <w:sz w:val="12"/>
              </w:rPr>
              <w:t>[D]</w:t>
            </w:r>
          </w:p>
        </w:tc>
        <w:tc>
          <w:tcPr>
            <w:tcW w:type="dxa" w:w="1368"/>
          </w:tcPr>
          <w:p>
            <w:pPr>
              <w:spacing w:after="0" w:line="240" w:lineRule="auto"/>
              <w:jc w:val="right"/>
            </w:pPr>
            <w:r>
              <w:rPr>
                <w:b w:val="0"/>
                <w:i w:val="0"/>
                <w:sz w:val="15"/>
              </w:rPr>
              <w:t>236</w:t>
            </w:r>
          </w:p>
        </w:tc>
        <w:tc>
          <w:tcPr>
            <w:tcW w:type="dxa" w:w="1368"/>
          </w:tcPr>
          <w:p>
            <w:pPr>
              <w:spacing w:after="0" w:line="240" w:lineRule="auto"/>
              <w:jc w:val="right"/>
            </w:pPr>
            <w:r>
              <w:rPr>
                <w:b w:val="0"/>
                <w:i w:val="0"/>
                <w:sz w:val="15"/>
              </w:rPr>
              <w:t>230</w:t>
            </w:r>
          </w:p>
        </w:tc>
        <w:tc>
          <w:tcPr>
            <w:tcW w:type="dxa" w:w="1368"/>
          </w:tcPr>
          <w:p>
            <w:pPr>
              <w:spacing w:after="0" w:line="240" w:lineRule="auto"/>
              <w:jc w:val="right"/>
            </w:pPr>
            <w:r>
              <w:rPr>
                <w:b w:val="0"/>
                <w:i w:val="0"/>
                <w:sz w:val="15"/>
              </w:rPr>
              <w:t>227</w:t>
            </w:r>
          </w:p>
        </w:tc>
        <w:tc>
          <w:tcPr>
            <w:tcW w:type="dxa" w:w="1368"/>
          </w:tcPr>
          <w:p>
            <w:pPr>
              <w:spacing w:after="0" w:line="240" w:lineRule="auto"/>
              <w:jc w:val="right"/>
            </w:pPr>
            <w:r>
              <w:rPr>
                <w:b w:val="0"/>
                <w:i w:val="0"/>
                <w:sz w:val="15"/>
              </w:rPr>
              <w:t>—</w:t>
            </w:r>
          </w:p>
        </w:tc>
      </w:tr>
      <w:tr>
        <w:trPr>
          <w:cantSplit/>
        </w:trPr>
        <w:tc>
          <w:tcPr>
            <w:tcW w:type="dxa" w:w="4320"/>
            <w:shd w:val="clear" w:color="auto" w:fill="D9E1F2"/>
          </w:tcPr>
          <w:p>
            <w:pPr>
              <w:spacing w:after="0" w:line="240" w:lineRule="auto"/>
            </w:pPr>
            <w:r>
              <w:rPr>
                <w:b w:val="0"/>
                <w:i w:val="0"/>
                <w:sz w:val="15"/>
              </w:rPr>
              <w:t xml:space="preserve">Other non-current liabilities </w:t>
            </w:r>
            <w:r>
              <w:rPr>
                <w:b/>
                <w:color w:val="2E548C"/>
                <w:sz w:val="12"/>
              </w:rPr>
              <w:t>[D]</w:t>
            </w:r>
          </w:p>
        </w:tc>
        <w:tc>
          <w:tcPr>
            <w:tcW w:type="dxa" w:w="1368"/>
            <w:shd w:val="clear" w:color="auto" w:fill="D9E1F2"/>
          </w:tcPr>
          <w:p>
            <w:pPr>
              <w:spacing w:after="0" w:line="240" w:lineRule="auto"/>
              <w:jc w:val="right"/>
            </w:pPr>
            <w:r>
              <w:rPr>
                <w:b w:val="0"/>
                <w:i w:val="0"/>
                <w:sz w:val="15"/>
              </w:rPr>
              <w:t>3</w:t>
            </w:r>
          </w:p>
        </w:tc>
        <w:tc>
          <w:tcPr>
            <w:tcW w:type="dxa" w:w="1368"/>
            <w:shd w:val="clear" w:color="auto" w:fill="D9E1F2"/>
          </w:tcPr>
          <w:p>
            <w:pPr>
              <w:spacing w:after="0" w:line="240" w:lineRule="auto"/>
              <w:jc w:val="right"/>
            </w:pPr>
            <w:r>
              <w:rPr>
                <w:b w:val="0"/>
                <w:i w:val="0"/>
                <w:sz w:val="15"/>
              </w:rPr>
              <w:t>1</w:t>
            </w:r>
          </w:p>
        </w:tc>
        <w:tc>
          <w:tcPr>
            <w:tcW w:type="dxa" w:w="1368"/>
            <w:shd w:val="clear" w:color="auto" w:fill="D9E1F2"/>
          </w:tcPr>
          <w:p>
            <w:pPr>
              <w:spacing w:after="0" w:line="240" w:lineRule="auto"/>
              <w:jc w:val="right"/>
            </w:pPr>
            <w:r>
              <w:rPr>
                <w:b w:val="0"/>
                <w:i w:val="0"/>
                <w:sz w:val="15"/>
              </w:rPr>
              <w:t>1</w:t>
            </w:r>
          </w:p>
        </w:tc>
        <w:tc>
          <w:tcPr>
            <w:tcW w:type="dxa" w:w="1368"/>
            <w:shd w:val="clear" w:color="auto" w:fill="D9E1F2"/>
          </w:tcPr>
          <w:p>
            <w:pPr>
              <w:spacing w:after="0" w:line="240" w:lineRule="auto"/>
              <w:jc w:val="right"/>
            </w:pPr>
            <w:r>
              <w:rPr>
                <w:b w:val="0"/>
                <w:i w:val="0"/>
                <w:sz w:val="15"/>
              </w:rPr>
              <w:t>2</w:t>
            </w:r>
          </w:p>
        </w:tc>
      </w:tr>
      <w:tr>
        <w:trPr>
          <w:cantSplit/>
        </w:trPr>
        <w:tc>
          <w:tcPr>
            <w:tcW w:type="dxa" w:w="4320"/>
          </w:tcPr>
          <w:p>
            <w:pPr>
              <w:spacing w:after="0" w:line="240" w:lineRule="auto"/>
            </w:pPr>
            <w:r>
              <w:rPr>
                <w:b w:val="0"/>
                <w:i w:val="0"/>
                <w:sz w:val="15"/>
              </w:rPr>
              <w:t xml:space="preserve">Total liabilities </w:t>
            </w:r>
            <w:r>
              <w:rPr>
                <w:b/>
                <w:color w:val="2E548C"/>
                <w:sz w:val="12"/>
              </w:rPr>
              <w:t>[D]</w:t>
            </w:r>
          </w:p>
        </w:tc>
        <w:tc>
          <w:tcPr>
            <w:tcW w:type="dxa" w:w="1368"/>
          </w:tcPr>
          <w:p>
            <w:pPr>
              <w:spacing w:after="0" w:line="240" w:lineRule="auto"/>
              <w:jc w:val="right"/>
            </w:pPr>
            <w:r>
              <w:rPr>
                <w:b w:val="0"/>
                <w:i w:val="0"/>
                <w:sz w:val="15"/>
              </w:rPr>
              <w:t>1,572</w:t>
            </w:r>
          </w:p>
        </w:tc>
        <w:tc>
          <w:tcPr>
            <w:tcW w:type="dxa" w:w="1368"/>
          </w:tcPr>
          <w:p>
            <w:pPr>
              <w:spacing w:after="0" w:line="240" w:lineRule="auto"/>
              <w:jc w:val="right"/>
            </w:pPr>
            <w:r>
              <w:rPr>
                <w:b w:val="0"/>
                <w:i w:val="0"/>
                <w:sz w:val="15"/>
              </w:rPr>
              <w:t>1,510</w:t>
            </w:r>
          </w:p>
        </w:tc>
        <w:tc>
          <w:tcPr>
            <w:tcW w:type="dxa" w:w="1368"/>
          </w:tcPr>
          <w:p>
            <w:pPr>
              <w:spacing w:after="0" w:line="240" w:lineRule="auto"/>
              <w:jc w:val="right"/>
            </w:pPr>
            <w:r>
              <w:rPr>
                <w:b w:val="0"/>
                <w:i w:val="0"/>
                <w:sz w:val="15"/>
              </w:rPr>
              <w:t>1,459</w:t>
            </w:r>
          </w:p>
        </w:tc>
        <w:tc>
          <w:tcPr>
            <w:tcW w:type="dxa" w:w="1368"/>
          </w:tcPr>
          <w:p>
            <w:pPr>
              <w:spacing w:after="0" w:line="240" w:lineRule="auto"/>
              <w:jc w:val="right"/>
            </w:pPr>
            <w:r>
              <w:rPr>
                <w:b w:val="0"/>
                <w:i w:val="0"/>
                <w:sz w:val="15"/>
              </w:rPr>
              <w:t>3,225</w:t>
            </w:r>
          </w:p>
        </w:tc>
      </w:tr>
      <w:tr>
        <w:trPr>
          <w:cantSplit/>
        </w:trPr>
        <w:tc>
          <w:tcPr>
            <w:tcW w:type="dxa" w:w="4320"/>
            <w:shd w:val="clear" w:color="auto" w:fill="D9E1F2"/>
          </w:tcPr>
          <w:p>
            <w:pPr>
              <w:spacing w:after="0" w:line="240" w:lineRule="auto"/>
            </w:pPr>
            <w:r>
              <w:rPr>
                <w:b w:val="0"/>
                <w:i w:val="0"/>
                <w:sz w:val="15"/>
              </w:rPr>
              <w:t xml:space="preserve">Net parent investment </w:t>
            </w:r>
            <w:r>
              <w:rPr>
                <w:b/>
                <w:color w:val="2E548C"/>
                <w:sz w:val="12"/>
              </w:rPr>
              <w:t>[D]</w:t>
            </w:r>
          </w:p>
        </w:tc>
        <w:tc>
          <w:tcPr>
            <w:tcW w:type="dxa" w:w="1368"/>
            <w:shd w:val="clear" w:color="auto" w:fill="D9E1F2"/>
          </w:tcPr>
          <w:p>
            <w:pPr>
              <w:spacing w:after="0" w:line="240" w:lineRule="auto"/>
              <w:jc w:val="right"/>
            </w:pPr>
            <w:r>
              <w:rPr>
                <w:b w:val="0"/>
                <w:i w:val="0"/>
                <w:sz w:val="15"/>
              </w:rPr>
              <w:t>11,680</w:t>
            </w:r>
          </w:p>
        </w:tc>
        <w:tc>
          <w:tcPr>
            <w:tcW w:type="dxa" w:w="1368"/>
            <w:shd w:val="clear" w:color="auto" w:fill="D9E1F2"/>
          </w:tcPr>
          <w:p>
            <w:pPr>
              <w:spacing w:after="0" w:line="240" w:lineRule="auto"/>
              <w:jc w:val="right"/>
            </w:pPr>
            <w:r>
              <w:rPr>
                <w:b w:val="0"/>
                <w:i w:val="0"/>
                <w:sz w:val="15"/>
              </w:rPr>
              <w:t>11,489</w:t>
            </w:r>
          </w:p>
        </w:tc>
        <w:tc>
          <w:tcPr>
            <w:tcW w:type="dxa" w:w="1368"/>
            <w:shd w:val="clear" w:color="auto" w:fill="D9E1F2"/>
          </w:tcPr>
          <w:p>
            <w:pPr>
              <w:spacing w:after="0" w:line="240" w:lineRule="auto"/>
              <w:jc w:val="right"/>
            </w:pPr>
            <w:r>
              <w:rPr>
                <w:b w:val="0"/>
                <w:i w:val="0"/>
                <w:sz w:val="15"/>
              </w:rPr>
              <w:t>11,586</w:t>
            </w:r>
          </w:p>
        </w:tc>
        <w:tc>
          <w:tcPr>
            <w:tcW w:type="dxa" w:w="1368"/>
            <w:shd w:val="clear" w:color="auto" w:fill="D9E1F2"/>
          </w:tcPr>
          <w:p>
            <w:pPr>
              <w:spacing w:after="0" w:line="240" w:lineRule="auto"/>
              <w:jc w:val="right"/>
            </w:pPr>
            <w:r>
              <w:rPr>
                <w:b w:val="0"/>
                <w:i w:val="0"/>
                <w:sz w:val="15"/>
              </w:rPr>
              <w:t>9,833</w:t>
            </w:r>
          </w:p>
        </w:tc>
      </w:tr>
      <w:tr>
        <w:trPr>
          <w:cantSplit/>
        </w:trPr>
        <w:tc>
          <w:tcPr>
            <w:tcW w:type="dxa" w:w="4320"/>
          </w:tcPr>
          <w:p>
            <w:pPr>
              <w:spacing w:after="0" w:line="240" w:lineRule="auto"/>
            </w:pPr>
            <w:r>
              <w:rPr>
                <w:b w:val="0"/>
                <w:i w:val="0"/>
                <w:sz w:val="15"/>
              </w:rPr>
              <w:t xml:space="preserve">Accumulated other comprehensive income </w:t>
            </w:r>
            <w:r>
              <w:rPr>
                <w:b/>
                <w:color w:val="2E548C"/>
                <w:sz w:val="12"/>
              </w:rPr>
              <w:t>[D]</w:t>
            </w:r>
          </w:p>
        </w:tc>
        <w:tc>
          <w:tcPr>
            <w:tcW w:type="dxa" w:w="1368"/>
          </w:tcPr>
          <w:p>
            <w:pPr>
              <w:spacing w:after="0" w:line="240" w:lineRule="auto"/>
              <w:jc w:val="right"/>
            </w:pPr>
            <w:r>
              <w:rPr>
                <w:b w:val="0"/>
                <w:i w:val="0"/>
                <w:sz w:val="15"/>
              </w:rPr>
              <w:t>3</w:t>
            </w:r>
          </w:p>
        </w:tc>
        <w:tc>
          <w:tcPr>
            <w:tcW w:type="dxa" w:w="1368"/>
          </w:tcPr>
          <w:p>
            <w:pPr>
              <w:spacing w:after="0" w:line="240" w:lineRule="auto"/>
              <w:jc w:val="right"/>
            </w:pPr>
            <w:r>
              <w:rPr>
                <w:b w:val="0"/>
                <w:i w:val="0"/>
                <w:sz w:val="15"/>
              </w:rPr>
              <w:t>(4)</w:t>
            </w:r>
          </w:p>
        </w:tc>
        <w:tc>
          <w:tcPr>
            <w:tcW w:type="dxa" w:w="1368"/>
          </w:tcPr>
          <w:p>
            <w:pPr>
              <w:spacing w:after="0" w:line="240" w:lineRule="auto"/>
              <w:jc w:val="right"/>
            </w:pPr>
            <w:r>
              <w:rPr>
                <w:b w:val="0"/>
                <w:i w:val="0"/>
                <w:sz w:val="15"/>
              </w:rPr>
              <w:t>(3)</w:t>
            </w:r>
          </w:p>
        </w:tc>
        <w:tc>
          <w:tcPr>
            <w:tcW w:type="dxa" w:w="1368"/>
          </w:tcPr>
          <w:p>
            <w:pPr>
              <w:spacing w:after="0" w:line="240" w:lineRule="auto"/>
              <w:jc w:val="right"/>
            </w:pPr>
            <w:r>
              <w:rPr>
                <w:b w:val="0"/>
                <w:i w:val="0"/>
                <w:sz w:val="15"/>
              </w:rPr>
              <w:t>2</w:t>
            </w:r>
          </w:p>
        </w:tc>
      </w:tr>
      <w:tr>
        <w:trPr>
          <w:cantSplit/>
        </w:trPr>
        <w:tc>
          <w:tcPr>
            <w:tcW w:type="dxa" w:w="4320"/>
            <w:shd w:val="clear" w:color="auto" w:fill="D9E1F2"/>
          </w:tcPr>
          <w:p>
            <w:pPr>
              <w:spacing w:after="0" w:line="240" w:lineRule="auto"/>
            </w:pPr>
            <w:r>
              <w:rPr>
                <w:b w:val="0"/>
                <w:i w:val="0"/>
                <w:sz w:val="15"/>
              </w:rPr>
              <w:t xml:space="preserve">Total equity </w:t>
            </w:r>
            <w:r>
              <w:rPr>
                <w:b/>
                <w:color w:val="2E548C"/>
                <w:sz w:val="12"/>
              </w:rPr>
              <w:t>[D]</w:t>
            </w:r>
          </w:p>
        </w:tc>
        <w:tc>
          <w:tcPr>
            <w:tcW w:type="dxa" w:w="1368"/>
            <w:shd w:val="clear" w:color="auto" w:fill="D9E1F2"/>
          </w:tcPr>
          <w:p>
            <w:pPr>
              <w:spacing w:after="0" w:line="240" w:lineRule="auto"/>
              <w:jc w:val="right"/>
            </w:pPr>
            <w:r>
              <w:rPr>
                <w:b w:val="0"/>
                <w:i w:val="0"/>
                <w:sz w:val="15"/>
              </w:rPr>
              <w:t>11,683</w:t>
            </w:r>
          </w:p>
        </w:tc>
        <w:tc>
          <w:tcPr>
            <w:tcW w:type="dxa" w:w="1368"/>
            <w:shd w:val="clear" w:color="auto" w:fill="D9E1F2"/>
          </w:tcPr>
          <w:p>
            <w:pPr>
              <w:spacing w:after="0" w:line="240" w:lineRule="auto"/>
              <w:jc w:val="right"/>
            </w:pPr>
            <w:r>
              <w:rPr>
                <w:b w:val="0"/>
                <w:i w:val="0"/>
                <w:sz w:val="15"/>
              </w:rPr>
              <w:t>11,485</w:t>
            </w:r>
          </w:p>
        </w:tc>
        <w:tc>
          <w:tcPr>
            <w:tcW w:type="dxa" w:w="1368"/>
            <w:shd w:val="clear" w:color="auto" w:fill="D9E1F2"/>
          </w:tcPr>
          <w:p>
            <w:pPr>
              <w:spacing w:after="0" w:line="240" w:lineRule="auto"/>
              <w:jc w:val="right"/>
            </w:pPr>
            <w:r>
              <w:rPr>
                <w:b w:val="0"/>
                <w:i w:val="0"/>
                <w:sz w:val="15"/>
              </w:rPr>
              <w:t>11,583</w:t>
            </w:r>
          </w:p>
        </w:tc>
        <w:tc>
          <w:tcPr>
            <w:tcW w:type="dxa" w:w="1368"/>
            <w:shd w:val="clear" w:color="auto" w:fill="D9E1F2"/>
          </w:tcPr>
          <w:p>
            <w:pPr>
              <w:spacing w:after="0" w:line="240" w:lineRule="auto"/>
              <w:jc w:val="right"/>
            </w:pPr>
            <w:r>
              <w:rPr>
                <w:b w:val="0"/>
                <w:i w:val="0"/>
                <w:sz w:val="15"/>
              </w:rPr>
              <w:t>9,835</w:t>
            </w:r>
          </w:p>
        </w:tc>
      </w:tr>
      <w:tr>
        <w:trPr>
          <w:cantSplit/>
        </w:trPr>
        <w:tc>
          <w:tcPr>
            <w:tcW w:type="dxa" w:w="4320"/>
          </w:tcPr>
          <w:p>
            <w:pPr>
              <w:spacing w:after="0" w:line="240" w:lineRule="auto"/>
            </w:pPr>
            <w:r>
              <w:rPr>
                <w:b w:val="0"/>
                <w:i w:val="0"/>
                <w:sz w:val="15"/>
              </w:rPr>
              <w:t xml:space="preserve">Total liabilities and equity </w:t>
            </w:r>
            <w:r>
              <w:rPr>
                <w:b/>
                <w:color w:val="2E548C"/>
                <w:sz w:val="12"/>
              </w:rPr>
              <w:t>[D]</w:t>
            </w:r>
          </w:p>
        </w:tc>
        <w:tc>
          <w:tcPr>
            <w:tcW w:type="dxa" w:w="1368"/>
          </w:tcPr>
          <w:p>
            <w:pPr>
              <w:spacing w:after="0" w:line="240" w:lineRule="auto"/>
              <w:jc w:val="right"/>
            </w:pPr>
            <w:r>
              <w:rPr>
                <w:b w:val="0"/>
                <w:i w:val="0"/>
                <w:sz w:val="15"/>
              </w:rPr>
              <w:t>13,255</w:t>
            </w:r>
          </w:p>
        </w:tc>
        <w:tc>
          <w:tcPr>
            <w:tcW w:type="dxa" w:w="1368"/>
          </w:tcPr>
          <w:p>
            <w:pPr>
              <w:spacing w:after="0" w:line="240" w:lineRule="auto"/>
              <w:jc w:val="right"/>
            </w:pPr>
            <w:r>
              <w:rPr>
                <w:b w:val="0"/>
                <w:i w:val="0"/>
                <w:sz w:val="15"/>
              </w:rPr>
              <w:t>12,995</w:t>
            </w:r>
          </w:p>
        </w:tc>
        <w:tc>
          <w:tcPr>
            <w:tcW w:type="dxa" w:w="1368"/>
          </w:tcPr>
          <w:p>
            <w:pPr>
              <w:spacing w:after="0" w:line="240" w:lineRule="auto"/>
              <w:jc w:val="right"/>
            </w:pPr>
            <w:r>
              <w:rPr>
                <w:b w:val="0"/>
                <w:i w:val="0"/>
                <w:sz w:val="15"/>
              </w:rPr>
              <w:t>13,042</w:t>
            </w:r>
          </w:p>
        </w:tc>
        <w:tc>
          <w:tcPr>
            <w:tcW w:type="dxa" w:w="1368"/>
          </w:tcPr>
          <w:p>
            <w:pPr>
              <w:spacing w:after="0" w:line="240" w:lineRule="auto"/>
              <w:jc w:val="right"/>
            </w:pPr>
            <w:r>
              <w:rPr>
                <w:b w:val="0"/>
                <w:i w:val="0"/>
                <w:sz w:val="15"/>
              </w:rPr>
              <w:t>13,060</w:t>
            </w:r>
          </w:p>
        </w:tc>
      </w:tr>
    </w:tbl>
    <w:p>
      <w:pPr>
        <w:spacing w:after="120"/>
      </w:pPr>
      <w:r>
        <w:rPr>
          <w:b w:val="0"/>
          <w:i/>
          <w:color w:val="595959"/>
          <w:sz w:val="15"/>
        </w:rPr>
        <w:t xml:space="preserve">Source: canonical/primary.csv (Form 10/A p.424, 442; 10-Q p.6). No FY2023 balance sheet and no 3/31/25 or 6/30/25 balance sheets are disclosed </w:t>
      </w:r>
      <w:r>
        <w:rPr>
          <w:b/>
          <w:color w:val="2E548C"/>
          <w:sz w:val="12"/>
        </w:rPr>
        <w:t>[D]</w:t>
      </w:r>
      <w:r>
        <w:rPr>
          <w:b w:val="0"/>
          <w:i/>
          <w:color w:val="595959"/>
          <w:sz w:val="15"/>
        </w:rPr>
        <w:t xml:space="preserve">. 6/30/26 reflects the $2.0bn notes (LTD 1,981 net of $19m) and the $2.0bn dividend to S&amp;P Global; the Canada Carfax Loan was contributed and eliminated on 2026-06-25 </w:t>
      </w:r>
      <w:r>
        <w:rPr>
          <w:b/>
          <w:color w:val="2E548C"/>
          <w:sz w:val="12"/>
        </w:rPr>
        <w:t>[D]</w:t>
      </w:r>
      <w:r>
        <w:rPr>
          <w:b w:val="0"/>
          <w:i/>
          <w:color w:val="595959"/>
          <w:sz w:val="15"/>
        </w:rPr>
        <w:t>.</w:t>
      </w:r>
    </w:p>
    <w:p>
      <w:pPr>
        <w:pStyle w:val="Heading2"/>
      </w:pPr>
      <w:r>
        <w:t>8.3 Cash flow</w:t>
      </w:r>
    </w:p>
    <w:p>
      <w:pPr>
        <w:keepNext/>
        <w:spacing w:before="80" w:after="40"/>
      </w:pPr>
      <w:r>
        <w:rPr>
          <w:b/>
          <w:i w:val="0"/>
          <w:color w:val="1F3864"/>
          <w:sz w:val="17"/>
        </w:rPr>
        <w:t>Exhibit 8.4 — Combined cash flow statements ($m)</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3716"/>
        <w:gridCol w:w="1215"/>
        <w:gridCol w:w="1215"/>
        <w:gridCol w:w="1215"/>
        <w:gridCol w:w="1215"/>
        <w:gridCol w:w="1215"/>
      </w:tblGrid>
      <w:tr>
        <w:trPr>
          <w:cantSplit/>
          <w:tblHeader/>
        </w:trPr>
        <w:tc>
          <w:tcPr>
            <w:tcW w:type="dxa" w:w="3717"/>
            <w:shd w:val="clear" w:color="auto" w:fill="1F3864"/>
          </w:tcPr>
          <w:p>
            <w:pPr>
              <w:spacing w:after="0" w:line="240" w:lineRule="auto"/>
            </w:pPr>
          </w:p>
        </w:tc>
        <w:tc>
          <w:tcPr>
            <w:tcW w:type="dxa" w:w="1215"/>
            <w:shd w:val="clear" w:color="auto" w:fill="1F3864"/>
          </w:tcPr>
          <w:p>
            <w:pPr>
              <w:spacing w:after="0" w:line="240" w:lineRule="auto"/>
              <w:jc w:val="right"/>
            </w:pPr>
            <w:r>
              <w:rPr>
                <w:b/>
                <w:i w:val="0"/>
                <w:color w:val="FFFFFF"/>
                <w:sz w:val="15"/>
              </w:rPr>
              <w:t>FY2023</w:t>
            </w:r>
          </w:p>
        </w:tc>
        <w:tc>
          <w:tcPr>
            <w:tcW w:type="dxa" w:w="1215"/>
            <w:shd w:val="clear" w:color="auto" w:fill="1F3864"/>
          </w:tcPr>
          <w:p>
            <w:pPr>
              <w:spacing w:after="0" w:line="240" w:lineRule="auto"/>
              <w:jc w:val="right"/>
            </w:pPr>
            <w:r>
              <w:rPr>
                <w:b/>
                <w:i w:val="0"/>
                <w:color w:val="FFFFFF"/>
                <w:sz w:val="15"/>
              </w:rPr>
              <w:t>FY2024</w:t>
            </w:r>
          </w:p>
        </w:tc>
        <w:tc>
          <w:tcPr>
            <w:tcW w:type="dxa" w:w="1215"/>
            <w:shd w:val="clear" w:color="auto" w:fill="1F3864"/>
          </w:tcPr>
          <w:p>
            <w:pPr>
              <w:spacing w:after="0" w:line="240" w:lineRule="auto"/>
              <w:jc w:val="right"/>
            </w:pPr>
            <w:r>
              <w:rPr>
                <w:b/>
                <w:i w:val="0"/>
                <w:color w:val="FFFFFF"/>
                <w:sz w:val="15"/>
              </w:rPr>
              <w:t>FY2025</w:t>
            </w:r>
          </w:p>
        </w:tc>
        <w:tc>
          <w:tcPr>
            <w:tcW w:type="dxa" w:w="1215"/>
            <w:shd w:val="clear" w:color="auto" w:fill="1F3864"/>
          </w:tcPr>
          <w:p>
            <w:pPr>
              <w:spacing w:after="0" w:line="240" w:lineRule="auto"/>
              <w:jc w:val="right"/>
            </w:pPr>
            <w:r>
              <w:rPr>
                <w:b/>
                <w:i w:val="0"/>
                <w:color w:val="FFFFFF"/>
                <w:sz w:val="15"/>
              </w:rPr>
              <w:t>6M-2025</w:t>
            </w:r>
          </w:p>
        </w:tc>
        <w:tc>
          <w:tcPr>
            <w:tcW w:type="dxa" w:w="1215"/>
            <w:shd w:val="clear" w:color="auto" w:fill="1F3864"/>
          </w:tcPr>
          <w:p>
            <w:pPr>
              <w:spacing w:after="0" w:line="240" w:lineRule="auto"/>
              <w:jc w:val="right"/>
            </w:pPr>
            <w:r>
              <w:rPr>
                <w:b/>
                <w:i w:val="0"/>
                <w:color w:val="FFFFFF"/>
                <w:sz w:val="15"/>
              </w:rPr>
              <w:t>6M-2026</w:t>
            </w:r>
          </w:p>
        </w:tc>
      </w:tr>
      <w:tr>
        <w:trPr>
          <w:cantSplit/>
        </w:trPr>
        <w:tc>
          <w:tcPr>
            <w:tcW w:type="dxa" w:w="3717"/>
          </w:tcPr>
          <w:p>
            <w:pPr>
              <w:spacing w:after="0" w:line="240" w:lineRule="auto"/>
            </w:pPr>
            <w:r>
              <w:rPr>
                <w:b w:val="0"/>
                <w:i w:val="0"/>
                <w:sz w:val="15"/>
              </w:rPr>
              <w:t xml:space="preserve">Net income </w:t>
            </w:r>
            <w:r>
              <w:rPr>
                <w:b/>
                <w:color w:val="2E548C"/>
                <w:sz w:val="12"/>
              </w:rPr>
              <w:t>[D]</w:t>
            </w:r>
          </w:p>
        </w:tc>
        <w:tc>
          <w:tcPr>
            <w:tcW w:type="dxa" w:w="1215"/>
          </w:tcPr>
          <w:p>
            <w:pPr>
              <w:spacing w:after="0" w:line="240" w:lineRule="auto"/>
              <w:jc w:val="right"/>
            </w:pPr>
            <w:r>
              <w:rPr>
                <w:b w:val="0"/>
                <w:i w:val="0"/>
                <w:sz w:val="15"/>
              </w:rPr>
              <w:t>163</w:t>
            </w:r>
          </w:p>
        </w:tc>
        <w:tc>
          <w:tcPr>
            <w:tcW w:type="dxa" w:w="1215"/>
          </w:tcPr>
          <w:p>
            <w:pPr>
              <w:spacing w:after="0" w:line="240" w:lineRule="auto"/>
              <w:jc w:val="right"/>
            </w:pPr>
            <w:r>
              <w:rPr>
                <w:b w:val="0"/>
                <w:i w:val="0"/>
                <w:sz w:val="15"/>
              </w:rPr>
              <w:t>208</w:t>
            </w:r>
          </w:p>
        </w:tc>
        <w:tc>
          <w:tcPr>
            <w:tcW w:type="dxa" w:w="1215"/>
          </w:tcPr>
          <w:p>
            <w:pPr>
              <w:spacing w:after="0" w:line="240" w:lineRule="auto"/>
              <w:jc w:val="right"/>
            </w:pPr>
            <w:r>
              <w:rPr>
                <w:b w:val="0"/>
                <w:i w:val="0"/>
                <w:sz w:val="15"/>
              </w:rPr>
              <w:t>220</w:t>
            </w:r>
          </w:p>
        </w:tc>
        <w:tc>
          <w:tcPr>
            <w:tcW w:type="dxa" w:w="1215"/>
          </w:tcPr>
          <w:p>
            <w:pPr>
              <w:spacing w:after="0" w:line="240" w:lineRule="auto"/>
              <w:jc w:val="right"/>
            </w:pPr>
            <w:r>
              <w:rPr>
                <w:b w:val="0"/>
                <w:i w:val="0"/>
                <w:sz w:val="15"/>
              </w:rPr>
              <w:t>123</w:t>
            </w:r>
          </w:p>
        </w:tc>
        <w:tc>
          <w:tcPr>
            <w:tcW w:type="dxa" w:w="1215"/>
          </w:tcPr>
          <w:p>
            <w:pPr>
              <w:spacing w:after="0" w:line="240" w:lineRule="auto"/>
              <w:jc w:val="right"/>
            </w:pPr>
            <w:r>
              <w:rPr>
                <w:b w:val="0"/>
                <w:i w:val="0"/>
                <w:sz w:val="15"/>
              </w:rPr>
              <w:t>108</w:t>
            </w:r>
          </w:p>
        </w:tc>
      </w:tr>
      <w:tr>
        <w:trPr>
          <w:cantSplit/>
        </w:trPr>
        <w:tc>
          <w:tcPr>
            <w:tcW w:type="dxa" w:w="3717"/>
            <w:shd w:val="clear" w:color="auto" w:fill="D9E1F2"/>
          </w:tcPr>
          <w:p>
            <w:pPr>
              <w:spacing w:after="0" w:line="240" w:lineRule="auto"/>
            </w:pPr>
            <w:r>
              <w:rPr>
                <w:b w:val="0"/>
                <w:i w:val="0"/>
                <w:sz w:val="15"/>
              </w:rPr>
              <w:t xml:space="preserve">Depreciation </w:t>
            </w:r>
            <w:r>
              <w:rPr>
                <w:b/>
                <w:color w:val="2E548C"/>
                <w:sz w:val="12"/>
              </w:rPr>
              <w:t>[D]</w:t>
            </w:r>
          </w:p>
        </w:tc>
        <w:tc>
          <w:tcPr>
            <w:tcW w:type="dxa" w:w="1215"/>
            <w:shd w:val="clear" w:color="auto" w:fill="D9E1F2"/>
          </w:tcPr>
          <w:p>
            <w:pPr>
              <w:spacing w:after="0" w:line="240" w:lineRule="auto"/>
              <w:jc w:val="right"/>
            </w:pPr>
            <w:r>
              <w:rPr>
                <w:b w:val="0"/>
                <w:i w:val="0"/>
                <w:sz w:val="15"/>
              </w:rPr>
              <w:t>12</w:t>
            </w:r>
          </w:p>
        </w:tc>
        <w:tc>
          <w:tcPr>
            <w:tcW w:type="dxa" w:w="1215"/>
            <w:shd w:val="clear" w:color="auto" w:fill="D9E1F2"/>
          </w:tcPr>
          <w:p>
            <w:pPr>
              <w:spacing w:after="0" w:line="240" w:lineRule="auto"/>
              <w:jc w:val="right"/>
            </w:pPr>
            <w:r>
              <w:rPr>
                <w:b w:val="0"/>
                <w:i w:val="0"/>
                <w:sz w:val="15"/>
              </w:rPr>
              <w:t>13</w:t>
            </w:r>
          </w:p>
        </w:tc>
        <w:tc>
          <w:tcPr>
            <w:tcW w:type="dxa" w:w="1215"/>
            <w:shd w:val="clear" w:color="auto" w:fill="D9E1F2"/>
          </w:tcPr>
          <w:p>
            <w:pPr>
              <w:spacing w:after="0" w:line="240" w:lineRule="auto"/>
              <w:jc w:val="right"/>
            </w:pPr>
            <w:r>
              <w:rPr>
                <w:b w:val="0"/>
                <w:i w:val="0"/>
                <w:sz w:val="15"/>
              </w:rPr>
              <w:t>14</w:t>
            </w:r>
          </w:p>
        </w:tc>
        <w:tc>
          <w:tcPr>
            <w:tcW w:type="dxa" w:w="1215"/>
            <w:shd w:val="clear" w:color="auto" w:fill="D9E1F2"/>
          </w:tcPr>
          <w:p>
            <w:pPr>
              <w:spacing w:after="0" w:line="240" w:lineRule="auto"/>
              <w:jc w:val="right"/>
            </w:pPr>
            <w:r>
              <w:rPr>
                <w:b w:val="0"/>
                <w:i w:val="0"/>
                <w:sz w:val="15"/>
              </w:rPr>
              <w:t>7</w:t>
            </w:r>
          </w:p>
        </w:tc>
        <w:tc>
          <w:tcPr>
            <w:tcW w:type="dxa" w:w="1215"/>
            <w:shd w:val="clear" w:color="auto" w:fill="D9E1F2"/>
          </w:tcPr>
          <w:p>
            <w:pPr>
              <w:spacing w:after="0" w:line="240" w:lineRule="auto"/>
              <w:jc w:val="right"/>
            </w:pPr>
            <w:r>
              <w:rPr>
                <w:b w:val="0"/>
                <w:i w:val="0"/>
                <w:sz w:val="15"/>
              </w:rPr>
              <w:t>7</w:t>
            </w:r>
          </w:p>
        </w:tc>
      </w:tr>
      <w:tr>
        <w:trPr>
          <w:cantSplit/>
        </w:trPr>
        <w:tc>
          <w:tcPr>
            <w:tcW w:type="dxa" w:w="3717"/>
          </w:tcPr>
          <w:p>
            <w:pPr>
              <w:spacing w:after="0" w:line="240" w:lineRule="auto"/>
            </w:pPr>
            <w:r>
              <w:rPr>
                <w:b w:val="0"/>
                <w:i w:val="0"/>
                <w:sz w:val="15"/>
              </w:rPr>
              <w:t xml:space="preserve">Amortization of acquired intangibles </w:t>
            </w:r>
            <w:r>
              <w:rPr>
                <w:b/>
                <w:color w:val="2E548C"/>
                <w:sz w:val="12"/>
              </w:rPr>
              <w:t>[D]</w:t>
            </w:r>
          </w:p>
        </w:tc>
        <w:tc>
          <w:tcPr>
            <w:tcW w:type="dxa" w:w="1215"/>
          </w:tcPr>
          <w:p>
            <w:pPr>
              <w:spacing w:after="0" w:line="240" w:lineRule="auto"/>
              <w:jc w:val="right"/>
            </w:pPr>
            <w:r>
              <w:rPr>
                <w:b w:val="0"/>
                <w:i w:val="0"/>
                <w:sz w:val="15"/>
              </w:rPr>
              <w:t>295</w:t>
            </w:r>
          </w:p>
        </w:tc>
        <w:tc>
          <w:tcPr>
            <w:tcW w:type="dxa" w:w="1215"/>
          </w:tcPr>
          <w:p>
            <w:pPr>
              <w:spacing w:after="0" w:line="240" w:lineRule="auto"/>
              <w:jc w:val="right"/>
            </w:pPr>
            <w:r>
              <w:rPr>
                <w:b w:val="0"/>
                <w:i w:val="0"/>
                <w:sz w:val="15"/>
              </w:rPr>
              <w:t>296</w:t>
            </w:r>
          </w:p>
        </w:tc>
        <w:tc>
          <w:tcPr>
            <w:tcW w:type="dxa" w:w="1215"/>
          </w:tcPr>
          <w:p>
            <w:pPr>
              <w:spacing w:after="0" w:line="240" w:lineRule="auto"/>
              <w:jc w:val="right"/>
            </w:pPr>
            <w:r>
              <w:rPr>
                <w:b w:val="0"/>
                <w:i w:val="0"/>
                <w:sz w:val="15"/>
              </w:rPr>
              <w:t>296</w:t>
            </w:r>
          </w:p>
        </w:tc>
        <w:tc>
          <w:tcPr>
            <w:tcW w:type="dxa" w:w="1215"/>
          </w:tcPr>
          <w:p>
            <w:pPr>
              <w:spacing w:after="0" w:line="240" w:lineRule="auto"/>
              <w:jc w:val="right"/>
            </w:pPr>
            <w:r>
              <w:rPr>
                <w:b w:val="0"/>
                <w:i w:val="0"/>
                <w:sz w:val="15"/>
              </w:rPr>
              <w:t>148</w:t>
            </w:r>
          </w:p>
        </w:tc>
        <w:tc>
          <w:tcPr>
            <w:tcW w:type="dxa" w:w="1215"/>
          </w:tcPr>
          <w:p>
            <w:pPr>
              <w:spacing w:after="0" w:line="240" w:lineRule="auto"/>
              <w:jc w:val="right"/>
            </w:pPr>
            <w:r>
              <w:rPr>
                <w:b w:val="0"/>
                <w:i w:val="0"/>
                <w:sz w:val="15"/>
              </w:rPr>
              <w:t>148</w:t>
            </w:r>
          </w:p>
        </w:tc>
      </w:tr>
      <w:tr>
        <w:trPr>
          <w:cantSplit/>
        </w:trPr>
        <w:tc>
          <w:tcPr>
            <w:tcW w:type="dxa" w:w="3717"/>
            <w:shd w:val="clear" w:color="auto" w:fill="D9E1F2"/>
          </w:tcPr>
          <w:p>
            <w:pPr>
              <w:spacing w:after="0" w:line="240" w:lineRule="auto"/>
            </w:pPr>
            <w:r>
              <w:rPr>
                <w:b w:val="0"/>
                <w:i w:val="0"/>
                <w:sz w:val="15"/>
              </w:rPr>
              <w:t xml:space="preserve">Deferred income taxes </w:t>
            </w:r>
            <w:r>
              <w:rPr>
                <w:b/>
                <w:color w:val="2E548C"/>
                <w:sz w:val="12"/>
              </w:rPr>
              <w:t>[D]</w:t>
            </w:r>
          </w:p>
        </w:tc>
        <w:tc>
          <w:tcPr>
            <w:tcW w:type="dxa" w:w="1215"/>
            <w:shd w:val="clear" w:color="auto" w:fill="D9E1F2"/>
          </w:tcPr>
          <w:p>
            <w:pPr>
              <w:spacing w:after="0" w:line="240" w:lineRule="auto"/>
              <w:jc w:val="right"/>
            </w:pPr>
            <w:r>
              <w:rPr>
                <w:b w:val="0"/>
                <w:i w:val="0"/>
                <w:sz w:val="15"/>
              </w:rPr>
              <w:t>(95)</w:t>
            </w:r>
          </w:p>
        </w:tc>
        <w:tc>
          <w:tcPr>
            <w:tcW w:type="dxa" w:w="1215"/>
            <w:shd w:val="clear" w:color="auto" w:fill="D9E1F2"/>
          </w:tcPr>
          <w:p>
            <w:pPr>
              <w:spacing w:after="0" w:line="240" w:lineRule="auto"/>
              <w:jc w:val="right"/>
            </w:pPr>
            <w:r>
              <w:rPr>
                <w:b w:val="0"/>
                <w:i w:val="0"/>
                <w:sz w:val="15"/>
              </w:rPr>
              <w:t>(102)</w:t>
            </w:r>
          </w:p>
        </w:tc>
        <w:tc>
          <w:tcPr>
            <w:tcW w:type="dxa" w:w="1215"/>
            <w:shd w:val="clear" w:color="auto" w:fill="D9E1F2"/>
          </w:tcPr>
          <w:p>
            <w:pPr>
              <w:spacing w:after="0" w:line="240" w:lineRule="auto"/>
              <w:jc w:val="right"/>
            </w:pPr>
            <w:r>
              <w:rPr>
                <w:b w:val="0"/>
                <w:i w:val="0"/>
                <w:sz w:val="15"/>
              </w:rPr>
              <w:t>(90)</w:t>
            </w:r>
          </w:p>
        </w:tc>
        <w:tc>
          <w:tcPr>
            <w:tcW w:type="dxa" w:w="1215"/>
            <w:shd w:val="clear" w:color="auto" w:fill="D9E1F2"/>
          </w:tcPr>
          <w:p>
            <w:pPr>
              <w:spacing w:after="0" w:line="240" w:lineRule="auto"/>
              <w:jc w:val="right"/>
            </w:pPr>
            <w:r>
              <w:rPr>
                <w:b w:val="0"/>
                <w:i w:val="0"/>
                <w:sz w:val="15"/>
              </w:rPr>
              <w:t>(43)</w:t>
            </w:r>
          </w:p>
        </w:tc>
        <w:tc>
          <w:tcPr>
            <w:tcW w:type="dxa" w:w="1215"/>
            <w:shd w:val="clear" w:color="auto" w:fill="D9E1F2"/>
          </w:tcPr>
          <w:p>
            <w:pPr>
              <w:spacing w:after="0" w:line="240" w:lineRule="auto"/>
              <w:jc w:val="right"/>
            </w:pPr>
            <w:r>
              <w:rPr>
                <w:b w:val="0"/>
                <w:i w:val="0"/>
                <w:sz w:val="15"/>
              </w:rPr>
              <w:t>(38)</w:t>
            </w:r>
          </w:p>
        </w:tc>
      </w:tr>
      <w:tr>
        <w:trPr>
          <w:cantSplit/>
        </w:trPr>
        <w:tc>
          <w:tcPr>
            <w:tcW w:type="dxa" w:w="3717"/>
          </w:tcPr>
          <w:p>
            <w:pPr>
              <w:spacing w:after="0" w:line="240" w:lineRule="auto"/>
            </w:pPr>
            <w:r>
              <w:rPr>
                <w:b w:val="0"/>
                <w:i w:val="0"/>
                <w:sz w:val="15"/>
              </w:rPr>
              <w:t xml:space="preserve">Stock-based compensation </w:t>
            </w:r>
            <w:r>
              <w:rPr>
                <w:b/>
                <w:color w:val="2E548C"/>
                <w:sz w:val="12"/>
              </w:rPr>
              <w:t>[D]</w:t>
            </w:r>
          </w:p>
        </w:tc>
        <w:tc>
          <w:tcPr>
            <w:tcW w:type="dxa" w:w="1215"/>
          </w:tcPr>
          <w:p>
            <w:pPr>
              <w:spacing w:after="0" w:line="240" w:lineRule="auto"/>
              <w:jc w:val="right"/>
            </w:pPr>
            <w:r>
              <w:rPr>
                <w:b w:val="0"/>
                <w:i w:val="0"/>
                <w:sz w:val="15"/>
              </w:rPr>
              <w:t>20</w:t>
            </w:r>
          </w:p>
        </w:tc>
        <w:tc>
          <w:tcPr>
            <w:tcW w:type="dxa" w:w="1215"/>
          </w:tcPr>
          <w:p>
            <w:pPr>
              <w:spacing w:after="0" w:line="240" w:lineRule="auto"/>
              <w:jc w:val="right"/>
            </w:pPr>
            <w:r>
              <w:rPr>
                <w:b w:val="0"/>
                <w:i w:val="0"/>
                <w:sz w:val="15"/>
              </w:rPr>
              <w:t>28</w:t>
            </w:r>
          </w:p>
        </w:tc>
        <w:tc>
          <w:tcPr>
            <w:tcW w:type="dxa" w:w="1215"/>
          </w:tcPr>
          <w:p>
            <w:pPr>
              <w:spacing w:after="0" w:line="240" w:lineRule="auto"/>
              <w:jc w:val="right"/>
            </w:pPr>
            <w:r>
              <w:rPr>
                <w:b w:val="0"/>
                <w:i w:val="0"/>
                <w:sz w:val="15"/>
              </w:rPr>
              <w:t>22</w:t>
            </w:r>
          </w:p>
        </w:tc>
        <w:tc>
          <w:tcPr>
            <w:tcW w:type="dxa" w:w="1215"/>
          </w:tcPr>
          <w:p>
            <w:pPr>
              <w:spacing w:after="0" w:line="240" w:lineRule="auto"/>
              <w:jc w:val="right"/>
            </w:pPr>
            <w:r>
              <w:rPr>
                <w:b w:val="0"/>
                <w:i w:val="0"/>
                <w:sz w:val="15"/>
              </w:rPr>
              <w:t>9</w:t>
            </w:r>
          </w:p>
        </w:tc>
        <w:tc>
          <w:tcPr>
            <w:tcW w:type="dxa" w:w="1215"/>
          </w:tcPr>
          <w:p>
            <w:pPr>
              <w:spacing w:after="0" w:line="240" w:lineRule="auto"/>
              <w:jc w:val="right"/>
            </w:pPr>
            <w:r>
              <w:rPr>
                <w:b w:val="0"/>
                <w:i w:val="0"/>
                <w:sz w:val="15"/>
              </w:rPr>
              <w:t>9</w:t>
            </w:r>
          </w:p>
        </w:tc>
      </w:tr>
      <w:tr>
        <w:trPr>
          <w:cantSplit/>
        </w:trPr>
        <w:tc>
          <w:tcPr>
            <w:tcW w:type="dxa" w:w="3717"/>
            <w:shd w:val="clear" w:color="auto" w:fill="D9E1F2"/>
          </w:tcPr>
          <w:p>
            <w:pPr>
              <w:spacing w:after="0" w:line="240" w:lineRule="auto"/>
            </w:pPr>
            <w:r>
              <w:rPr>
                <w:b w:val="0"/>
                <w:i w:val="0"/>
                <w:sz w:val="15"/>
              </w:rPr>
              <w:t xml:space="preserve">Provision for losses on receivables </w:t>
            </w:r>
            <w:r>
              <w:rPr>
                <w:b/>
                <w:color w:val="2E548C"/>
                <w:sz w:val="12"/>
              </w:rPr>
              <w:t>[D]</w:t>
            </w:r>
          </w:p>
        </w:tc>
        <w:tc>
          <w:tcPr>
            <w:tcW w:type="dxa" w:w="1215"/>
            <w:shd w:val="clear" w:color="auto" w:fill="D9E1F2"/>
          </w:tcPr>
          <w:p>
            <w:pPr>
              <w:spacing w:after="0" w:line="240" w:lineRule="auto"/>
              <w:jc w:val="right"/>
            </w:pPr>
            <w:r>
              <w:rPr>
                <w:b w:val="0"/>
                <w:i w:val="0"/>
                <w:sz w:val="15"/>
              </w:rPr>
              <w:t>4</w:t>
            </w:r>
          </w:p>
        </w:tc>
        <w:tc>
          <w:tcPr>
            <w:tcW w:type="dxa" w:w="1215"/>
            <w:shd w:val="clear" w:color="auto" w:fill="D9E1F2"/>
          </w:tcPr>
          <w:p>
            <w:pPr>
              <w:spacing w:after="0" w:line="240" w:lineRule="auto"/>
              <w:jc w:val="right"/>
            </w:pPr>
            <w:r>
              <w:rPr>
                <w:b w:val="0"/>
                <w:i w:val="0"/>
                <w:sz w:val="15"/>
              </w:rPr>
              <w:t>4</w:t>
            </w:r>
          </w:p>
        </w:tc>
        <w:tc>
          <w:tcPr>
            <w:tcW w:type="dxa" w:w="1215"/>
            <w:shd w:val="clear" w:color="auto" w:fill="D9E1F2"/>
          </w:tcPr>
          <w:p>
            <w:pPr>
              <w:spacing w:after="0" w:line="240" w:lineRule="auto"/>
              <w:jc w:val="right"/>
            </w:pPr>
            <w:r>
              <w:rPr>
                <w:b w:val="0"/>
                <w:i w:val="0"/>
                <w:sz w:val="15"/>
              </w:rPr>
              <w:t>4</w:t>
            </w:r>
          </w:p>
        </w:tc>
        <w:tc>
          <w:tcPr>
            <w:tcW w:type="dxa" w:w="1215"/>
            <w:shd w:val="clear" w:color="auto" w:fill="D9E1F2"/>
          </w:tcPr>
          <w:p>
            <w:pPr>
              <w:spacing w:after="0" w:line="240" w:lineRule="auto"/>
              <w:jc w:val="right"/>
            </w:pPr>
            <w:r>
              <w:rPr>
                <w:b w:val="0"/>
                <w:i w:val="0"/>
                <w:sz w:val="15"/>
              </w:rPr>
              <w:t>2</w:t>
            </w:r>
          </w:p>
        </w:tc>
        <w:tc>
          <w:tcPr>
            <w:tcW w:type="dxa" w:w="1215"/>
            <w:shd w:val="clear" w:color="auto" w:fill="D9E1F2"/>
          </w:tcPr>
          <w:p>
            <w:pPr>
              <w:spacing w:after="0" w:line="240" w:lineRule="auto"/>
              <w:jc w:val="right"/>
            </w:pPr>
            <w:r>
              <w:rPr>
                <w:b w:val="0"/>
                <w:i w:val="0"/>
                <w:sz w:val="15"/>
              </w:rPr>
              <w:t>2</w:t>
            </w:r>
          </w:p>
        </w:tc>
      </w:tr>
      <w:tr>
        <w:trPr>
          <w:cantSplit/>
        </w:trPr>
        <w:tc>
          <w:tcPr>
            <w:tcW w:type="dxa" w:w="3717"/>
          </w:tcPr>
          <w:p>
            <w:pPr>
              <w:spacing w:after="0" w:line="240" w:lineRule="auto"/>
            </w:pPr>
            <w:r>
              <w:rPr>
                <w:b w:val="0"/>
                <w:i w:val="0"/>
                <w:sz w:val="15"/>
              </w:rPr>
              <w:t xml:space="preserve">Working capital and other (residual) </w:t>
            </w:r>
            <w:r>
              <w:rPr>
                <w:b/>
                <w:color w:val="2E548C"/>
                <w:sz w:val="12"/>
              </w:rPr>
              <w:t>[C]</w:t>
            </w:r>
          </w:p>
        </w:tc>
        <w:tc>
          <w:tcPr>
            <w:tcW w:type="dxa" w:w="1215"/>
          </w:tcPr>
          <w:p>
            <w:pPr>
              <w:spacing w:after="0" w:line="240" w:lineRule="auto"/>
              <w:jc w:val="right"/>
            </w:pPr>
            <w:r>
              <w:rPr>
                <w:b w:val="0"/>
                <w:i w:val="0"/>
                <w:sz w:val="15"/>
              </w:rPr>
              <w:t>(6)</w:t>
            </w:r>
          </w:p>
        </w:tc>
        <w:tc>
          <w:tcPr>
            <w:tcW w:type="dxa" w:w="1215"/>
          </w:tcPr>
          <w:p>
            <w:pPr>
              <w:spacing w:after="0" w:line="240" w:lineRule="auto"/>
              <w:jc w:val="right"/>
            </w:pPr>
            <w:r>
              <w:rPr>
                <w:b w:val="0"/>
                <w:i w:val="0"/>
                <w:sz w:val="15"/>
              </w:rPr>
              <w:t>(20)</w:t>
            </w:r>
          </w:p>
        </w:tc>
        <w:tc>
          <w:tcPr>
            <w:tcW w:type="dxa" w:w="1215"/>
          </w:tcPr>
          <w:p>
            <w:pPr>
              <w:spacing w:after="0" w:line="240" w:lineRule="auto"/>
              <w:jc w:val="right"/>
            </w:pPr>
            <w:r>
              <w:rPr>
                <w:b w:val="0"/>
                <w:i w:val="0"/>
                <w:sz w:val="15"/>
              </w:rPr>
              <w:t>19</w:t>
            </w:r>
          </w:p>
        </w:tc>
        <w:tc>
          <w:tcPr>
            <w:tcW w:type="dxa" w:w="1215"/>
          </w:tcPr>
          <w:p>
            <w:pPr>
              <w:spacing w:after="0" w:line="240" w:lineRule="auto"/>
              <w:jc w:val="right"/>
            </w:pPr>
            <w:r>
              <w:rPr>
                <w:b w:val="0"/>
                <w:i w:val="0"/>
                <w:sz w:val="15"/>
              </w:rPr>
              <w:t>(13)</w:t>
            </w:r>
          </w:p>
        </w:tc>
        <w:tc>
          <w:tcPr>
            <w:tcW w:type="dxa" w:w="1215"/>
          </w:tcPr>
          <w:p>
            <w:pPr>
              <w:spacing w:after="0" w:line="240" w:lineRule="auto"/>
              <w:jc w:val="right"/>
            </w:pPr>
            <w:r>
              <w:rPr>
                <w:b w:val="0"/>
                <w:i w:val="0"/>
                <w:sz w:val="15"/>
              </w:rPr>
              <w:t>(47)</w:t>
            </w:r>
          </w:p>
        </w:tc>
      </w:tr>
      <w:tr>
        <w:trPr>
          <w:cantSplit/>
        </w:trPr>
        <w:tc>
          <w:tcPr>
            <w:tcW w:type="dxa" w:w="3717"/>
            <w:shd w:val="clear" w:color="auto" w:fill="D9E1F2"/>
          </w:tcPr>
          <w:p>
            <w:pPr>
              <w:spacing w:after="0" w:line="240" w:lineRule="auto"/>
            </w:pPr>
            <w:r>
              <w:rPr>
                <w:b w:val="0"/>
                <w:i w:val="0"/>
                <w:sz w:val="15"/>
              </w:rPr>
              <w:t xml:space="preserve">Cash provided by operating activities </w:t>
            </w:r>
            <w:r>
              <w:rPr>
                <w:b/>
                <w:color w:val="2E548C"/>
                <w:sz w:val="12"/>
              </w:rPr>
              <w:t>[D]</w:t>
            </w:r>
          </w:p>
        </w:tc>
        <w:tc>
          <w:tcPr>
            <w:tcW w:type="dxa" w:w="1215"/>
            <w:shd w:val="clear" w:color="auto" w:fill="D9E1F2"/>
          </w:tcPr>
          <w:p>
            <w:pPr>
              <w:spacing w:after="0" w:line="240" w:lineRule="auto"/>
              <w:jc w:val="right"/>
            </w:pPr>
            <w:r>
              <w:rPr>
                <w:b w:val="0"/>
                <w:i w:val="0"/>
                <w:sz w:val="15"/>
              </w:rPr>
              <w:t>393</w:t>
            </w:r>
          </w:p>
        </w:tc>
        <w:tc>
          <w:tcPr>
            <w:tcW w:type="dxa" w:w="1215"/>
            <w:shd w:val="clear" w:color="auto" w:fill="D9E1F2"/>
          </w:tcPr>
          <w:p>
            <w:pPr>
              <w:spacing w:after="0" w:line="240" w:lineRule="auto"/>
              <w:jc w:val="right"/>
            </w:pPr>
            <w:r>
              <w:rPr>
                <w:b w:val="0"/>
                <w:i w:val="0"/>
                <w:sz w:val="15"/>
              </w:rPr>
              <w:t>427</w:t>
            </w:r>
          </w:p>
        </w:tc>
        <w:tc>
          <w:tcPr>
            <w:tcW w:type="dxa" w:w="1215"/>
            <w:shd w:val="clear" w:color="auto" w:fill="D9E1F2"/>
          </w:tcPr>
          <w:p>
            <w:pPr>
              <w:spacing w:after="0" w:line="240" w:lineRule="auto"/>
              <w:jc w:val="right"/>
            </w:pPr>
            <w:r>
              <w:rPr>
                <w:b w:val="0"/>
                <w:i w:val="0"/>
                <w:sz w:val="15"/>
              </w:rPr>
              <w:t>485</w:t>
            </w:r>
          </w:p>
        </w:tc>
        <w:tc>
          <w:tcPr>
            <w:tcW w:type="dxa" w:w="1215"/>
            <w:shd w:val="clear" w:color="auto" w:fill="D9E1F2"/>
          </w:tcPr>
          <w:p>
            <w:pPr>
              <w:spacing w:after="0" w:line="240" w:lineRule="auto"/>
              <w:jc w:val="right"/>
            </w:pPr>
            <w:r>
              <w:rPr>
                <w:b w:val="0"/>
                <w:i w:val="0"/>
                <w:sz w:val="15"/>
              </w:rPr>
              <w:t>233</w:t>
            </w:r>
          </w:p>
        </w:tc>
        <w:tc>
          <w:tcPr>
            <w:tcW w:type="dxa" w:w="1215"/>
            <w:shd w:val="clear" w:color="auto" w:fill="D9E1F2"/>
          </w:tcPr>
          <w:p>
            <w:pPr>
              <w:spacing w:after="0" w:line="240" w:lineRule="auto"/>
              <w:jc w:val="right"/>
            </w:pPr>
            <w:r>
              <w:rPr>
                <w:b w:val="0"/>
                <w:i w:val="0"/>
                <w:sz w:val="15"/>
              </w:rPr>
              <w:t>189</w:t>
            </w:r>
          </w:p>
        </w:tc>
      </w:tr>
      <w:tr>
        <w:trPr>
          <w:cantSplit/>
        </w:trPr>
        <w:tc>
          <w:tcPr>
            <w:tcW w:type="dxa" w:w="3717"/>
          </w:tcPr>
          <w:p>
            <w:pPr>
              <w:spacing w:after="0" w:line="240" w:lineRule="auto"/>
            </w:pPr>
            <w:r>
              <w:rPr>
                <w:b w:val="0"/>
                <w:i w:val="0"/>
                <w:sz w:val="15"/>
              </w:rPr>
              <w:t xml:space="preserve">Capital expenditures </w:t>
            </w:r>
            <w:r>
              <w:rPr>
                <w:b/>
                <w:color w:val="2E548C"/>
                <w:sz w:val="12"/>
              </w:rPr>
              <w:t>[D]</w:t>
            </w:r>
          </w:p>
        </w:tc>
        <w:tc>
          <w:tcPr>
            <w:tcW w:type="dxa" w:w="1215"/>
          </w:tcPr>
          <w:p>
            <w:pPr>
              <w:spacing w:after="0" w:line="240" w:lineRule="auto"/>
              <w:jc w:val="right"/>
            </w:pPr>
            <w:r>
              <w:rPr>
                <w:b w:val="0"/>
                <w:i w:val="0"/>
                <w:sz w:val="15"/>
              </w:rPr>
              <w:t>(18)</w:t>
            </w:r>
          </w:p>
        </w:tc>
        <w:tc>
          <w:tcPr>
            <w:tcW w:type="dxa" w:w="1215"/>
          </w:tcPr>
          <w:p>
            <w:pPr>
              <w:spacing w:after="0" w:line="240" w:lineRule="auto"/>
              <w:jc w:val="right"/>
            </w:pPr>
            <w:r>
              <w:rPr>
                <w:b w:val="0"/>
                <w:i w:val="0"/>
                <w:sz w:val="15"/>
              </w:rPr>
              <w:t>(15)</w:t>
            </w:r>
          </w:p>
        </w:tc>
        <w:tc>
          <w:tcPr>
            <w:tcW w:type="dxa" w:w="1215"/>
          </w:tcPr>
          <w:p>
            <w:pPr>
              <w:spacing w:after="0" w:line="240" w:lineRule="auto"/>
              <w:jc w:val="right"/>
            </w:pPr>
            <w:r>
              <w:rPr>
                <w:b w:val="0"/>
                <w:i w:val="0"/>
                <w:sz w:val="15"/>
              </w:rPr>
              <w:t>(24)</w:t>
            </w:r>
          </w:p>
        </w:tc>
        <w:tc>
          <w:tcPr>
            <w:tcW w:type="dxa" w:w="1215"/>
          </w:tcPr>
          <w:p>
            <w:pPr>
              <w:spacing w:after="0" w:line="240" w:lineRule="auto"/>
              <w:jc w:val="right"/>
            </w:pPr>
            <w:r>
              <w:rPr>
                <w:b w:val="0"/>
                <w:i w:val="0"/>
                <w:sz w:val="15"/>
              </w:rPr>
              <w:t>(8)</w:t>
            </w:r>
          </w:p>
        </w:tc>
        <w:tc>
          <w:tcPr>
            <w:tcW w:type="dxa" w:w="1215"/>
          </w:tcPr>
          <w:p>
            <w:pPr>
              <w:spacing w:after="0" w:line="240" w:lineRule="auto"/>
              <w:jc w:val="right"/>
            </w:pPr>
            <w:r>
              <w:rPr>
                <w:b w:val="0"/>
                <w:i w:val="0"/>
                <w:sz w:val="15"/>
              </w:rPr>
              <w:t>(12)</w:t>
            </w:r>
          </w:p>
        </w:tc>
      </w:tr>
      <w:tr>
        <w:trPr>
          <w:cantSplit/>
        </w:trPr>
        <w:tc>
          <w:tcPr>
            <w:tcW w:type="dxa" w:w="3717"/>
            <w:shd w:val="clear" w:color="auto" w:fill="D9E1F2"/>
          </w:tcPr>
          <w:p>
            <w:pPr>
              <w:spacing w:after="0" w:line="240" w:lineRule="auto"/>
            </w:pPr>
            <w:r>
              <w:rPr>
                <w:b w:val="0"/>
                <w:i w:val="0"/>
                <w:sz w:val="15"/>
              </w:rPr>
              <w:t xml:space="preserve">Acquisitions, net of cash </w:t>
            </w:r>
            <w:r>
              <w:rPr>
                <w:b/>
                <w:color w:val="2E548C"/>
                <w:sz w:val="12"/>
              </w:rPr>
              <w:t>[D]</w:t>
            </w:r>
          </w:p>
        </w:tc>
        <w:tc>
          <w:tcPr>
            <w:tcW w:type="dxa" w:w="1215"/>
            <w:shd w:val="clear" w:color="auto" w:fill="D9E1F2"/>
          </w:tcPr>
          <w:p>
            <w:pPr>
              <w:spacing w:after="0" w:line="240" w:lineRule="auto"/>
              <w:jc w:val="right"/>
            </w:pPr>
            <w:r>
              <w:rPr>
                <w:b w:val="0"/>
                <w:i w:val="0"/>
                <w:sz w:val="15"/>
              </w:rPr>
              <w:t>(214)</w:t>
            </w:r>
          </w:p>
        </w:tc>
        <w:tc>
          <w:tcPr>
            <w:tcW w:type="dxa" w:w="1215"/>
            <w:shd w:val="clear" w:color="auto" w:fill="D9E1F2"/>
          </w:tcPr>
          <w:p>
            <w:pPr>
              <w:spacing w:after="0" w:line="240" w:lineRule="auto"/>
              <w:jc w:val="right"/>
            </w:pPr>
            <w:r>
              <w:rPr>
                <w:b w:val="0"/>
                <w:i w:val="0"/>
                <w:sz w:val="15"/>
              </w:rPr>
              <w:t>(6)</w:t>
            </w:r>
          </w:p>
        </w:tc>
        <w:tc>
          <w:tcPr>
            <w:tcW w:type="dxa" w:w="1215"/>
            <w:shd w:val="clear" w:color="auto" w:fill="D9E1F2"/>
          </w:tcPr>
          <w:p>
            <w:pPr>
              <w:spacing w:after="0" w:line="240" w:lineRule="auto"/>
              <w:jc w:val="right"/>
            </w:pPr>
            <w:r>
              <w:rPr>
                <w:b w:val="0"/>
                <w:i w:val="0"/>
                <w:sz w:val="15"/>
              </w:rPr>
              <w:t>(4)</w:t>
            </w:r>
          </w:p>
        </w:tc>
        <w:tc>
          <w:tcPr>
            <w:tcW w:type="dxa" w:w="1215"/>
            <w:shd w:val="clear" w:color="auto" w:fill="D9E1F2"/>
          </w:tcPr>
          <w:p>
            <w:pPr>
              <w:spacing w:after="0" w:line="240" w:lineRule="auto"/>
              <w:jc w:val="right"/>
            </w:pPr>
            <w:r>
              <w:rPr>
                <w:b w:val="0"/>
                <w:i w:val="0"/>
                <w:sz w:val="15"/>
              </w:rPr>
              <w:t>—</w:t>
            </w:r>
          </w:p>
        </w:tc>
        <w:tc>
          <w:tcPr>
            <w:tcW w:type="dxa" w:w="1215"/>
            <w:shd w:val="clear" w:color="auto" w:fill="D9E1F2"/>
          </w:tcPr>
          <w:p>
            <w:pPr>
              <w:spacing w:after="0" w:line="240" w:lineRule="auto"/>
              <w:jc w:val="right"/>
            </w:pPr>
            <w:r>
              <w:rPr>
                <w:b w:val="0"/>
                <w:i w:val="0"/>
                <w:sz w:val="15"/>
              </w:rPr>
              <w:t>—</w:t>
            </w:r>
          </w:p>
        </w:tc>
      </w:tr>
      <w:tr>
        <w:trPr>
          <w:cantSplit/>
        </w:trPr>
        <w:tc>
          <w:tcPr>
            <w:tcW w:type="dxa" w:w="3717"/>
          </w:tcPr>
          <w:p>
            <w:pPr>
              <w:spacing w:after="0" w:line="240" w:lineRule="auto"/>
            </w:pPr>
            <w:r>
              <w:rPr>
                <w:b w:val="0"/>
                <w:i w:val="0"/>
                <w:sz w:val="15"/>
              </w:rPr>
              <w:t xml:space="preserve">Cash used for investing activities </w:t>
            </w:r>
            <w:r>
              <w:rPr>
                <w:b/>
                <w:color w:val="2E548C"/>
                <w:sz w:val="12"/>
              </w:rPr>
              <w:t>[D]</w:t>
            </w:r>
          </w:p>
        </w:tc>
        <w:tc>
          <w:tcPr>
            <w:tcW w:type="dxa" w:w="1215"/>
          </w:tcPr>
          <w:p>
            <w:pPr>
              <w:spacing w:after="0" w:line="240" w:lineRule="auto"/>
              <w:jc w:val="right"/>
            </w:pPr>
            <w:r>
              <w:rPr>
                <w:b w:val="0"/>
                <w:i w:val="0"/>
                <w:sz w:val="15"/>
              </w:rPr>
              <w:t>(230)</w:t>
            </w:r>
          </w:p>
        </w:tc>
        <w:tc>
          <w:tcPr>
            <w:tcW w:type="dxa" w:w="1215"/>
          </w:tcPr>
          <w:p>
            <w:pPr>
              <w:spacing w:after="0" w:line="240" w:lineRule="auto"/>
              <w:jc w:val="right"/>
            </w:pPr>
            <w:r>
              <w:rPr>
                <w:b w:val="0"/>
                <w:i w:val="0"/>
                <w:sz w:val="15"/>
              </w:rPr>
              <w:t>(21)</w:t>
            </w:r>
          </w:p>
        </w:tc>
        <w:tc>
          <w:tcPr>
            <w:tcW w:type="dxa" w:w="1215"/>
          </w:tcPr>
          <w:p>
            <w:pPr>
              <w:spacing w:after="0" w:line="240" w:lineRule="auto"/>
              <w:jc w:val="right"/>
            </w:pPr>
            <w:r>
              <w:rPr>
                <w:b w:val="0"/>
                <w:i w:val="0"/>
                <w:sz w:val="15"/>
              </w:rPr>
              <w:t>(23)</w:t>
            </w:r>
          </w:p>
        </w:tc>
        <w:tc>
          <w:tcPr>
            <w:tcW w:type="dxa" w:w="1215"/>
          </w:tcPr>
          <w:p>
            <w:pPr>
              <w:spacing w:after="0" w:line="240" w:lineRule="auto"/>
              <w:jc w:val="right"/>
            </w:pPr>
            <w:r>
              <w:rPr>
                <w:b w:val="0"/>
                <w:i w:val="0"/>
                <w:sz w:val="15"/>
              </w:rPr>
              <w:t>(11)</w:t>
            </w:r>
          </w:p>
        </w:tc>
        <w:tc>
          <w:tcPr>
            <w:tcW w:type="dxa" w:w="1215"/>
          </w:tcPr>
          <w:p>
            <w:pPr>
              <w:spacing w:after="0" w:line="240" w:lineRule="auto"/>
              <w:jc w:val="right"/>
            </w:pPr>
            <w:r>
              <w:rPr>
                <w:b w:val="0"/>
                <w:i w:val="0"/>
                <w:sz w:val="15"/>
              </w:rPr>
              <w:t>(15)</w:t>
            </w:r>
          </w:p>
        </w:tc>
      </w:tr>
      <w:tr>
        <w:trPr>
          <w:cantSplit/>
        </w:trPr>
        <w:tc>
          <w:tcPr>
            <w:tcW w:type="dxa" w:w="3717"/>
            <w:shd w:val="clear" w:color="auto" w:fill="D9E1F2"/>
          </w:tcPr>
          <w:p>
            <w:pPr>
              <w:spacing w:after="0" w:line="240" w:lineRule="auto"/>
            </w:pPr>
            <w:r>
              <w:rPr>
                <w:b w:val="0"/>
                <w:i w:val="0"/>
                <w:sz w:val="15"/>
              </w:rPr>
              <w:t xml:space="preserve">Net transfers to parent </w:t>
            </w:r>
            <w:r>
              <w:rPr>
                <w:b/>
                <w:color w:val="2E548C"/>
                <w:sz w:val="12"/>
              </w:rPr>
              <w:t>[D]</w:t>
            </w:r>
          </w:p>
        </w:tc>
        <w:tc>
          <w:tcPr>
            <w:tcW w:type="dxa" w:w="1215"/>
            <w:shd w:val="clear" w:color="auto" w:fill="D9E1F2"/>
          </w:tcPr>
          <w:p>
            <w:pPr>
              <w:spacing w:after="0" w:line="240" w:lineRule="auto"/>
              <w:jc w:val="right"/>
            </w:pPr>
            <w:r>
              <w:rPr>
                <w:b w:val="0"/>
                <w:i w:val="0"/>
                <w:sz w:val="15"/>
              </w:rPr>
              <w:t>(158)</w:t>
            </w:r>
          </w:p>
        </w:tc>
        <w:tc>
          <w:tcPr>
            <w:tcW w:type="dxa" w:w="1215"/>
            <w:shd w:val="clear" w:color="auto" w:fill="D9E1F2"/>
          </w:tcPr>
          <w:p>
            <w:pPr>
              <w:spacing w:after="0" w:line="240" w:lineRule="auto"/>
              <w:jc w:val="right"/>
            </w:pPr>
            <w:r>
              <w:rPr>
                <w:b w:val="0"/>
                <w:i w:val="0"/>
                <w:sz w:val="15"/>
              </w:rPr>
              <w:t>(373)</w:t>
            </w:r>
          </w:p>
        </w:tc>
        <w:tc>
          <w:tcPr>
            <w:tcW w:type="dxa" w:w="1215"/>
            <w:shd w:val="clear" w:color="auto" w:fill="D9E1F2"/>
          </w:tcPr>
          <w:p>
            <w:pPr>
              <w:spacing w:after="0" w:line="240" w:lineRule="auto"/>
              <w:jc w:val="right"/>
            </w:pPr>
            <w:r>
              <w:rPr>
                <w:b w:val="0"/>
                <w:i w:val="0"/>
                <w:sz w:val="15"/>
              </w:rPr>
              <w:t>(433)</w:t>
            </w:r>
          </w:p>
        </w:tc>
        <w:tc>
          <w:tcPr>
            <w:tcW w:type="dxa" w:w="1215"/>
            <w:shd w:val="clear" w:color="auto" w:fill="D9E1F2"/>
          </w:tcPr>
          <w:p>
            <w:pPr>
              <w:spacing w:after="0" w:line="240" w:lineRule="auto"/>
              <w:jc w:val="right"/>
            </w:pPr>
            <w:r>
              <w:rPr>
                <w:b w:val="0"/>
                <w:i w:val="0"/>
                <w:sz w:val="15"/>
              </w:rPr>
              <w:t>(190)</w:t>
            </w:r>
          </w:p>
        </w:tc>
        <w:tc>
          <w:tcPr>
            <w:tcW w:type="dxa" w:w="1215"/>
            <w:shd w:val="clear" w:color="auto" w:fill="D9E1F2"/>
          </w:tcPr>
          <w:p>
            <w:pPr>
              <w:spacing w:after="0" w:line="240" w:lineRule="auto"/>
              <w:jc w:val="right"/>
            </w:pPr>
            <w:r>
              <w:rPr>
                <w:b w:val="0"/>
                <w:i w:val="0"/>
                <w:sz w:val="15"/>
              </w:rPr>
              <w:t>(2,011)</w:t>
            </w:r>
          </w:p>
        </w:tc>
      </w:tr>
      <w:tr>
        <w:trPr>
          <w:cantSplit/>
        </w:trPr>
        <w:tc>
          <w:tcPr>
            <w:tcW w:type="dxa" w:w="3717"/>
          </w:tcPr>
          <w:p>
            <w:pPr>
              <w:spacing w:after="0" w:line="240" w:lineRule="auto"/>
            </w:pPr>
            <w:r>
              <w:rPr>
                <w:b w:val="0"/>
                <w:i w:val="0"/>
                <w:sz w:val="15"/>
              </w:rPr>
              <w:t xml:space="preserve">Proceeds from senior notes </w:t>
            </w:r>
            <w:r>
              <w:rPr>
                <w:b/>
                <w:color w:val="2E548C"/>
                <w:sz w:val="12"/>
              </w:rPr>
              <w:t>[D]</w:t>
            </w:r>
          </w:p>
        </w:tc>
        <w:tc>
          <w:tcPr>
            <w:tcW w:type="dxa" w:w="1215"/>
          </w:tcPr>
          <w:p>
            <w:pPr>
              <w:spacing w:after="0" w:line="240" w:lineRule="auto"/>
              <w:jc w:val="right"/>
            </w:pPr>
            <w:r>
              <w:rPr>
                <w:b w:val="0"/>
                <w:i w:val="0"/>
                <w:sz w:val="15"/>
              </w:rPr>
              <w:t>—</w:t>
            </w:r>
          </w:p>
        </w:tc>
        <w:tc>
          <w:tcPr>
            <w:tcW w:type="dxa" w:w="1215"/>
          </w:tcPr>
          <w:p>
            <w:pPr>
              <w:spacing w:after="0" w:line="240" w:lineRule="auto"/>
              <w:jc w:val="right"/>
            </w:pPr>
            <w:r>
              <w:rPr>
                <w:b w:val="0"/>
                <w:i w:val="0"/>
                <w:sz w:val="15"/>
              </w:rPr>
              <w:t>—</w:t>
            </w:r>
          </w:p>
        </w:tc>
        <w:tc>
          <w:tcPr>
            <w:tcW w:type="dxa" w:w="1215"/>
          </w:tcPr>
          <w:p>
            <w:pPr>
              <w:spacing w:after="0" w:line="240" w:lineRule="auto"/>
              <w:jc w:val="right"/>
            </w:pPr>
            <w:r>
              <w:rPr>
                <w:b w:val="0"/>
                <w:i w:val="0"/>
                <w:sz w:val="15"/>
              </w:rPr>
              <w:t>—</w:t>
            </w:r>
          </w:p>
        </w:tc>
        <w:tc>
          <w:tcPr>
            <w:tcW w:type="dxa" w:w="1215"/>
          </w:tcPr>
          <w:p>
            <w:pPr>
              <w:spacing w:after="0" w:line="240" w:lineRule="auto"/>
              <w:jc w:val="right"/>
            </w:pPr>
            <w:r>
              <w:rPr>
                <w:b w:val="0"/>
                <w:i w:val="0"/>
                <w:sz w:val="15"/>
              </w:rPr>
              <w:t>—</w:t>
            </w:r>
          </w:p>
        </w:tc>
        <w:tc>
          <w:tcPr>
            <w:tcW w:type="dxa" w:w="1215"/>
          </w:tcPr>
          <w:p>
            <w:pPr>
              <w:spacing w:after="0" w:line="240" w:lineRule="auto"/>
              <w:jc w:val="right"/>
            </w:pPr>
            <w:r>
              <w:rPr>
                <w:b w:val="0"/>
                <w:i w:val="0"/>
                <w:sz w:val="15"/>
              </w:rPr>
              <w:t>1,986</w:t>
            </w:r>
          </w:p>
        </w:tc>
      </w:tr>
      <w:tr>
        <w:trPr>
          <w:cantSplit/>
        </w:trPr>
        <w:tc>
          <w:tcPr>
            <w:tcW w:type="dxa" w:w="3717"/>
            <w:shd w:val="clear" w:color="auto" w:fill="D9E1F2"/>
          </w:tcPr>
          <w:p>
            <w:pPr>
              <w:spacing w:after="0" w:line="240" w:lineRule="auto"/>
            </w:pPr>
            <w:r>
              <w:rPr>
                <w:b w:val="0"/>
                <w:i w:val="0"/>
                <w:sz w:val="15"/>
              </w:rPr>
              <w:t xml:space="preserve">Cash from (used for) financing activities </w:t>
            </w:r>
            <w:r>
              <w:rPr>
                <w:b/>
                <w:color w:val="2E548C"/>
                <w:sz w:val="12"/>
              </w:rPr>
              <w:t>[D]</w:t>
            </w:r>
          </w:p>
        </w:tc>
        <w:tc>
          <w:tcPr>
            <w:tcW w:type="dxa" w:w="1215"/>
            <w:shd w:val="clear" w:color="auto" w:fill="D9E1F2"/>
          </w:tcPr>
          <w:p>
            <w:pPr>
              <w:spacing w:after="0" w:line="240" w:lineRule="auto"/>
              <w:jc w:val="right"/>
            </w:pPr>
            <w:r>
              <w:rPr>
                <w:b w:val="0"/>
                <w:i w:val="0"/>
                <w:sz w:val="15"/>
              </w:rPr>
              <w:t>(160)</w:t>
            </w:r>
          </w:p>
        </w:tc>
        <w:tc>
          <w:tcPr>
            <w:tcW w:type="dxa" w:w="1215"/>
            <w:shd w:val="clear" w:color="auto" w:fill="D9E1F2"/>
          </w:tcPr>
          <w:p>
            <w:pPr>
              <w:spacing w:after="0" w:line="240" w:lineRule="auto"/>
              <w:jc w:val="right"/>
            </w:pPr>
            <w:r>
              <w:rPr>
                <w:b w:val="0"/>
                <w:i w:val="0"/>
                <w:sz w:val="15"/>
              </w:rPr>
              <w:t>(423)</w:t>
            </w:r>
          </w:p>
        </w:tc>
        <w:tc>
          <w:tcPr>
            <w:tcW w:type="dxa" w:w="1215"/>
            <w:shd w:val="clear" w:color="auto" w:fill="D9E1F2"/>
          </w:tcPr>
          <w:p>
            <w:pPr>
              <w:spacing w:after="0" w:line="240" w:lineRule="auto"/>
              <w:jc w:val="right"/>
            </w:pPr>
            <w:r>
              <w:rPr>
                <w:b w:val="0"/>
                <w:i w:val="0"/>
                <w:sz w:val="15"/>
              </w:rPr>
              <w:t>(453)</w:t>
            </w:r>
          </w:p>
        </w:tc>
        <w:tc>
          <w:tcPr>
            <w:tcW w:type="dxa" w:w="1215"/>
            <w:shd w:val="clear" w:color="auto" w:fill="D9E1F2"/>
          </w:tcPr>
          <w:p>
            <w:pPr>
              <w:spacing w:after="0" w:line="240" w:lineRule="auto"/>
              <w:jc w:val="right"/>
            </w:pPr>
            <w:r>
              <w:rPr>
                <w:b w:val="0"/>
                <w:i w:val="0"/>
                <w:sz w:val="15"/>
              </w:rPr>
              <w:t>(210)</w:t>
            </w:r>
          </w:p>
        </w:tc>
        <w:tc>
          <w:tcPr>
            <w:tcW w:type="dxa" w:w="1215"/>
            <w:shd w:val="clear" w:color="auto" w:fill="D9E1F2"/>
          </w:tcPr>
          <w:p>
            <w:pPr>
              <w:spacing w:after="0" w:line="240" w:lineRule="auto"/>
              <w:jc w:val="right"/>
            </w:pPr>
            <w:r>
              <w:rPr>
                <w:b w:val="0"/>
                <w:i w:val="0"/>
                <w:sz w:val="15"/>
              </w:rPr>
              <w:t>(25)</w:t>
            </w:r>
          </w:p>
        </w:tc>
      </w:tr>
      <w:tr>
        <w:trPr>
          <w:cantSplit/>
        </w:trPr>
        <w:tc>
          <w:tcPr>
            <w:tcW w:type="dxa" w:w="3717"/>
          </w:tcPr>
          <w:p>
            <w:pPr>
              <w:spacing w:after="0" w:line="240" w:lineRule="auto"/>
            </w:pPr>
            <w:r>
              <w:rPr>
                <w:b w:val="0"/>
                <w:i w:val="0"/>
                <w:sz w:val="15"/>
              </w:rPr>
              <w:t xml:space="preserve">Net change in cash </w:t>
            </w:r>
            <w:r>
              <w:rPr>
                <w:b/>
                <w:color w:val="2E548C"/>
                <w:sz w:val="12"/>
              </w:rPr>
              <w:t>[D]</w:t>
            </w:r>
          </w:p>
        </w:tc>
        <w:tc>
          <w:tcPr>
            <w:tcW w:type="dxa" w:w="1215"/>
          </w:tcPr>
          <w:p>
            <w:pPr>
              <w:spacing w:after="0" w:line="240" w:lineRule="auto"/>
              <w:jc w:val="right"/>
            </w:pPr>
            <w:r>
              <w:rPr>
                <w:b w:val="0"/>
                <w:i w:val="0"/>
                <w:sz w:val="15"/>
              </w:rPr>
              <w:t>5</w:t>
            </w:r>
          </w:p>
        </w:tc>
        <w:tc>
          <w:tcPr>
            <w:tcW w:type="dxa" w:w="1215"/>
          </w:tcPr>
          <w:p>
            <w:pPr>
              <w:spacing w:after="0" w:line="240" w:lineRule="auto"/>
              <w:jc w:val="right"/>
            </w:pPr>
            <w:r>
              <w:rPr>
                <w:b w:val="0"/>
                <w:i w:val="0"/>
                <w:sz w:val="15"/>
              </w:rPr>
              <w:t>(20)</w:t>
            </w:r>
          </w:p>
        </w:tc>
        <w:tc>
          <w:tcPr>
            <w:tcW w:type="dxa" w:w="1215"/>
          </w:tcPr>
          <w:p>
            <w:pPr>
              <w:spacing w:after="0" w:line="240" w:lineRule="auto"/>
              <w:jc w:val="right"/>
            </w:pPr>
            <w:r>
              <w:rPr>
                <w:b w:val="0"/>
                <w:i w:val="0"/>
                <w:sz w:val="15"/>
              </w:rPr>
              <w:t>11</w:t>
            </w:r>
          </w:p>
        </w:tc>
        <w:tc>
          <w:tcPr>
            <w:tcW w:type="dxa" w:w="1215"/>
          </w:tcPr>
          <w:p>
            <w:pPr>
              <w:spacing w:after="0" w:line="240" w:lineRule="auto"/>
              <w:jc w:val="right"/>
            </w:pPr>
            <w:r>
              <w:rPr>
                <w:b w:val="0"/>
                <w:i w:val="0"/>
                <w:sz w:val="15"/>
              </w:rPr>
              <w:t>13</w:t>
            </w:r>
          </w:p>
        </w:tc>
        <w:tc>
          <w:tcPr>
            <w:tcW w:type="dxa" w:w="1215"/>
          </w:tcPr>
          <w:p>
            <w:pPr>
              <w:spacing w:after="0" w:line="240" w:lineRule="auto"/>
              <w:jc w:val="right"/>
            </w:pPr>
            <w:r>
              <w:rPr>
                <w:b w:val="0"/>
                <w:i w:val="0"/>
                <w:sz w:val="15"/>
              </w:rPr>
              <w:t>148</w:t>
            </w:r>
          </w:p>
        </w:tc>
      </w:tr>
      <w:tr>
        <w:trPr>
          <w:cantSplit/>
        </w:trPr>
        <w:tc>
          <w:tcPr>
            <w:tcW w:type="dxa" w:w="3717"/>
            <w:shd w:val="clear" w:color="auto" w:fill="D9E1F2"/>
          </w:tcPr>
          <w:p>
            <w:pPr>
              <w:spacing w:after="0" w:line="240" w:lineRule="auto"/>
            </w:pPr>
            <w:r>
              <w:rPr>
                <w:b w:val="0"/>
                <w:i w:val="0"/>
                <w:sz w:val="15"/>
              </w:rPr>
              <w:t xml:space="preserve">Free cash flow (CFO − capex) </w:t>
            </w:r>
            <w:r>
              <w:rPr>
                <w:b/>
                <w:color w:val="2E548C"/>
                <w:sz w:val="12"/>
              </w:rPr>
              <w:t>[C]</w:t>
            </w:r>
          </w:p>
        </w:tc>
        <w:tc>
          <w:tcPr>
            <w:tcW w:type="dxa" w:w="1215"/>
            <w:shd w:val="clear" w:color="auto" w:fill="D9E1F2"/>
          </w:tcPr>
          <w:p>
            <w:pPr>
              <w:spacing w:after="0" w:line="240" w:lineRule="auto"/>
              <w:jc w:val="right"/>
            </w:pPr>
            <w:r>
              <w:rPr>
                <w:b w:val="0"/>
                <w:i w:val="0"/>
                <w:sz w:val="15"/>
              </w:rPr>
              <w:t>375</w:t>
            </w:r>
          </w:p>
        </w:tc>
        <w:tc>
          <w:tcPr>
            <w:tcW w:type="dxa" w:w="1215"/>
            <w:shd w:val="clear" w:color="auto" w:fill="D9E1F2"/>
          </w:tcPr>
          <w:p>
            <w:pPr>
              <w:spacing w:after="0" w:line="240" w:lineRule="auto"/>
              <w:jc w:val="right"/>
            </w:pPr>
            <w:r>
              <w:rPr>
                <w:b w:val="0"/>
                <w:i w:val="0"/>
                <w:sz w:val="15"/>
              </w:rPr>
              <w:t>412</w:t>
            </w:r>
          </w:p>
        </w:tc>
        <w:tc>
          <w:tcPr>
            <w:tcW w:type="dxa" w:w="1215"/>
            <w:shd w:val="clear" w:color="auto" w:fill="D9E1F2"/>
          </w:tcPr>
          <w:p>
            <w:pPr>
              <w:spacing w:after="0" w:line="240" w:lineRule="auto"/>
              <w:jc w:val="right"/>
            </w:pPr>
            <w:r>
              <w:rPr>
                <w:b w:val="0"/>
                <w:i w:val="0"/>
                <w:sz w:val="15"/>
              </w:rPr>
              <w:t>461</w:t>
            </w:r>
          </w:p>
        </w:tc>
        <w:tc>
          <w:tcPr>
            <w:tcW w:type="dxa" w:w="1215"/>
            <w:shd w:val="clear" w:color="auto" w:fill="D9E1F2"/>
          </w:tcPr>
          <w:p>
            <w:pPr>
              <w:spacing w:after="0" w:line="240" w:lineRule="auto"/>
              <w:jc w:val="right"/>
            </w:pPr>
            <w:r>
              <w:rPr>
                <w:b w:val="0"/>
                <w:i w:val="0"/>
                <w:sz w:val="15"/>
              </w:rPr>
              <w:t>225</w:t>
            </w:r>
          </w:p>
        </w:tc>
        <w:tc>
          <w:tcPr>
            <w:tcW w:type="dxa" w:w="1215"/>
            <w:shd w:val="clear" w:color="auto" w:fill="D9E1F2"/>
          </w:tcPr>
          <w:p>
            <w:pPr>
              <w:spacing w:after="0" w:line="240" w:lineRule="auto"/>
              <w:jc w:val="right"/>
            </w:pPr>
            <w:r>
              <w:rPr>
                <w:b w:val="0"/>
                <w:i w:val="0"/>
                <w:sz w:val="15"/>
              </w:rPr>
              <w:t>177</w:t>
            </w:r>
          </w:p>
        </w:tc>
      </w:tr>
      <w:tr>
        <w:trPr>
          <w:cantSplit/>
        </w:trPr>
        <w:tc>
          <w:tcPr>
            <w:tcW w:type="dxa" w:w="3717"/>
          </w:tcPr>
          <w:p>
            <w:pPr>
              <w:spacing w:after="0" w:line="240" w:lineRule="auto"/>
            </w:pPr>
            <w:r>
              <w:rPr>
                <w:b w:val="0"/>
                <w:i w:val="0"/>
                <w:sz w:val="15"/>
              </w:rPr>
              <w:t xml:space="preserve">Cash interest paid (supplemental) </w:t>
            </w:r>
            <w:r>
              <w:rPr>
                <w:b/>
                <w:color w:val="2E548C"/>
                <w:sz w:val="12"/>
              </w:rPr>
              <w:t>[D]</w:t>
            </w:r>
          </w:p>
        </w:tc>
        <w:tc>
          <w:tcPr>
            <w:tcW w:type="dxa" w:w="1215"/>
          </w:tcPr>
          <w:p>
            <w:pPr>
              <w:spacing w:after="0" w:line="240" w:lineRule="auto"/>
              <w:jc w:val="right"/>
            </w:pPr>
            <w:r>
              <w:rPr>
                <w:b w:val="0"/>
                <w:i w:val="0"/>
                <w:sz w:val="15"/>
              </w:rPr>
              <w:t>18</w:t>
            </w:r>
          </w:p>
        </w:tc>
        <w:tc>
          <w:tcPr>
            <w:tcW w:type="dxa" w:w="1215"/>
          </w:tcPr>
          <w:p>
            <w:pPr>
              <w:spacing w:after="0" w:line="240" w:lineRule="auto"/>
              <w:jc w:val="right"/>
            </w:pPr>
            <w:r>
              <w:rPr>
                <w:b w:val="0"/>
                <w:i w:val="0"/>
                <w:sz w:val="15"/>
              </w:rPr>
              <w:t>17</w:t>
            </w:r>
          </w:p>
        </w:tc>
        <w:tc>
          <w:tcPr>
            <w:tcW w:type="dxa" w:w="1215"/>
          </w:tcPr>
          <w:p>
            <w:pPr>
              <w:spacing w:after="0" w:line="240" w:lineRule="auto"/>
              <w:jc w:val="right"/>
            </w:pPr>
            <w:r>
              <w:rPr>
                <w:b w:val="0"/>
                <w:i w:val="0"/>
                <w:sz w:val="15"/>
              </w:rPr>
              <w:t>14</w:t>
            </w:r>
          </w:p>
        </w:tc>
        <w:tc>
          <w:tcPr>
            <w:tcW w:type="dxa" w:w="1215"/>
          </w:tcPr>
          <w:p>
            <w:pPr>
              <w:spacing w:after="0" w:line="240" w:lineRule="auto"/>
              <w:jc w:val="right"/>
            </w:pPr>
            <w:r>
              <w:rPr>
                <w:b w:val="0"/>
                <w:i w:val="0"/>
                <w:sz w:val="15"/>
              </w:rPr>
              <w:t>—</w:t>
            </w:r>
          </w:p>
        </w:tc>
        <w:tc>
          <w:tcPr>
            <w:tcW w:type="dxa" w:w="1215"/>
          </w:tcPr>
          <w:p>
            <w:pPr>
              <w:spacing w:after="0" w:line="240" w:lineRule="auto"/>
              <w:jc w:val="right"/>
            </w:pPr>
            <w:r>
              <w:rPr>
                <w:b w:val="0"/>
                <w:i w:val="0"/>
                <w:sz w:val="15"/>
              </w:rPr>
              <w:t>—</w:t>
            </w:r>
          </w:p>
        </w:tc>
      </w:tr>
      <w:tr>
        <w:trPr>
          <w:cantSplit/>
        </w:trPr>
        <w:tc>
          <w:tcPr>
            <w:tcW w:type="dxa" w:w="3717"/>
            <w:shd w:val="clear" w:color="auto" w:fill="D9E1F2"/>
          </w:tcPr>
          <w:p>
            <w:pPr>
              <w:spacing w:after="0" w:line="240" w:lineRule="auto"/>
            </w:pPr>
            <w:r>
              <w:rPr>
                <w:b w:val="0"/>
                <w:i w:val="0"/>
                <w:sz w:val="15"/>
              </w:rPr>
              <w:t xml:space="preserve">Cash taxes paid (supplemental) </w:t>
            </w:r>
            <w:r>
              <w:rPr>
                <w:b/>
                <w:color w:val="2E548C"/>
                <w:sz w:val="12"/>
              </w:rPr>
              <w:t>[D]</w:t>
            </w:r>
          </w:p>
        </w:tc>
        <w:tc>
          <w:tcPr>
            <w:tcW w:type="dxa" w:w="1215"/>
            <w:shd w:val="clear" w:color="auto" w:fill="D9E1F2"/>
          </w:tcPr>
          <w:p>
            <w:pPr>
              <w:spacing w:after="0" w:line="240" w:lineRule="auto"/>
              <w:jc w:val="right"/>
            </w:pPr>
            <w:r>
              <w:rPr>
                <w:b w:val="0"/>
                <w:i w:val="0"/>
                <w:sz w:val="15"/>
              </w:rPr>
              <w:t>15</w:t>
            </w:r>
          </w:p>
        </w:tc>
        <w:tc>
          <w:tcPr>
            <w:tcW w:type="dxa" w:w="1215"/>
            <w:shd w:val="clear" w:color="auto" w:fill="D9E1F2"/>
          </w:tcPr>
          <w:p>
            <w:pPr>
              <w:spacing w:after="0" w:line="240" w:lineRule="auto"/>
              <w:jc w:val="right"/>
            </w:pPr>
            <w:r>
              <w:rPr>
                <w:b w:val="0"/>
                <w:i w:val="0"/>
                <w:sz w:val="15"/>
              </w:rPr>
              <w:t>29</w:t>
            </w:r>
          </w:p>
        </w:tc>
        <w:tc>
          <w:tcPr>
            <w:tcW w:type="dxa" w:w="1215"/>
            <w:shd w:val="clear" w:color="auto" w:fill="D9E1F2"/>
          </w:tcPr>
          <w:p>
            <w:pPr>
              <w:spacing w:after="0" w:line="240" w:lineRule="auto"/>
              <w:jc w:val="right"/>
            </w:pPr>
            <w:r>
              <w:rPr>
                <w:b w:val="0"/>
                <w:i w:val="0"/>
                <w:sz w:val="15"/>
              </w:rPr>
              <w:t>26</w:t>
            </w:r>
          </w:p>
        </w:tc>
        <w:tc>
          <w:tcPr>
            <w:tcW w:type="dxa" w:w="1215"/>
            <w:shd w:val="clear" w:color="auto" w:fill="D9E1F2"/>
          </w:tcPr>
          <w:p>
            <w:pPr>
              <w:spacing w:after="0" w:line="240" w:lineRule="auto"/>
              <w:jc w:val="right"/>
            </w:pPr>
            <w:r>
              <w:rPr>
                <w:b w:val="0"/>
                <w:i w:val="0"/>
                <w:sz w:val="15"/>
              </w:rPr>
              <w:t>—</w:t>
            </w:r>
          </w:p>
        </w:tc>
        <w:tc>
          <w:tcPr>
            <w:tcW w:type="dxa" w:w="1215"/>
            <w:shd w:val="clear" w:color="auto" w:fill="D9E1F2"/>
          </w:tcPr>
          <w:p>
            <w:pPr>
              <w:spacing w:after="0" w:line="240" w:lineRule="auto"/>
              <w:jc w:val="right"/>
            </w:pPr>
            <w:r>
              <w:rPr>
                <w:b w:val="0"/>
                <w:i w:val="0"/>
                <w:sz w:val="15"/>
              </w:rPr>
              <w:t>—</w:t>
            </w:r>
          </w:p>
        </w:tc>
      </w:tr>
    </w:tbl>
    <w:p>
      <w:pPr>
        <w:spacing w:after="120"/>
      </w:pPr>
      <w:r>
        <w:rPr>
          <w:b w:val="0"/>
          <w:i/>
          <w:color w:val="595959"/>
          <w:sz w:val="15"/>
        </w:rPr>
        <w:t xml:space="preserve">Source: canonical/primary.csv (Form 10/A p.425, 443; 10-Q p.7). Annual working-capital lines are unreadable in the Quartr text (accounting_notes DATAQ), so working capital is shown as a residual </w:t>
      </w:r>
      <w:r>
        <w:rPr>
          <w:b/>
          <w:color w:val="2E548C"/>
          <w:sz w:val="12"/>
        </w:rPr>
        <w:t>[C]</w:t>
      </w:r>
      <w:r>
        <w:rPr>
          <w:b w:val="0"/>
          <w:i/>
          <w:color w:val="595959"/>
          <w:sz w:val="15"/>
        </w:rPr>
        <w:t>.</w:t>
      </w:r>
    </w:p>
    <w:p>
      <w:r>
        <w:rPr>
          <w:b/>
          <w:color w:val="E36C09"/>
        </w:rPr>
        <w:t>[TO COLLECT #45: annual cash-flow working-capital lines FY2023–25 and Q1 components from the native Form 10/A PDF (p.443, p.425)]</w:t>
      </w:r>
      <w:r>
        <w:rPr>
          <w:b w:val="0"/>
          <w:i w:val="0"/>
        </w:rPr>
        <w:t xml:space="preserve">; </w:t>
      </w:r>
      <w:r>
        <w:rPr>
          <w:b/>
          <w:color w:val="E36C09"/>
        </w:rPr>
        <w:t>[TO COLLECT #46: standalone Q2-2026 cash-flow statement (only 6M printed)]</w:t>
      </w:r>
      <w:r>
        <w:rPr>
          <w:b w:val="0"/>
          <w:i w:val="0"/>
        </w:rPr>
        <w:t>.</w:t>
      </w:r>
    </w:p>
    <w:p>
      <w:pPr>
        <w:pStyle w:val="Heading2"/>
      </w:pPr>
      <w:r>
        <w:t>8.4 Margins and cash conversion</w:t>
      </w:r>
    </w:p>
    <w:p>
      <w:pPr>
        <w:keepNext/>
        <w:spacing w:before="80" w:after="40"/>
      </w:pPr>
      <w:r>
        <w:rPr>
          <w:b/>
          <w:i w:val="0"/>
          <w:color w:val="1F3864"/>
          <w:sz w:val="17"/>
        </w:rPr>
        <w:t>Exhibit 8.5 — Margin and cash-conversion ratios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3716"/>
        <w:gridCol w:w="1215"/>
        <w:gridCol w:w="1215"/>
        <w:gridCol w:w="1215"/>
        <w:gridCol w:w="1215"/>
        <w:gridCol w:w="1215"/>
      </w:tblGrid>
      <w:tr>
        <w:trPr>
          <w:cantSplit/>
          <w:tblHeader/>
        </w:trPr>
        <w:tc>
          <w:tcPr>
            <w:tcW w:type="dxa" w:w="3717"/>
            <w:shd w:val="clear" w:color="auto" w:fill="1F3864"/>
          </w:tcPr>
          <w:p>
            <w:pPr>
              <w:spacing w:after="0" w:line="240" w:lineRule="auto"/>
            </w:pPr>
          </w:p>
        </w:tc>
        <w:tc>
          <w:tcPr>
            <w:tcW w:type="dxa" w:w="1215"/>
            <w:shd w:val="clear" w:color="auto" w:fill="1F3864"/>
          </w:tcPr>
          <w:p>
            <w:pPr>
              <w:spacing w:after="0" w:line="240" w:lineRule="auto"/>
              <w:jc w:val="right"/>
            </w:pPr>
            <w:r>
              <w:rPr>
                <w:b/>
                <w:i w:val="0"/>
                <w:color w:val="FFFFFF"/>
                <w:sz w:val="16"/>
              </w:rPr>
              <w:t>FY2023</w:t>
            </w:r>
          </w:p>
        </w:tc>
        <w:tc>
          <w:tcPr>
            <w:tcW w:type="dxa" w:w="1215"/>
            <w:shd w:val="clear" w:color="auto" w:fill="1F3864"/>
          </w:tcPr>
          <w:p>
            <w:pPr>
              <w:spacing w:after="0" w:line="240" w:lineRule="auto"/>
              <w:jc w:val="right"/>
            </w:pPr>
            <w:r>
              <w:rPr>
                <w:b/>
                <w:i w:val="0"/>
                <w:color w:val="FFFFFF"/>
                <w:sz w:val="16"/>
              </w:rPr>
              <w:t>FY2024</w:t>
            </w:r>
          </w:p>
        </w:tc>
        <w:tc>
          <w:tcPr>
            <w:tcW w:type="dxa" w:w="1215"/>
            <w:shd w:val="clear" w:color="auto" w:fill="1F3864"/>
          </w:tcPr>
          <w:p>
            <w:pPr>
              <w:spacing w:after="0" w:line="240" w:lineRule="auto"/>
              <w:jc w:val="right"/>
            </w:pPr>
            <w:r>
              <w:rPr>
                <w:b/>
                <w:i w:val="0"/>
                <w:color w:val="FFFFFF"/>
                <w:sz w:val="16"/>
              </w:rPr>
              <w:t>FY2025</w:t>
            </w:r>
          </w:p>
        </w:tc>
        <w:tc>
          <w:tcPr>
            <w:tcW w:type="dxa" w:w="1215"/>
            <w:shd w:val="clear" w:color="auto" w:fill="1F3864"/>
          </w:tcPr>
          <w:p>
            <w:pPr>
              <w:spacing w:after="0" w:line="240" w:lineRule="auto"/>
              <w:jc w:val="right"/>
            </w:pPr>
            <w:r>
              <w:rPr>
                <w:b/>
                <w:i w:val="0"/>
                <w:color w:val="FFFFFF"/>
                <w:sz w:val="16"/>
              </w:rPr>
              <w:t>6M-2025</w:t>
            </w:r>
          </w:p>
        </w:tc>
        <w:tc>
          <w:tcPr>
            <w:tcW w:type="dxa" w:w="1215"/>
            <w:shd w:val="clear" w:color="auto" w:fill="1F3864"/>
          </w:tcPr>
          <w:p>
            <w:pPr>
              <w:spacing w:after="0" w:line="240" w:lineRule="auto"/>
              <w:jc w:val="right"/>
            </w:pPr>
            <w:r>
              <w:rPr>
                <w:b/>
                <w:i w:val="0"/>
                <w:color w:val="FFFFFF"/>
                <w:sz w:val="16"/>
              </w:rPr>
              <w:t>6M-2026</w:t>
            </w:r>
          </w:p>
        </w:tc>
      </w:tr>
      <w:tr>
        <w:trPr>
          <w:cantSplit/>
        </w:trPr>
        <w:tc>
          <w:tcPr>
            <w:tcW w:type="dxa" w:w="3717"/>
          </w:tcPr>
          <w:p>
            <w:pPr>
              <w:spacing w:after="0" w:line="240" w:lineRule="auto"/>
            </w:pPr>
            <w:r>
              <w:rPr>
                <w:b w:val="0"/>
                <w:i w:val="0"/>
                <w:sz w:val="16"/>
              </w:rPr>
              <w:t xml:space="preserve">Adj. EBITDA margin </w:t>
            </w:r>
            <w:r>
              <w:rPr>
                <w:b/>
                <w:color w:val="2E548C"/>
                <w:sz w:val="13"/>
              </w:rPr>
              <w:t>[C]</w:t>
            </w:r>
          </w:p>
        </w:tc>
        <w:tc>
          <w:tcPr>
            <w:tcW w:type="dxa" w:w="1215"/>
          </w:tcPr>
          <w:p>
            <w:pPr>
              <w:spacing w:after="0" w:line="240" w:lineRule="auto"/>
              <w:jc w:val="right"/>
            </w:pPr>
            <w:r>
              <w:rPr>
                <w:b w:val="0"/>
                <w:i w:val="0"/>
                <w:sz w:val="16"/>
              </w:rPr>
              <w:t>40.3%</w:t>
            </w:r>
          </w:p>
        </w:tc>
        <w:tc>
          <w:tcPr>
            <w:tcW w:type="dxa" w:w="1215"/>
          </w:tcPr>
          <w:p>
            <w:pPr>
              <w:spacing w:after="0" w:line="240" w:lineRule="auto"/>
              <w:jc w:val="right"/>
            </w:pPr>
            <w:r>
              <w:rPr>
                <w:b w:val="0"/>
                <w:i w:val="0"/>
                <w:sz w:val="16"/>
              </w:rPr>
              <w:t>40.8%</w:t>
            </w:r>
          </w:p>
        </w:tc>
        <w:tc>
          <w:tcPr>
            <w:tcW w:type="dxa" w:w="1215"/>
          </w:tcPr>
          <w:p>
            <w:pPr>
              <w:spacing w:after="0" w:line="240" w:lineRule="auto"/>
              <w:jc w:val="right"/>
            </w:pPr>
            <w:r>
              <w:rPr>
                <w:b w:val="0"/>
                <w:i w:val="0"/>
                <w:sz w:val="16"/>
              </w:rPr>
              <w:t>40.6%</w:t>
            </w:r>
          </w:p>
        </w:tc>
        <w:tc>
          <w:tcPr>
            <w:tcW w:type="dxa" w:w="1215"/>
          </w:tcPr>
          <w:p>
            <w:pPr>
              <w:spacing w:after="0" w:line="240" w:lineRule="auto"/>
              <w:jc w:val="right"/>
            </w:pPr>
            <w:r>
              <w:rPr>
                <w:b w:val="0"/>
                <w:i w:val="0"/>
                <w:sz w:val="16"/>
              </w:rPr>
              <w:t>41.6%</w:t>
            </w:r>
          </w:p>
        </w:tc>
        <w:tc>
          <w:tcPr>
            <w:tcW w:type="dxa" w:w="1215"/>
          </w:tcPr>
          <w:p>
            <w:pPr>
              <w:spacing w:after="0" w:line="240" w:lineRule="auto"/>
              <w:jc w:val="right"/>
            </w:pPr>
            <w:r>
              <w:rPr>
                <w:b w:val="0"/>
                <w:i w:val="0"/>
                <w:sz w:val="16"/>
              </w:rPr>
              <w:t>41.8%</w:t>
            </w:r>
          </w:p>
        </w:tc>
      </w:tr>
      <w:tr>
        <w:trPr>
          <w:cantSplit/>
        </w:trPr>
        <w:tc>
          <w:tcPr>
            <w:tcW w:type="dxa" w:w="3717"/>
            <w:shd w:val="clear" w:color="auto" w:fill="D9E1F2"/>
          </w:tcPr>
          <w:p>
            <w:pPr>
              <w:spacing w:after="0" w:line="240" w:lineRule="auto"/>
            </w:pPr>
            <w:r>
              <w:rPr>
                <w:b w:val="0"/>
                <w:i w:val="0"/>
                <w:sz w:val="16"/>
              </w:rPr>
              <w:t xml:space="preserve">CARFAX Adj. EBITDA margin </w:t>
            </w:r>
            <w:r>
              <w:rPr>
                <w:b/>
                <w:color w:val="2E548C"/>
                <w:sz w:val="13"/>
              </w:rPr>
              <w:t>[C]</w:t>
            </w:r>
          </w:p>
        </w:tc>
        <w:tc>
          <w:tcPr>
            <w:tcW w:type="dxa" w:w="1215"/>
            <w:shd w:val="clear" w:color="auto" w:fill="D9E1F2"/>
          </w:tcPr>
          <w:p>
            <w:pPr>
              <w:spacing w:after="0" w:line="240" w:lineRule="auto"/>
              <w:jc w:val="right"/>
            </w:pPr>
            <w:r>
              <w:rPr>
                <w:b w:val="0"/>
                <w:i w:val="0"/>
                <w:sz w:val="16"/>
              </w:rPr>
              <w:t>45.5%</w:t>
            </w:r>
          </w:p>
        </w:tc>
        <w:tc>
          <w:tcPr>
            <w:tcW w:type="dxa" w:w="1215"/>
            <w:shd w:val="clear" w:color="auto" w:fill="D9E1F2"/>
          </w:tcPr>
          <w:p>
            <w:pPr>
              <w:spacing w:after="0" w:line="240" w:lineRule="auto"/>
              <w:jc w:val="right"/>
            </w:pPr>
            <w:r>
              <w:rPr>
                <w:b w:val="0"/>
                <w:i w:val="0"/>
                <w:sz w:val="16"/>
              </w:rPr>
              <w:t>45.8%</w:t>
            </w:r>
          </w:p>
        </w:tc>
        <w:tc>
          <w:tcPr>
            <w:tcW w:type="dxa" w:w="1215"/>
            <w:shd w:val="clear" w:color="auto" w:fill="D9E1F2"/>
          </w:tcPr>
          <w:p>
            <w:pPr>
              <w:spacing w:after="0" w:line="240" w:lineRule="auto"/>
              <w:jc w:val="right"/>
            </w:pPr>
            <w:r>
              <w:rPr>
                <w:b w:val="0"/>
                <w:i w:val="0"/>
                <w:sz w:val="16"/>
              </w:rPr>
              <w:t>46.9%</w:t>
            </w:r>
          </w:p>
        </w:tc>
        <w:tc>
          <w:tcPr>
            <w:tcW w:type="dxa" w:w="1215"/>
            <w:shd w:val="clear" w:color="auto" w:fill="D9E1F2"/>
          </w:tcPr>
          <w:p>
            <w:pPr>
              <w:spacing w:after="0" w:line="240" w:lineRule="auto"/>
              <w:jc w:val="right"/>
            </w:pPr>
            <w:r>
              <w:rPr>
                <w:b w:val="0"/>
                <w:i w:val="0"/>
                <w:sz w:val="16"/>
              </w:rPr>
              <w:t>—</w:t>
            </w:r>
          </w:p>
        </w:tc>
        <w:tc>
          <w:tcPr>
            <w:tcW w:type="dxa" w:w="1215"/>
            <w:shd w:val="clear" w:color="auto" w:fill="D9E1F2"/>
          </w:tcPr>
          <w:p>
            <w:pPr>
              <w:spacing w:after="0" w:line="240" w:lineRule="auto"/>
              <w:jc w:val="right"/>
            </w:pPr>
            <w:r>
              <w:rPr>
                <w:b w:val="0"/>
                <w:i w:val="0"/>
                <w:sz w:val="16"/>
              </w:rPr>
              <w:t>48.0%</w:t>
            </w:r>
          </w:p>
        </w:tc>
      </w:tr>
      <w:tr>
        <w:trPr>
          <w:cantSplit/>
        </w:trPr>
        <w:tc>
          <w:tcPr>
            <w:tcW w:type="dxa" w:w="3717"/>
          </w:tcPr>
          <w:p>
            <w:pPr>
              <w:spacing w:after="0" w:line="240" w:lineRule="auto"/>
            </w:pPr>
            <w:r>
              <w:rPr>
                <w:b w:val="0"/>
                <w:i w:val="0"/>
                <w:sz w:val="16"/>
              </w:rPr>
              <w:t xml:space="preserve">B2B Adj. EBITDA margin </w:t>
            </w:r>
            <w:r>
              <w:rPr>
                <w:b/>
                <w:color w:val="2E548C"/>
                <w:sz w:val="13"/>
              </w:rPr>
              <w:t>[C]</w:t>
            </w:r>
          </w:p>
        </w:tc>
        <w:tc>
          <w:tcPr>
            <w:tcW w:type="dxa" w:w="1215"/>
          </w:tcPr>
          <w:p>
            <w:pPr>
              <w:spacing w:after="0" w:line="240" w:lineRule="auto"/>
              <w:jc w:val="right"/>
            </w:pPr>
            <w:r>
              <w:rPr>
                <w:b w:val="0"/>
                <w:i w:val="0"/>
                <w:sz w:val="16"/>
              </w:rPr>
              <w:t>34.3%</w:t>
            </w:r>
          </w:p>
        </w:tc>
        <w:tc>
          <w:tcPr>
            <w:tcW w:type="dxa" w:w="1215"/>
          </w:tcPr>
          <w:p>
            <w:pPr>
              <w:spacing w:after="0" w:line="240" w:lineRule="auto"/>
              <w:jc w:val="right"/>
            </w:pPr>
            <w:r>
              <w:rPr>
                <w:b w:val="0"/>
                <w:i w:val="0"/>
                <w:sz w:val="16"/>
              </w:rPr>
              <w:t>35.4%</w:t>
            </w:r>
          </w:p>
        </w:tc>
        <w:tc>
          <w:tcPr>
            <w:tcW w:type="dxa" w:w="1215"/>
          </w:tcPr>
          <w:p>
            <w:pPr>
              <w:spacing w:after="0" w:line="240" w:lineRule="auto"/>
              <w:jc w:val="right"/>
            </w:pPr>
            <w:r>
              <w:rPr>
                <w:b w:val="0"/>
                <w:i w:val="0"/>
                <w:sz w:val="16"/>
              </w:rPr>
              <w:t>32.4%</w:t>
            </w:r>
          </w:p>
        </w:tc>
        <w:tc>
          <w:tcPr>
            <w:tcW w:type="dxa" w:w="1215"/>
          </w:tcPr>
          <w:p>
            <w:pPr>
              <w:spacing w:after="0" w:line="240" w:lineRule="auto"/>
              <w:jc w:val="right"/>
            </w:pPr>
            <w:r>
              <w:rPr>
                <w:b w:val="0"/>
                <w:i w:val="0"/>
                <w:sz w:val="16"/>
              </w:rPr>
              <w:t>—</w:t>
            </w:r>
          </w:p>
        </w:tc>
        <w:tc>
          <w:tcPr>
            <w:tcW w:type="dxa" w:w="1215"/>
          </w:tcPr>
          <w:p>
            <w:pPr>
              <w:spacing w:after="0" w:line="240" w:lineRule="auto"/>
              <w:jc w:val="right"/>
            </w:pPr>
            <w:r>
              <w:rPr>
                <w:b w:val="0"/>
                <w:i w:val="0"/>
                <w:sz w:val="16"/>
              </w:rPr>
              <w:t>32.6%</w:t>
            </w:r>
          </w:p>
        </w:tc>
      </w:tr>
      <w:tr>
        <w:trPr>
          <w:cantSplit/>
        </w:trPr>
        <w:tc>
          <w:tcPr>
            <w:tcW w:type="dxa" w:w="3717"/>
            <w:shd w:val="clear" w:color="auto" w:fill="D9E1F2"/>
          </w:tcPr>
          <w:p>
            <w:pPr>
              <w:spacing w:after="0" w:line="240" w:lineRule="auto"/>
            </w:pPr>
            <w:r>
              <w:rPr>
                <w:b w:val="0"/>
                <w:i w:val="0"/>
                <w:sz w:val="16"/>
              </w:rPr>
              <w:t xml:space="preserve">GAAP operating margin </w:t>
            </w:r>
            <w:r>
              <w:rPr>
                <w:b/>
                <w:color w:val="2E548C"/>
                <w:sz w:val="13"/>
              </w:rPr>
              <w:t>[C]</w:t>
            </w:r>
          </w:p>
        </w:tc>
        <w:tc>
          <w:tcPr>
            <w:tcW w:type="dxa" w:w="1215"/>
            <w:shd w:val="clear" w:color="auto" w:fill="D9E1F2"/>
          </w:tcPr>
          <w:p>
            <w:pPr>
              <w:spacing w:after="0" w:line="240" w:lineRule="auto"/>
              <w:jc w:val="right"/>
            </w:pPr>
            <w:r>
              <w:rPr>
                <w:b w:val="0"/>
                <w:i w:val="0"/>
                <w:sz w:val="16"/>
              </w:rPr>
              <w:t>16.1%</w:t>
            </w:r>
          </w:p>
        </w:tc>
        <w:tc>
          <w:tcPr>
            <w:tcW w:type="dxa" w:w="1215"/>
            <w:shd w:val="clear" w:color="auto" w:fill="D9E1F2"/>
          </w:tcPr>
          <w:p>
            <w:pPr>
              <w:spacing w:after="0" w:line="240" w:lineRule="auto"/>
              <w:jc w:val="right"/>
            </w:pPr>
            <w:r>
              <w:rPr>
                <w:b w:val="0"/>
                <w:i w:val="0"/>
                <w:sz w:val="16"/>
              </w:rPr>
              <w:t>18.5%</w:t>
            </w:r>
          </w:p>
        </w:tc>
        <w:tc>
          <w:tcPr>
            <w:tcW w:type="dxa" w:w="1215"/>
            <w:shd w:val="clear" w:color="auto" w:fill="D9E1F2"/>
          </w:tcPr>
          <w:p>
            <w:pPr>
              <w:spacing w:after="0" w:line="240" w:lineRule="auto"/>
              <w:jc w:val="right"/>
            </w:pPr>
            <w:r>
              <w:rPr>
                <w:b w:val="0"/>
                <w:i w:val="0"/>
                <w:sz w:val="16"/>
              </w:rPr>
              <w:t>19.4%</w:t>
            </w:r>
          </w:p>
        </w:tc>
        <w:tc>
          <w:tcPr>
            <w:tcW w:type="dxa" w:w="1215"/>
            <w:shd w:val="clear" w:color="auto" w:fill="D9E1F2"/>
          </w:tcPr>
          <w:p>
            <w:pPr>
              <w:spacing w:after="0" w:line="240" w:lineRule="auto"/>
              <w:jc w:val="right"/>
            </w:pPr>
            <w:r>
              <w:rPr>
                <w:b w:val="0"/>
                <w:i w:val="0"/>
                <w:sz w:val="16"/>
              </w:rPr>
              <w:t>21.0%</w:t>
            </w:r>
          </w:p>
        </w:tc>
        <w:tc>
          <w:tcPr>
            <w:tcW w:type="dxa" w:w="1215"/>
            <w:shd w:val="clear" w:color="auto" w:fill="D9E1F2"/>
          </w:tcPr>
          <w:p>
            <w:pPr>
              <w:spacing w:after="0" w:line="240" w:lineRule="auto"/>
              <w:jc w:val="right"/>
            </w:pPr>
            <w:r>
              <w:rPr>
                <w:b w:val="0"/>
                <w:i w:val="0"/>
                <w:sz w:val="16"/>
              </w:rPr>
              <w:t>17.7%</w:t>
            </w:r>
          </w:p>
        </w:tc>
      </w:tr>
      <w:tr>
        <w:trPr>
          <w:cantSplit/>
        </w:trPr>
        <w:tc>
          <w:tcPr>
            <w:tcW w:type="dxa" w:w="3717"/>
          </w:tcPr>
          <w:p>
            <w:pPr>
              <w:spacing w:after="0" w:line="240" w:lineRule="auto"/>
            </w:pPr>
            <w:r>
              <w:rPr>
                <w:b w:val="0"/>
                <w:i w:val="0"/>
                <w:sz w:val="16"/>
              </w:rPr>
              <w:t xml:space="preserve">Operating profit + D&amp;A margin </w:t>
            </w:r>
            <w:r>
              <w:rPr>
                <w:b/>
                <w:color w:val="2E548C"/>
                <w:sz w:val="13"/>
              </w:rPr>
              <w:t>[C]</w:t>
            </w:r>
          </w:p>
        </w:tc>
        <w:tc>
          <w:tcPr>
            <w:tcW w:type="dxa" w:w="1215"/>
          </w:tcPr>
          <w:p>
            <w:pPr>
              <w:spacing w:after="0" w:line="240" w:lineRule="auto"/>
              <w:jc w:val="right"/>
            </w:pPr>
            <w:r>
              <w:rPr>
                <w:b w:val="0"/>
                <w:i w:val="0"/>
                <w:sz w:val="16"/>
              </w:rPr>
              <w:t>36.8%</w:t>
            </w:r>
          </w:p>
        </w:tc>
        <w:tc>
          <w:tcPr>
            <w:tcW w:type="dxa" w:w="1215"/>
          </w:tcPr>
          <w:p>
            <w:pPr>
              <w:spacing w:after="0" w:line="240" w:lineRule="auto"/>
              <w:jc w:val="right"/>
            </w:pPr>
            <w:r>
              <w:rPr>
                <w:b w:val="0"/>
                <w:i w:val="0"/>
                <w:sz w:val="16"/>
              </w:rPr>
              <w:t>37.6%</w:t>
            </w:r>
          </w:p>
        </w:tc>
        <w:tc>
          <w:tcPr>
            <w:tcW w:type="dxa" w:w="1215"/>
          </w:tcPr>
          <w:p>
            <w:pPr>
              <w:spacing w:after="0" w:line="240" w:lineRule="auto"/>
              <w:jc w:val="right"/>
            </w:pPr>
            <w:r>
              <w:rPr>
                <w:b w:val="0"/>
                <w:i w:val="0"/>
                <w:sz w:val="16"/>
              </w:rPr>
              <w:t>37.1%</w:t>
            </w:r>
          </w:p>
        </w:tc>
        <w:tc>
          <w:tcPr>
            <w:tcW w:type="dxa" w:w="1215"/>
          </w:tcPr>
          <w:p>
            <w:pPr>
              <w:spacing w:after="0" w:line="240" w:lineRule="auto"/>
              <w:jc w:val="right"/>
            </w:pPr>
            <w:r>
              <w:rPr>
                <w:b w:val="0"/>
                <w:i w:val="0"/>
                <w:sz w:val="16"/>
              </w:rPr>
              <w:t>39.0%</w:t>
            </w:r>
          </w:p>
        </w:tc>
        <w:tc>
          <w:tcPr>
            <w:tcW w:type="dxa" w:w="1215"/>
          </w:tcPr>
          <w:p>
            <w:pPr>
              <w:spacing w:after="0" w:line="240" w:lineRule="auto"/>
              <w:jc w:val="right"/>
            </w:pPr>
            <w:r>
              <w:rPr>
                <w:b w:val="0"/>
                <w:i w:val="0"/>
                <w:sz w:val="16"/>
              </w:rPr>
              <w:t>34.5%</w:t>
            </w:r>
          </w:p>
        </w:tc>
      </w:tr>
      <w:tr>
        <w:trPr>
          <w:cantSplit/>
        </w:trPr>
        <w:tc>
          <w:tcPr>
            <w:tcW w:type="dxa" w:w="3717"/>
            <w:shd w:val="clear" w:color="auto" w:fill="D9E1F2"/>
          </w:tcPr>
          <w:p>
            <w:pPr>
              <w:spacing w:after="0" w:line="240" w:lineRule="auto"/>
            </w:pPr>
            <w:r>
              <w:rPr>
                <w:b w:val="0"/>
                <w:i w:val="0"/>
                <w:sz w:val="16"/>
              </w:rPr>
              <w:t xml:space="preserve">SBC / revenue </w:t>
            </w:r>
            <w:r>
              <w:rPr>
                <w:b/>
                <w:color w:val="2E548C"/>
                <w:sz w:val="13"/>
              </w:rPr>
              <w:t>[C]</w:t>
            </w:r>
          </w:p>
        </w:tc>
        <w:tc>
          <w:tcPr>
            <w:tcW w:type="dxa" w:w="1215"/>
            <w:shd w:val="clear" w:color="auto" w:fill="D9E1F2"/>
          </w:tcPr>
          <w:p>
            <w:pPr>
              <w:spacing w:after="0" w:line="240" w:lineRule="auto"/>
              <w:jc w:val="right"/>
            </w:pPr>
            <w:r>
              <w:rPr>
                <w:b w:val="0"/>
                <w:i w:val="0"/>
                <w:sz w:val="16"/>
              </w:rPr>
              <w:t>1.3%</w:t>
            </w:r>
          </w:p>
        </w:tc>
        <w:tc>
          <w:tcPr>
            <w:tcW w:type="dxa" w:w="1215"/>
            <w:shd w:val="clear" w:color="auto" w:fill="D9E1F2"/>
          </w:tcPr>
          <w:p>
            <w:pPr>
              <w:spacing w:after="0" w:line="240" w:lineRule="auto"/>
              <w:jc w:val="right"/>
            </w:pPr>
            <w:r>
              <w:rPr>
                <w:b w:val="0"/>
                <w:i w:val="0"/>
                <w:sz w:val="16"/>
              </w:rPr>
              <w:t>1.7%</w:t>
            </w:r>
          </w:p>
        </w:tc>
        <w:tc>
          <w:tcPr>
            <w:tcW w:type="dxa" w:w="1215"/>
            <w:shd w:val="clear" w:color="auto" w:fill="D9E1F2"/>
          </w:tcPr>
          <w:p>
            <w:pPr>
              <w:spacing w:after="0" w:line="240" w:lineRule="auto"/>
              <w:jc w:val="right"/>
            </w:pPr>
            <w:r>
              <w:rPr>
                <w:b w:val="0"/>
                <w:i w:val="0"/>
                <w:sz w:val="16"/>
              </w:rPr>
              <w:t>1.3%</w:t>
            </w:r>
          </w:p>
        </w:tc>
        <w:tc>
          <w:tcPr>
            <w:tcW w:type="dxa" w:w="1215"/>
            <w:shd w:val="clear" w:color="auto" w:fill="D9E1F2"/>
          </w:tcPr>
          <w:p>
            <w:pPr>
              <w:spacing w:after="0" w:line="240" w:lineRule="auto"/>
              <w:jc w:val="right"/>
            </w:pPr>
            <w:r>
              <w:rPr>
                <w:b w:val="0"/>
                <w:i w:val="0"/>
                <w:sz w:val="16"/>
              </w:rPr>
              <w:t>1.0%</w:t>
            </w:r>
          </w:p>
        </w:tc>
        <w:tc>
          <w:tcPr>
            <w:tcW w:type="dxa" w:w="1215"/>
            <w:shd w:val="clear" w:color="auto" w:fill="D9E1F2"/>
          </w:tcPr>
          <w:p>
            <w:pPr>
              <w:spacing w:after="0" w:line="240" w:lineRule="auto"/>
              <w:jc w:val="right"/>
            </w:pPr>
            <w:r>
              <w:rPr>
                <w:b w:val="0"/>
                <w:i w:val="0"/>
                <w:sz w:val="16"/>
              </w:rPr>
              <w:t>1.0%</w:t>
            </w:r>
          </w:p>
        </w:tc>
      </w:tr>
      <w:tr>
        <w:trPr>
          <w:cantSplit/>
        </w:trPr>
        <w:tc>
          <w:tcPr>
            <w:tcW w:type="dxa" w:w="3717"/>
          </w:tcPr>
          <w:p>
            <w:pPr>
              <w:spacing w:after="0" w:line="240" w:lineRule="auto"/>
            </w:pPr>
            <w:r>
              <w:rPr>
                <w:b w:val="0"/>
                <w:i w:val="0"/>
                <w:sz w:val="16"/>
              </w:rPr>
              <w:t xml:space="preserve">Capex / revenue </w:t>
            </w:r>
            <w:r>
              <w:rPr>
                <w:b/>
                <w:color w:val="2E548C"/>
                <w:sz w:val="13"/>
              </w:rPr>
              <w:t>[C]</w:t>
            </w:r>
          </w:p>
        </w:tc>
        <w:tc>
          <w:tcPr>
            <w:tcW w:type="dxa" w:w="1215"/>
          </w:tcPr>
          <w:p>
            <w:pPr>
              <w:spacing w:after="0" w:line="240" w:lineRule="auto"/>
              <w:jc w:val="right"/>
            </w:pPr>
            <w:r>
              <w:rPr>
                <w:b w:val="0"/>
                <w:i w:val="0"/>
                <w:sz w:val="16"/>
              </w:rPr>
              <w:t>1.2%</w:t>
            </w:r>
          </w:p>
        </w:tc>
        <w:tc>
          <w:tcPr>
            <w:tcW w:type="dxa" w:w="1215"/>
          </w:tcPr>
          <w:p>
            <w:pPr>
              <w:spacing w:after="0" w:line="240" w:lineRule="auto"/>
              <w:jc w:val="right"/>
            </w:pPr>
            <w:r>
              <w:rPr>
                <w:b w:val="0"/>
                <w:i w:val="0"/>
                <w:sz w:val="16"/>
              </w:rPr>
              <w:t>0.9%</w:t>
            </w:r>
          </w:p>
        </w:tc>
        <w:tc>
          <w:tcPr>
            <w:tcW w:type="dxa" w:w="1215"/>
          </w:tcPr>
          <w:p>
            <w:pPr>
              <w:spacing w:after="0" w:line="240" w:lineRule="auto"/>
              <w:jc w:val="right"/>
            </w:pPr>
            <w:r>
              <w:rPr>
                <w:b w:val="0"/>
                <w:i w:val="0"/>
                <w:sz w:val="16"/>
              </w:rPr>
              <w:t>1.4%</w:t>
            </w:r>
          </w:p>
        </w:tc>
        <w:tc>
          <w:tcPr>
            <w:tcW w:type="dxa" w:w="1215"/>
          </w:tcPr>
          <w:p>
            <w:pPr>
              <w:spacing w:after="0" w:line="240" w:lineRule="auto"/>
              <w:jc w:val="right"/>
            </w:pPr>
            <w:r>
              <w:rPr>
                <w:b w:val="0"/>
                <w:i w:val="0"/>
                <w:sz w:val="16"/>
              </w:rPr>
              <w:t>0.9%</w:t>
            </w:r>
          </w:p>
        </w:tc>
        <w:tc>
          <w:tcPr>
            <w:tcW w:type="dxa" w:w="1215"/>
          </w:tcPr>
          <w:p>
            <w:pPr>
              <w:spacing w:after="0" w:line="240" w:lineRule="auto"/>
              <w:jc w:val="right"/>
            </w:pPr>
            <w:r>
              <w:rPr>
                <w:b w:val="0"/>
                <w:i w:val="0"/>
                <w:sz w:val="16"/>
              </w:rPr>
              <w:t>1.3%</w:t>
            </w:r>
          </w:p>
        </w:tc>
      </w:tr>
      <w:tr>
        <w:trPr>
          <w:cantSplit/>
        </w:trPr>
        <w:tc>
          <w:tcPr>
            <w:tcW w:type="dxa" w:w="3717"/>
            <w:shd w:val="clear" w:color="auto" w:fill="D9E1F2"/>
          </w:tcPr>
          <w:p>
            <w:pPr>
              <w:spacing w:after="0" w:line="240" w:lineRule="auto"/>
            </w:pPr>
            <w:r>
              <w:rPr>
                <w:b w:val="0"/>
                <w:i w:val="0"/>
                <w:sz w:val="16"/>
              </w:rPr>
              <w:t xml:space="preserve">FCF margin </w:t>
            </w:r>
            <w:r>
              <w:rPr>
                <w:b/>
                <w:color w:val="2E548C"/>
                <w:sz w:val="13"/>
              </w:rPr>
              <w:t>[C]</w:t>
            </w:r>
          </w:p>
        </w:tc>
        <w:tc>
          <w:tcPr>
            <w:tcW w:type="dxa" w:w="1215"/>
            <w:shd w:val="clear" w:color="auto" w:fill="D9E1F2"/>
          </w:tcPr>
          <w:p>
            <w:pPr>
              <w:spacing w:after="0" w:line="240" w:lineRule="auto"/>
              <w:jc w:val="right"/>
            </w:pPr>
            <w:r>
              <w:rPr>
                <w:b w:val="0"/>
                <w:i w:val="0"/>
                <w:sz w:val="16"/>
              </w:rPr>
              <w:t>25.3%</w:t>
            </w:r>
          </w:p>
        </w:tc>
        <w:tc>
          <w:tcPr>
            <w:tcW w:type="dxa" w:w="1215"/>
            <w:shd w:val="clear" w:color="auto" w:fill="D9E1F2"/>
          </w:tcPr>
          <w:p>
            <w:pPr>
              <w:spacing w:after="0" w:line="240" w:lineRule="auto"/>
              <w:jc w:val="right"/>
            </w:pPr>
            <w:r>
              <w:rPr>
                <w:b w:val="0"/>
                <w:i w:val="0"/>
                <w:sz w:val="16"/>
              </w:rPr>
              <w:t>25.5%</w:t>
            </w:r>
          </w:p>
        </w:tc>
        <w:tc>
          <w:tcPr>
            <w:tcW w:type="dxa" w:w="1215"/>
            <w:shd w:val="clear" w:color="auto" w:fill="D9E1F2"/>
          </w:tcPr>
          <w:p>
            <w:pPr>
              <w:spacing w:after="0" w:line="240" w:lineRule="auto"/>
              <w:jc w:val="right"/>
            </w:pPr>
            <w:r>
              <w:rPr>
                <w:b w:val="0"/>
                <w:i w:val="0"/>
                <w:sz w:val="16"/>
              </w:rPr>
              <w:t>26.3%</w:t>
            </w:r>
          </w:p>
        </w:tc>
        <w:tc>
          <w:tcPr>
            <w:tcW w:type="dxa" w:w="1215"/>
            <w:shd w:val="clear" w:color="auto" w:fill="D9E1F2"/>
          </w:tcPr>
          <w:p>
            <w:pPr>
              <w:spacing w:after="0" w:line="240" w:lineRule="auto"/>
              <w:jc w:val="right"/>
            </w:pPr>
            <w:r>
              <w:rPr>
                <w:b w:val="0"/>
                <w:i w:val="0"/>
                <w:sz w:val="16"/>
              </w:rPr>
              <w:t>26.2%</w:t>
            </w:r>
          </w:p>
        </w:tc>
        <w:tc>
          <w:tcPr>
            <w:tcW w:type="dxa" w:w="1215"/>
            <w:shd w:val="clear" w:color="auto" w:fill="D9E1F2"/>
          </w:tcPr>
          <w:p>
            <w:pPr>
              <w:spacing w:after="0" w:line="240" w:lineRule="auto"/>
              <w:jc w:val="right"/>
            </w:pPr>
            <w:r>
              <w:rPr>
                <w:b w:val="0"/>
                <w:i w:val="0"/>
                <w:sz w:val="16"/>
              </w:rPr>
              <w:t>19.2%</w:t>
            </w:r>
          </w:p>
        </w:tc>
      </w:tr>
      <w:tr>
        <w:trPr>
          <w:cantSplit/>
        </w:trPr>
        <w:tc>
          <w:tcPr>
            <w:tcW w:type="dxa" w:w="3717"/>
          </w:tcPr>
          <w:p>
            <w:pPr>
              <w:spacing w:after="0" w:line="240" w:lineRule="auto"/>
            </w:pPr>
            <w:r>
              <w:rPr>
                <w:b w:val="0"/>
                <w:i w:val="0"/>
                <w:sz w:val="16"/>
              </w:rPr>
              <w:t xml:space="preserve">FCF / Adj. EBITDA </w:t>
            </w:r>
            <w:r>
              <w:rPr>
                <w:b/>
                <w:color w:val="2E548C"/>
                <w:sz w:val="13"/>
              </w:rPr>
              <w:t>[C]</w:t>
            </w:r>
          </w:p>
        </w:tc>
        <w:tc>
          <w:tcPr>
            <w:tcW w:type="dxa" w:w="1215"/>
          </w:tcPr>
          <w:p>
            <w:pPr>
              <w:spacing w:after="0" w:line="240" w:lineRule="auto"/>
              <w:jc w:val="right"/>
            </w:pPr>
            <w:r>
              <w:rPr>
                <w:b w:val="0"/>
                <w:i w:val="0"/>
                <w:sz w:val="16"/>
              </w:rPr>
              <w:t>63%</w:t>
            </w:r>
          </w:p>
        </w:tc>
        <w:tc>
          <w:tcPr>
            <w:tcW w:type="dxa" w:w="1215"/>
          </w:tcPr>
          <w:p>
            <w:pPr>
              <w:spacing w:after="0" w:line="240" w:lineRule="auto"/>
              <w:jc w:val="right"/>
            </w:pPr>
            <w:r>
              <w:rPr>
                <w:b w:val="0"/>
                <w:i w:val="0"/>
                <w:sz w:val="16"/>
              </w:rPr>
              <w:t>63%</w:t>
            </w:r>
          </w:p>
        </w:tc>
        <w:tc>
          <w:tcPr>
            <w:tcW w:type="dxa" w:w="1215"/>
          </w:tcPr>
          <w:p>
            <w:pPr>
              <w:spacing w:after="0" w:line="240" w:lineRule="auto"/>
              <w:jc w:val="right"/>
            </w:pPr>
            <w:r>
              <w:rPr>
                <w:b w:val="0"/>
                <w:i w:val="0"/>
                <w:sz w:val="16"/>
              </w:rPr>
              <w:t>65%</w:t>
            </w:r>
          </w:p>
        </w:tc>
        <w:tc>
          <w:tcPr>
            <w:tcW w:type="dxa" w:w="1215"/>
          </w:tcPr>
          <w:p>
            <w:pPr>
              <w:spacing w:after="0" w:line="240" w:lineRule="auto"/>
              <w:jc w:val="right"/>
            </w:pPr>
            <w:r>
              <w:rPr>
                <w:b w:val="0"/>
                <w:i w:val="0"/>
                <w:sz w:val="16"/>
              </w:rPr>
              <w:t>63%</w:t>
            </w:r>
          </w:p>
        </w:tc>
        <w:tc>
          <w:tcPr>
            <w:tcW w:type="dxa" w:w="1215"/>
          </w:tcPr>
          <w:p>
            <w:pPr>
              <w:spacing w:after="0" w:line="240" w:lineRule="auto"/>
              <w:jc w:val="right"/>
            </w:pPr>
            <w:r>
              <w:rPr>
                <w:b w:val="0"/>
                <w:i w:val="0"/>
                <w:sz w:val="16"/>
              </w:rPr>
              <w:t>46%</w:t>
            </w:r>
          </w:p>
        </w:tc>
      </w:tr>
      <w:tr>
        <w:trPr>
          <w:cantSplit/>
        </w:trPr>
        <w:tc>
          <w:tcPr>
            <w:tcW w:type="dxa" w:w="3717"/>
            <w:shd w:val="clear" w:color="auto" w:fill="D9E1F2"/>
          </w:tcPr>
          <w:p>
            <w:pPr>
              <w:spacing w:after="0" w:line="240" w:lineRule="auto"/>
            </w:pPr>
            <w:r>
              <w:rPr>
                <w:b w:val="0"/>
                <w:i w:val="0"/>
                <w:sz w:val="16"/>
              </w:rPr>
              <w:t xml:space="preserve">FCF / net income </w:t>
            </w:r>
            <w:r>
              <w:rPr>
                <w:b/>
                <w:color w:val="2E548C"/>
                <w:sz w:val="13"/>
              </w:rPr>
              <w:t>[C]</w:t>
            </w:r>
          </w:p>
        </w:tc>
        <w:tc>
          <w:tcPr>
            <w:tcW w:type="dxa" w:w="1215"/>
            <w:shd w:val="clear" w:color="auto" w:fill="D9E1F2"/>
          </w:tcPr>
          <w:p>
            <w:pPr>
              <w:spacing w:after="0" w:line="240" w:lineRule="auto"/>
              <w:jc w:val="right"/>
            </w:pPr>
            <w:r>
              <w:rPr>
                <w:b w:val="0"/>
                <w:i w:val="0"/>
                <w:sz w:val="16"/>
              </w:rPr>
              <w:t>230%</w:t>
            </w:r>
          </w:p>
        </w:tc>
        <w:tc>
          <w:tcPr>
            <w:tcW w:type="dxa" w:w="1215"/>
            <w:shd w:val="clear" w:color="auto" w:fill="D9E1F2"/>
          </w:tcPr>
          <w:p>
            <w:pPr>
              <w:spacing w:after="0" w:line="240" w:lineRule="auto"/>
              <w:jc w:val="right"/>
            </w:pPr>
            <w:r>
              <w:rPr>
                <w:b w:val="0"/>
                <w:i w:val="0"/>
                <w:sz w:val="16"/>
              </w:rPr>
              <w:t>198%</w:t>
            </w:r>
          </w:p>
        </w:tc>
        <w:tc>
          <w:tcPr>
            <w:tcW w:type="dxa" w:w="1215"/>
            <w:shd w:val="clear" w:color="auto" w:fill="D9E1F2"/>
          </w:tcPr>
          <w:p>
            <w:pPr>
              <w:spacing w:after="0" w:line="240" w:lineRule="auto"/>
              <w:jc w:val="right"/>
            </w:pPr>
            <w:r>
              <w:rPr>
                <w:b w:val="0"/>
                <w:i w:val="0"/>
                <w:sz w:val="16"/>
              </w:rPr>
              <w:t>210%</w:t>
            </w:r>
          </w:p>
        </w:tc>
        <w:tc>
          <w:tcPr>
            <w:tcW w:type="dxa" w:w="1215"/>
            <w:shd w:val="clear" w:color="auto" w:fill="D9E1F2"/>
          </w:tcPr>
          <w:p>
            <w:pPr>
              <w:spacing w:after="0" w:line="240" w:lineRule="auto"/>
              <w:jc w:val="right"/>
            </w:pPr>
            <w:r>
              <w:rPr>
                <w:b w:val="0"/>
                <w:i w:val="0"/>
                <w:sz w:val="16"/>
              </w:rPr>
              <w:t>183%</w:t>
            </w:r>
          </w:p>
        </w:tc>
        <w:tc>
          <w:tcPr>
            <w:tcW w:type="dxa" w:w="1215"/>
            <w:shd w:val="clear" w:color="auto" w:fill="D9E1F2"/>
          </w:tcPr>
          <w:p>
            <w:pPr>
              <w:spacing w:after="0" w:line="240" w:lineRule="auto"/>
              <w:jc w:val="right"/>
            </w:pPr>
            <w:r>
              <w:rPr>
                <w:b w:val="0"/>
                <w:i w:val="0"/>
                <w:sz w:val="16"/>
              </w:rPr>
              <w:t>164%</w:t>
            </w:r>
          </w:p>
        </w:tc>
      </w:tr>
      <w:tr>
        <w:trPr>
          <w:cantSplit/>
        </w:trPr>
        <w:tc>
          <w:tcPr>
            <w:tcW w:type="dxa" w:w="3717"/>
          </w:tcPr>
          <w:p>
            <w:pPr>
              <w:spacing w:after="0" w:line="240" w:lineRule="auto"/>
            </w:pPr>
            <w:r>
              <w:rPr>
                <w:b w:val="0"/>
                <w:i w:val="0"/>
                <w:sz w:val="16"/>
              </w:rPr>
              <w:t xml:space="preserve">Advertising / revenue </w:t>
            </w:r>
            <w:r>
              <w:rPr>
                <w:b/>
                <w:color w:val="2E548C"/>
                <w:sz w:val="13"/>
              </w:rPr>
              <w:t>[D/C]</w:t>
            </w:r>
          </w:p>
        </w:tc>
        <w:tc>
          <w:tcPr>
            <w:tcW w:type="dxa" w:w="1215"/>
          </w:tcPr>
          <w:p>
            <w:pPr>
              <w:spacing w:after="0" w:line="240" w:lineRule="auto"/>
              <w:jc w:val="right"/>
            </w:pPr>
            <w:r>
              <w:rPr>
                <w:b w:val="0"/>
                <w:i w:val="0"/>
                <w:sz w:val="16"/>
              </w:rPr>
              <w:t>9.0%</w:t>
            </w:r>
          </w:p>
        </w:tc>
        <w:tc>
          <w:tcPr>
            <w:tcW w:type="dxa" w:w="1215"/>
          </w:tcPr>
          <w:p>
            <w:pPr>
              <w:spacing w:after="0" w:line="240" w:lineRule="auto"/>
              <w:jc w:val="right"/>
            </w:pPr>
            <w:r>
              <w:rPr>
                <w:b w:val="0"/>
                <w:i w:val="0"/>
                <w:sz w:val="16"/>
              </w:rPr>
              <w:t>9.4%</w:t>
            </w:r>
          </w:p>
        </w:tc>
        <w:tc>
          <w:tcPr>
            <w:tcW w:type="dxa" w:w="1215"/>
          </w:tcPr>
          <w:p>
            <w:pPr>
              <w:spacing w:after="0" w:line="240" w:lineRule="auto"/>
              <w:jc w:val="right"/>
            </w:pPr>
            <w:r>
              <w:rPr>
                <w:b w:val="0"/>
                <w:i w:val="0"/>
                <w:sz w:val="16"/>
              </w:rPr>
              <w:t>10.1%</w:t>
            </w:r>
          </w:p>
        </w:tc>
        <w:tc>
          <w:tcPr>
            <w:tcW w:type="dxa" w:w="1215"/>
          </w:tcPr>
          <w:p>
            <w:pPr>
              <w:spacing w:after="0" w:line="240" w:lineRule="auto"/>
              <w:jc w:val="right"/>
            </w:pPr>
            <w:r>
              <w:rPr>
                <w:b w:val="0"/>
                <w:i w:val="0"/>
                <w:sz w:val="16"/>
              </w:rPr>
              <w:t>—</w:t>
            </w:r>
          </w:p>
        </w:tc>
        <w:tc>
          <w:tcPr>
            <w:tcW w:type="dxa" w:w="1215"/>
          </w:tcPr>
          <w:p>
            <w:pPr>
              <w:spacing w:after="0" w:line="240" w:lineRule="auto"/>
              <w:jc w:val="right"/>
            </w:pPr>
            <w:r>
              <w:rPr>
                <w:b w:val="0"/>
                <w:i w:val="0"/>
                <w:sz w:val="16"/>
              </w:rPr>
              <w:t>—</w:t>
            </w:r>
          </w:p>
        </w:tc>
      </w:tr>
    </w:tbl>
    <w:p>
      <w:pPr>
        <w:spacing w:after="120"/>
      </w:pPr>
      <w:r>
        <w:rPr>
          <w:b w:val="0"/>
          <w:i/>
          <w:color w:val="595959"/>
          <w:sz w:val="15"/>
        </w:rPr>
        <w:t xml:space="preserve">Source: computed from primary.csv and K_session_tables.md; segment margins from D3 §1; advertising from 10A p.450 (D2). Company-printed FCF conversion 63% / 63% / 65% ties </w:t>
      </w:r>
      <w:r>
        <w:rPr>
          <w:b/>
          <w:color w:val="2E548C"/>
          <w:sz w:val="12"/>
        </w:rPr>
        <w:t>[D]</w:t>
      </w:r>
      <w:r>
        <w:rPr>
          <w:b w:val="0"/>
          <w:i/>
          <w:color w:val="595959"/>
          <w:sz w:val="15"/>
        </w:rPr>
        <w:t>.</w:t>
      </w:r>
    </w:p>
    <w:p>
      <w:pPr>
        <w:pStyle w:val="ListBullet"/>
      </w:pPr>
      <w:r>
        <w:rPr>
          <w:b/>
          <w:i w:val="0"/>
        </w:rPr>
        <w:t>Margins are flat at ~40% on the generous measure</w:t>
      </w:r>
      <w:r>
        <w:rPr>
          <w:b w:val="0"/>
          <w:i w:val="0"/>
        </w:rPr>
        <w:t xml:space="preserve"> (40.3% → 40.8% → 40.6% </w:t>
      </w:r>
      <w:r>
        <w:rPr>
          <w:b/>
          <w:color w:val="2E548C"/>
          <w:sz w:val="16"/>
        </w:rPr>
        <w:t>[C]</w:t>
      </w:r>
      <w:r>
        <w:rPr>
          <w:b w:val="0"/>
          <w:i w:val="0"/>
        </w:rPr>
        <w:t xml:space="preserve">); GAAP operating margin rose 16.1% → 19.4% </w:t>
      </w:r>
      <w:r>
        <w:rPr>
          <w:b/>
          <w:color w:val="2E548C"/>
          <w:sz w:val="16"/>
        </w:rPr>
        <w:t>[C]</w:t>
      </w:r>
      <w:r>
        <w:rPr>
          <w:b w:val="0"/>
          <w:i w:val="0"/>
        </w:rPr>
        <w:t xml:space="preserve"> because ~$296m a year of IHS-merger amortization </w:t>
      </w:r>
      <w:r>
        <w:rPr>
          <w:b/>
          <w:color w:val="2E548C"/>
          <w:sz w:val="16"/>
        </w:rPr>
        <w:t>[D]</w:t>
      </w:r>
      <w:r>
        <w:rPr>
          <w:b w:val="0"/>
          <w:i w:val="0"/>
        </w:rPr>
        <w:t xml:space="preserve"> is fixed.</w:t>
      </w:r>
    </w:p>
    <w:p>
      <w:pPr>
        <w:pStyle w:val="ListBullet"/>
      </w:pPr>
      <w:r>
        <w:rPr>
          <w:b/>
          <w:i w:val="0"/>
        </w:rPr>
        <w:t>Cash conversion is high and capex-light:</w:t>
      </w:r>
      <w:r>
        <w:rPr>
          <w:b w:val="0"/>
          <w:i w:val="0"/>
        </w:rPr>
        <w:t xml:space="preserve"> FCF/Adj. EBITDA 63–65% FY23–25 </w:t>
      </w:r>
      <w:r>
        <w:rPr>
          <w:b/>
          <w:color w:val="2E548C"/>
          <w:sz w:val="16"/>
        </w:rPr>
        <w:t>[C]</w:t>
      </w:r>
      <w:r>
        <w:rPr>
          <w:b w:val="0"/>
          <w:i w:val="0"/>
        </w:rPr>
        <w:t xml:space="preserve">. 6M-26 fell to 46% </w:t>
      </w:r>
      <w:r>
        <w:rPr>
          <w:b/>
          <w:color w:val="2E548C"/>
          <w:sz w:val="16"/>
        </w:rPr>
        <w:t>[C]</w:t>
      </w:r>
      <w:r>
        <w:rPr>
          <w:b w:val="0"/>
          <w:i w:val="0"/>
        </w:rPr>
        <w:t xml:space="preserve"> on working capital and $57m of mostly-cash transaction costs </w:t>
      </w:r>
      <w:r>
        <w:rPr>
          <w:b/>
          <w:color w:val="2E548C"/>
          <w:sz w:val="16"/>
        </w:rPr>
        <w:t>[D]</w:t>
      </w:r>
      <w:r>
        <w:rPr>
          <w:b w:val="0"/>
          <w:i w:val="0"/>
        </w:rPr>
        <w:t>.</w:t>
      </w:r>
    </w:p>
    <w:p>
      <w:pPr>
        <w:pStyle w:val="ListBullet"/>
      </w:pPr>
      <w:r>
        <w:rPr>
          <w:b/>
          <w:i w:val="0"/>
        </w:rPr>
        <w:t xml:space="preserve">SBC is low pre-spin (~1.3% of revenue </w:t>
      </w:r>
      <w:r>
        <w:rPr>
          <w:b/>
          <w:color w:val="2E548C"/>
          <w:sz w:val="16"/>
        </w:rPr>
        <w:t>[C]</w:t>
      </w:r>
      <w:r>
        <w:rPr>
          <w:b/>
          <w:i w:val="0"/>
        </w:rPr>
        <w:t>)</w:t>
      </w:r>
      <w:r>
        <w:rPr>
          <w:b w:val="0"/>
          <w:i w:val="0"/>
        </w:rPr>
        <w:t xml:space="preserve"> and is guided to 3–4% </w:t>
      </w:r>
      <w:r>
        <w:rPr>
          <w:b/>
          <w:color w:val="2E548C"/>
          <w:sz w:val="16"/>
        </w:rPr>
        <w:t>[IR]</w:t>
      </w:r>
      <w:r>
        <w:rPr>
          <w:b w:val="0"/>
          <w:i w:val="0"/>
        </w:rPr>
        <w:t xml:space="preserve">; it is excluded from Adj. EBITDA </w:t>
      </w:r>
      <w:r>
        <w:rPr>
          <w:b/>
          <w:color w:val="2E548C"/>
          <w:sz w:val="16"/>
        </w:rPr>
        <w:t>[D]</w:t>
      </w:r>
      <w:r>
        <w:rPr>
          <w:b w:val="0"/>
          <w:i w:val="0"/>
        </w:rPr>
        <w:t>.</w:t>
      </w:r>
    </w:p>
    <w:p>
      <w:pPr>
        <w:pStyle w:val="ListBullet"/>
      </w:pPr>
      <w:r>
        <w:rPr>
          <w:b/>
          <w:i w:val="0"/>
        </w:rPr>
        <w:t>Tax:</w:t>
      </w:r>
      <w:r>
        <w:rPr>
          <w:b w:val="0"/>
          <w:i w:val="0"/>
        </w:rPr>
        <w:t xml:space="preserve"> FY25 ETR 32.5% </w:t>
      </w:r>
      <w:r>
        <w:rPr>
          <w:b/>
          <w:color w:val="2E548C"/>
          <w:sz w:val="16"/>
        </w:rPr>
        <w:t>[C]</w:t>
      </w:r>
      <w:r>
        <w:rPr>
          <w:b w:val="0"/>
          <w:i w:val="0"/>
        </w:rPr>
        <w:t xml:space="preserve">; FY26 GAAP guide 28–30.5% (call) / 28–31% (deck) </w:t>
      </w:r>
      <w:r>
        <w:rPr>
          <w:b/>
          <w:color w:val="2E548C"/>
          <w:sz w:val="16"/>
        </w:rPr>
        <w:t>[IR]</w:t>
      </w:r>
      <w:r>
        <w:rPr>
          <w:b w:val="0"/>
          <w:i w:val="0"/>
        </w:rPr>
        <w:t xml:space="preserve">; medium-term 25–27% </w:t>
      </w:r>
      <w:r>
        <w:rPr>
          <w:b/>
          <w:color w:val="2E548C"/>
          <w:sz w:val="16"/>
        </w:rPr>
        <w:t>[IR]</w:t>
      </w:r>
      <w:r>
        <w:rPr>
          <w:b w:val="0"/>
          <w:i w:val="0"/>
        </w:rPr>
        <w:t xml:space="preserve">; cash taxes will run ~$89m a year above the provision for 12 years (DTL unwind) </w:t>
      </w:r>
      <w:r>
        <w:rPr>
          <w:b/>
          <w:color w:val="2E548C"/>
          <w:sz w:val="16"/>
        </w:rPr>
        <w:t>[IR]</w:t>
      </w:r>
      <w:r>
        <w:rPr>
          <w:b w:val="0"/>
          <w:i w:val="0"/>
        </w:rPr>
        <w:t>.</w:t>
      </w:r>
    </w:p>
    <w:p>
      <w:pPr>
        <w:pStyle w:val="Heading2"/>
      </w:pPr>
      <w:r>
        <w:t>8.5 Predecessor history (non-comparable eras)</w:t>
      </w:r>
    </w:p>
    <w:p>
      <w:pPr>
        <w:keepNext/>
        <w:spacing w:before="80" w:after="40"/>
      </w:pPr>
      <w:r>
        <w:rPr>
          <w:b/>
          <w:i w:val="0"/>
          <w:color w:val="1F3864"/>
          <w:sz w:val="17"/>
        </w:rPr>
        <w:t>Exhibit 8.6 — Long-run series by era (do not splice)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160"/>
        <w:gridCol w:w="1440"/>
        <w:gridCol w:w="1872"/>
        <w:gridCol w:w="2015"/>
        <w:gridCol w:w="1296"/>
        <w:gridCol w:w="1007"/>
      </w:tblGrid>
      <w:tr>
        <w:trPr>
          <w:cantSplit/>
          <w:tblHeader/>
        </w:trPr>
        <w:tc>
          <w:tcPr>
            <w:tcW w:type="dxa" w:w="2160"/>
            <w:shd w:val="clear" w:color="auto" w:fill="1F3864"/>
          </w:tcPr>
          <w:p>
            <w:pPr>
              <w:spacing w:after="0" w:line="240" w:lineRule="auto"/>
            </w:pPr>
            <w:r>
              <w:rPr>
                <w:b/>
                <w:i w:val="0"/>
                <w:color w:val="FFFFFF"/>
                <w:sz w:val="15"/>
              </w:rPr>
              <w:t>Series</w:t>
            </w:r>
          </w:p>
        </w:tc>
        <w:tc>
          <w:tcPr>
            <w:tcW w:type="dxa" w:w="1440"/>
            <w:shd w:val="clear" w:color="auto" w:fill="1F3864"/>
          </w:tcPr>
          <w:p>
            <w:pPr>
              <w:spacing w:after="0" w:line="240" w:lineRule="auto"/>
            </w:pPr>
            <w:r>
              <w:rPr>
                <w:b/>
                <w:i w:val="0"/>
                <w:color w:val="FFFFFF"/>
                <w:sz w:val="15"/>
              </w:rPr>
              <w:t>Period</w:t>
            </w:r>
          </w:p>
        </w:tc>
        <w:tc>
          <w:tcPr>
            <w:tcW w:type="dxa" w:w="1872"/>
            <w:shd w:val="clear" w:color="auto" w:fill="1F3864"/>
          </w:tcPr>
          <w:p>
            <w:pPr>
              <w:spacing w:after="0" w:line="240" w:lineRule="auto"/>
            </w:pPr>
            <w:r>
              <w:rPr>
                <w:b/>
                <w:i w:val="0"/>
                <w:color w:val="FFFFFF"/>
                <w:sz w:val="15"/>
              </w:rPr>
              <w:t>Revenue CAGR</w:t>
            </w:r>
          </w:p>
        </w:tc>
        <w:tc>
          <w:tcPr>
            <w:tcW w:type="dxa" w:w="2016"/>
            <w:shd w:val="clear" w:color="auto" w:fill="1F3864"/>
          </w:tcPr>
          <w:p>
            <w:pPr>
              <w:spacing w:after="0" w:line="240" w:lineRule="auto"/>
            </w:pPr>
            <w:r>
              <w:rPr>
                <w:b/>
                <w:i w:val="0"/>
                <w:color w:val="FFFFFF"/>
                <w:sz w:val="15"/>
              </w:rPr>
              <w:t>Profit CAGR / margin</w:t>
            </w:r>
          </w:p>
        </w:tc>
        <w:tc>
          <w:tcPr>
            <w:tcW w:type="dxa" w:w="1296"/>
            <w:shd w:val="clear" w:color="auto" w:fill="1F3864"/>
          </w:tcPr>
          <w:p>
            <w:pPr>
              <w:spacing w:after="0" w:line="240" w:lineRule="auto"/>
            </w:pPr>
            <w:r>
              <w:rPr>
                <w:b/>
                <w:i w:val="0"/>
                <w:color w:val="FFFFFF"/>
                <w:sz w:val="15"/>
              </w:rPr>
              <w:t>FCF</w:t>
            </w:r>
          </w:p>
        </w:tc>
        <w:tc>
          <w:tcPr>
            <w:tcW w:type="dxa" w:w="1008"/>
            <w:shd w:val="clear" w:color="auto" w:fill="1F3864"/>
          </w:tcPr>
          <w:p>
            <w:pPr>
              <w:spacing w:after="0" w:line="240" w:lineRule="auto"/>
            </w:pPr>
            <w:r>
              <w:rPr>
                <w:b/>
                <w:i w:val="0"/>
                <w:color w:val="FFFFFF"/>
                <w:sz w:val="15"/>
              </w:rPr>
              <w:t>Tier / ref</w:t>
            </w:r>
          </w:p>
        </w:tc>
      </w:tr>
      <w:tr>
        <w:trPr>
          <w:cantSplit/>
        </w:trPr>
        <w:tc>
          <w:tcPr>
            <w:tcW w:type="dxa" w:w="2160"/>
          </w:tcPr>
          <w:p>
            <w:pPr>
              <w:spacing w:after="0" w:line="240" w:lineRule="auto"/>
            </w:pPr>
            <w:r>
              <w:rPr>
                <w:b w:val="0"/>
                <w:i w:val="0"/>
                <w:sz w:val="15"/>
              </w:rPr>
              <w:t>IHS Markit "Transportation" segment</w:t>
            </w:r>
          </w:p>
        </w:tc>
        <w:tc>
          <w:tcPr>
            <w:tcW w:type="dxa" w:w="1440"/>
          </w:tcPr>
          <w:p>
            <w:pPr>
              <w:spacing w:after="0" w:line="240" w:lineRule="auto"/>
            </w:pPr>
            <w:r>
              <w:rPr>
                <w:b w:val="0"/>
                <w:i w:val="0"/>
                <w:sz w:val="15"/>
              </w:rPr>
              <w:t>FY14→FY21 (Nov FYE)</w:t>
            </w:r>
          </w:p>
        </w:tc>
        <w:tc>
          <w:tcPr>
            <w:tcW w:type="dxa" w:w="1872"/>
          </w:tcPr>
          <w:p>
            <w:pPr>
              <w:spacing w:after="0" w:line="240" w:lineRule="auto"/>
            </w:pPr>
            <w:r>
              <w:rPr>
                <w:b w:val="0"/>
                <w:i w:val="0"/>
                <w:sz w:val="15"/>
              </w:rPr>
              <w:t xml:space="preserve">$663m → $1,354m, </w:t>
            </w:r>
            <w:r>
              <w:rPr>
                <w:b/>
                <w:i w:val="0"/>
                <w:sz w:val="15"/>
              </w:rPr>
              <w:t>10.8%</w:t>
            </w:r>
          </w:p>
        </w:tc>
        <w:tc>
          <w:tcPr>
            <w:tcW w:type="dxa" w:w="2016"/>
          </w:tcPr>
          <w:p>
            <w:pPr>
              <w:spacing w:after="0" w:line="240" w:lineRule="auto"/>
            </w:pPr>
            <w:r>
              <w:rPr>
                <w:b w:val="0"/>
                <w:i w:val="0"/>
                <w:sz w:val="15"/>
              </w:rPr>
              <w:t xml:space="preserve">Adj. EBITDA $234m → $645m, </w:t>
            </w:r>
            <w:r>
              <w:rPr>
                <w:b/>
                <w:i w:val="0"/>
                <w:sz w:val="15"/>
              </w:rPr>
              <w:t>15.6%</w:t>
            </w:r>
            <w:r>
              <w:rPr>
                <w:b w:val="0"/>
                <w:i w:val="0"/>
                <w:sz w:val="15"/>
              </w:rPr>
              <w:t>; margin 35.4% → 47.6%</w:t>
            </w:r>
          </w:p>
        </w:tc>
        <w:tc>
          <w:tcPr>
            <w:tcW w:type="dxa" w:w="1296"/>
          </w:tcPr>
          <w:p>
            <w:pPr>
              <w:spacing w:after="0" w:line="240" w:lineRule="auto"/>
            </w:pPr>
            <w:r>
              <w:rPr>
                <w:b w:val="0"/>
                <w:i w:val="0"/>
                <w:sz w:val="15"/>
              </w:rPr>
              <w:t>n/d at segment level</w:t>
            </w:r>
          </w:p>
        </w:tc>
        <w:tc>
          <w:tcPr>
            <w:tcW w:type="dxa" w:w="1008"/>
          </w:tcPr>
          <w:p>
            <w:pPr>
              <w:spacing w:after="0" w:line="240" w:lineRule="auto"/>
            </w:pPr>
            <w:r>
              <w:rPr>
                <w:b/>
                <w:color w:val="2E548C"/>
                <w:sz w:val="12"/>
              </w:rPr>
              <w:t>[D]</w:t>
            </w:r>
            <w:r>
              <w:rPr>
                <w:b w:val="0"/>
                <w:i w:val="0"/>
                <w:sz w:val="15"/>
              </w:rPr>
              <w:t xml:space="preserve"> predecessor.csv; </w:t>
            </w:r>
            <w:r>
              <w:rPr>
                <w:b/>
                <w:color w:val="2E548C"/>
                <w:sz w:val="12"/>
              </w:rPr>
              <w:t>[C]</w:t>
            </w:r>
          </w:p>
        </w:tc>
      </w:tr>
      <w:tr>
        <w:trPr>
          <w:cantSplit/>
        </w:trPr>
        <w:tc>
          <w:tcPr>
            <w:tcW w:type="dxa" w:w="2160"/>
            <w:shd w:val="clear" w:color="auto" w:fill="D9E1F2"/>
          </w:tcPr>
          <w:p>
            <w:pPr>
              <w:spacing w:after="0" w:line="240" w:lineRule="auto"/>
            </w:pPr>
            <w:r>
              <w:rPr>
                <w:b w:val="0"/>
                <w:i w:val="0"/>
                <w:sz w:val="15"/>
              </w:rPr>
              <w:t>Investor-Day automotive-only series (slide 91)</w:t>
            </w:r>
          </w:p>
        </w:tc>
        <w:tc>
          <w:tcPr>
            <w:tcW w:type="dxa" w:w="1440"/>
            <w:shd w:val="clear" w:color="auto" w:fill="D9E1F2"/>
          </w:tcPr>
          <w:p>
            <w:pPr>
              <w:spacing w:after="0" w:line="240" w:lineRule="auto"/>
            </w:pPr>
            <w:r>
              <w:rPr>
                <w:b w:val="0"/>
                <w:i w:val="0"/>
                <w:sz w:val="15"/>
              </w:rPr>
              <w:t>2014→2025</w:t>
            </w:r>
          </w:p>
        </w:tc>
        <w:tc>
          <w:tcPr>
            <w:tcW w:type="dxa" w:w="1872"/>
            <w:shd w:val="clear" w:color="auto" w:fill="D9E1F2"/>
          </w:tcPr>
          <w:p>
            <w:pPr>
              <w:spacing w:after="0" w:line="240" w:lineRule="auto"/>
            </w:pPr>
            <w:r>
              <w:rPr>
                <w:b w:val="0"/>
                <w:i w:val="0"/>
                <w:sz w:val="15"/>
              </w:rPr>
              <w:t xml:space="preserve">$529m → $1,750m, </w:t>
            </w:r>
            <w:r>
              <w:rPr>
                <w:b/>
                <w:i w:val="0"/>
                <w:sz w:val="15"/>
              </w:rPr>
              <w:t>11.5%</w:t>
            </w:r>
            <w:r>
              <w:rPr>
                <w:b w:val="0"/>
                <w:i w:val="0"/>
                <w:sz w:val="15"/>
              </w:rPr>
              <w:t xml:space="preserve"> reported; </w:t>
            </w:r>
            <w:r>
              <w:rPr>
                <w:b/>
                <w:i w:val="0"/>
                <w:sz w:val="15"/>
              </w:rPr>
              <w:t>~9.8%</w:t>
            </w:r>
            <w:r>
              <w:rPr>
                <w:b w:val="0"/>
                <w:i w:val="0"/>
                <w:sz w:val="15"/>
              </w:rPr>
              <w:t xml:space="preserve"> organic (2015–25)</w:t>
            </w:r>
          </w:p>
        </w:tc>
        <w:tc>
          <w:tcPr>
            <w:tcW w:type="dxa" w:w="2016"/>
            <w:shd w:val="clear" w:color="auto" w:fill="D9E1F2"/>
          </w:tcPr>
          <w:p>
            <w:pPr>
              <w:spacing w:after="0" w:line="240" w:lineRule="auto"/>
            </w:pPr>
            <w:r>
              <w:rPr>
                <w:b w:val="0"/>
                <w:i w:val="0"/>
                <w:sz w:val="15"/>
              </w:rPr>
              <w:t>—</w:t>
            </w:r>
          </w:p>
        </w:tc>
        <w:tc>
          <w:tcPr>
            <w:tcW w:type="dxa" w:w="1296"/>
            <w:shd w:val="clear" w:color="auto" w:fill="D9E1F2"/>
          </w:tcPr>
          <w:p>
            <w:pPr>
              <w:spacing w:after="0" w:line="240" w:lineRule="auto"/>
            </w:pPr>
            <w:r>
              <w:rPr>
                <w:b w:val="0"/>
                <w:i w:val="0"/>
                <w:sz w:val="15"/>
              </w:rPr>
              <w:t>—</w:t>
            </w:r>
          </w:p>
        </w:tc>
        <w:tc>
          <w:tcPr>
            <w:tcW w:type="dxa" w:w="1008"/>
            <w:shd w:val="clear" w:color="auto" w:fill="D9E1F2"/>
          </w:tcPr>
          <w:p>
            <w:pPr>
              <w:spacing w:after="0" w:line="240" w:lineRule="auto"/>
            </w:pPr>
            <w:r>
              <w:rPr>
                <w:b/>
                <w:color w:val="2E548C"/>
                <w:sz w:val="12"/>
              </w:rPr>
              <w:t>[D-deck]</w:t>
            </w:r>
            <w:r>
              <w:rPr>
                <w:b w:val="0"/>
                <w:i w:val="0"/>
                <w:sz w:val="15"/>
              </w:rPr>
              <w:t xml:space="preserve">; </w:t>
            </w:r>
            <w:r>
              <w:rPr>
                <w:b/>
                <w:color w:val="2E548C"/>
                <w:sz w:val="12"/>
              </w:rPr>
              <w:t>[C]</w:t>
            </w:r>
            <w:r>
              <w:rPr>
                <w:b w:val="0"/>
                <w:i w:val="0"/>
                <w:sz w:val="15"/>
              </w:rPr>
              <w:t xml:space="preserve"> D1 §4.1</w:t>
            </w:r>
          </w:p>
        </w:tc>
      </w:tr>
      <w:tr>
        <w:trPr>
          <w:cantSplit/>
        </w:trPr>
        <w:tc>
          <w:tcPr>
            <w:tcW w:type="dxa" w:w="2160"/>
          </w:tcPr>
          <w:p>
            <w:pPr>
              <w:spacing w:after="0" w:line="240" w:lineRule="auto"/>
            </w:pPr>
            <w:r>
              <w:rPr>
                <w:b w:val="0"/>
                <w:i w:val="0"/>
                <w:sz w:val="15"/>
              </w:rPr>
              <w:t>S&amp;P Global Mobility segment</w:t>
            </w:r>
          </w:p>
        </w:tc>
        <w:tc>
          <w:tcPr>
            <w:tcW w:type="dxa" w:w="1440"/>
          </w:tcPr>
          <w:p>
            <w:pPr>
              <w:spacing w:after="0" w:line="240" w:lineRule="auto"/>
            </w:pPr>
            <w:r>
              <w:rPr>
                <w:b w:val="0"/>
                <w:i w:val="0"/>
                <w:sz w:val="15"/>
              </w:rPr>
              <w:t>FY23→FY25</w:t>
            </w:r>
          </w:p>
        </w:tc>
        <w:tc>
          <w:tcPr>
            <w:tcW w:type="dxa" w:w="1872"/>
          </w:tcPr>
          <w:p>
            <w:pPr>
              <w:spacing w:after="0" w:line="240" w:lineRule="auto"/>
            </w:pPr>
            <w:r>
              <w:rPr>
                <w:b w:val="0"/>
                <w:i w:val="0"/>
                <w:sz w:val="15"/>
              </w:rPr>
              <w:t>8.5%</w:t>
            </w:r>
          </w:p>
        </w:tc>
        <w:tc>
          <w:tcPr>
            <w:tcW w:type="dxa" w:w="2016"/>
          </w:tcPr>
          <w:p>
            <w:pPr>
              <w:spacing w:after="0" w:line="240" w:lineRule="auto"/>
            </w:pPr>
            <w:r>
              <w:rPr>
                <w:b w:val="0"/>
                <w:i w:val="0"/>
                <w:sz w:val="15"/>
              </w:rPr>
              <w:t>adj. OP margin 38.8% → 39.9%</w:t>
            </w:r>
          </w:p>
        </w:tc>
        <w:tc>
          <w:tcPr>
            <w:tcW w:type="dxa" w:w="1296"/>
          </w:tcPr>
          <w:p>
            <w:pPr>
              <w:spacing w:after="0" w:line="240" w:lineRule="auto"/>
            </w:pPr>
            <w:r>
              <w:rPr>
                <w:b w:val="0"/>
                <w:i w:val="0"/>
                <w:sz w:val="15"/>
              </w:rPr>
              <w:t>—</w:t>
            </w:r>
          </w:p>
        </w:tc>
        <w:tc>
          <w:tcPr>
            <w:tcW w:type="dxa" w:w="1008"/>
          </w:tcPr>
          <w:p>
            <w:pPr>
              <w:spacing w:after="0" w:line="240" w:lineRule="auto"/>
            </w:pPr>
            <w:r>
              <w:rPr>
                <w:b/>
                <w:color w:val="2E548C"/>
                <w:sz w:val="12"/>
              </w:rPr>
              <w:t>[D]</w:t>
            </w:r>
            <w:r>
              <w:rPr>
                <w:b w:val="0"/>
                <w:i w:val="0"/>
                <w:sz w:val="15"/>
              </w:rPr>
              <w:t>/</w:t>
            </w:r>
            <w:r>
              <w:rPr>
                <w:b/>
                <w:color w:val="2E548C"/>
                <w:sz w:val="12"/>
              </w:rPr>
              <w:t>[C]</w:t>
            </w:r>
            <w:r>
              <w:rPr>
                <w:b w:val="0"/>
                <w:i w:val="0"/>
                <w:sz w:val="15"/>
              </w:rPr>
              <w:t xml:space="preserve"> D4 §12</w:t>
            </w:r>
          </w:p>
        </w:tc>
      </w:tr>
      <w:tr>
        <w:trPr>
          <w:cantSplit/>
        </w:trPr>
        <w:tc>
          <w:tcPr>
            <w:tcW w:type="dxa" w:w="2160"/>
            <w:shd w:val="clear" w:color="auto" w:fill="D9E1F2"/>
          </w:tcPr>
          <w:p>
            <w:pPr>
              <w:spacing w:after="0" w:line="240" w:lineRule="auto"/>
            </w:pPr>
            <w:r>
              <w:rPr>
                <w:b w:val="0"/>
                <w:i w:val="0"/>
                <w:sz w:val="15"/>
              </w:rPr>
              <w:t>Carve-out (Form 10/A)</w:t>
            </w:r>
          </w:p>
        </w:tc>
        <w:tc>
          <w:tcPr>
            <w:tcW w:type="dxa" w:w="1440"/>
            <w:shd w:val="clear" w:color="auto" w:fill="D9E1F2"/>
          </w:tcPr>
          <w:p>
            <w:pPr>
              <w:spacing w:after="0" w:line="240" w:lineRule="auto"/>
            </w:pPr>
            <w:r>
              <w:rPr>
                <w:b w:val="0"/>
                <w:i w:val="0"/>
                <w:sz w:val="15"/>
              </w:rPr>
              <w:t>FY23→FY25</w:t>
            </w:r>
          </w:p>
        </w:tc>
        <w:tc>
          <w:tcPr>
            <w:tcW w:type="dxa" w:w="1872"/>
            <w:shd w:val="clear" w:color="auto" w:fill="D9E1F2"/>
          </w:tcPr>
          <w:p>
            <w:pPr>
              <w:spacing w:after="0" w:line="240" w:lineRule="auto"/>
            </w:pPr>
            <w:r>
              <w:rPr>
                <w:b w:val="0"/>
                <w:i w:val="0"/>
                <w:sz w:val="15"/>
              </w:rPr>
              <w:t xml:space="preserve">$1,485m → $1,750m, </w:t>
            </w:r>
            <w:r>
              <w:rPr>
                <w:b/>
                <w:i w:val="0"/>
                <w:sz w:val="15"/>
              </w:rPr>
              <w:t>8.6%</w:t>
            </w:r>
          </w:p>
        </w:tc>
        <w:tc>
          <w:tcPr>
            <w:tcW w:type="dxa" w:w="2016"/>
            <w:shd w:val="clear" w:color="auto" w:fill="D9E1F2"/>
          </w:tcPr>
          <w:p>
            <w:pPr>
              <w:spacing w:after="0" w:line="240" w:lineRule="auto"/>
            </w:pPr>
            <w:r>
              <w:rPr>
                <w:b w:val="0"/>
                <w:i w:val="0"/>
                <w:sz w:val="15"/>
              </w:rPr>
              <w:t xml:space="preserve">Adj. EBITDA $598m → $711m, </w:t>
            </w:r>
            <w:r>
              <w:rPr>
                <w:b/>
                <w:i w:val="0"/>
                <w:sz w:val="15"/>
              </w:rPr>
              <w:t>9.0%</w:t>
            </w:r>
            <w:r>
              <w:rPr>
                <w:b w:val="0"/>
                <w:i w:val="0"/>
                <w:sz w:val="15"/>
              </w:rPr>
              <w:t>; margin 40.3% → 40.6%</w:t>
            </w:r>
          </w:p>
        </w:tc>
        <w:tc>
          <w:tcPr>
            <w:tcW w:type="dxa" w:w="1296"/>
            <w:shd w:val="clear" w:color="auto" w:fill="D9E1F2"/>
          </w:tcPr>
          <w:p>
            <w:pPr>
              <w:spacing w:after="0" w:line="240" w:lineRule="auto"/>
            </w:pPr>
            <w:r>
              <w:rPr>
                <w:b w:val="0"/>
                <w:i w:val="0"/>
                <w:sz w:val="15"/>
              </w:rPr>
              <w:t xml:space="preserve">$375m → $461m, </w:t>
            </w:r>
            <w:r>
              <w:rPr>
                <w:b/>
                <w:i w:val="0"/>
                <w:sz w:val="15"/>
              </w:rPr>
              <w:t>10.9%</w:t>
            </w:r>
            <w:r>
              <w:rPr>
                <w:b w:val="0"/>
                <w:i w:val="0"/>
                <w:sz w:val="15"/>
              </w:rPr>
              <w:t>; FCF margin 25.3% → 26.3%</w:t>
            </w:r>
          </w:p>
        </w:tc>
        <w:tc>
          <w:tcPr>
            <w:tcW w:type="dxa" w:w="1008"/>
            <w:shd w:val="clear" w:color="auto" w:fill="D9E1F2"/>
          </w:tcPr>
          <w:p>
            <w:pPr>
              <w:spacing w:after="0" w:line="240" w:lineRule="auto"/>
            </w:pPr>
            <w:r>
              <w:rPr>
                <w:b/>
                <w:color w:val="2E548C"/>
                <w:sz w:val="12"/>
              </w:rPr>
              <w:t>[D]</w:t>
            </w:r>
            <w:r>
              <w:rPr>
                <w:b w:val="0"/>
                <w:i w:val="0"/>
                <w:sz w:val="15"/>
              </w:rPr>
              <w:t>/</w:t>
            </w:r>
            <w:r>
              <w:rPr>
                <w:b/>
                <w:color w:val="2E548C"/>
                <w:sz w:val="12"/>
              </w:rPr>
              <w:t>[C]</w:t>
            </w:r>
            <w:r>
              <w:rPr>
                <w:b w:val="0"/>
                <w:i w:val="0"/>
                <w:sz w:val="15"/>
              </w:rPr>
              <w:t xml:space="preserve"> D2 (e)</w:t>
            </w:r>
          </w:p>
        </w:tc>
      </w:tr>
      <w:tr>
        <w:trPr>
          <w:cantSplit/>
        </w:trPr>
        <w:tc>
          <w:tcPr>
            <w:tcW w:type="dxa" w:w="2160"/>
          </w:tcPr>
          <w:p>
            <w:pPr>
              <w:spacing w:after="0" w:line="240" w:lineRule="auto"/>
            </w:pPr>
            <w:r>
              <w:rPr>
                <w:b w:val="0"/>
                <w:i w:val="0"/>
                <w:sz w:val="15"/>
              </w:rPr>
              <w:t>FY26 guide / 1H-26 actual</w:t>
            </w:r>
          </w:p>
        </w:tc>
        <w:tc>
          <w:tcPr>
            <w:tcW w:type="dxa" w:w="1440"/>
          </w:tcPr>
          <w:p>
            <w:pPr>
              <w:spacing w:after="0" w:line="240" w:lineRule="auto"/>
            </w:pPr>
            <w:r>
              <w:rPr>
                <w:b w:val="0"/>
                <w:i w:val="0"/>
                <w:sz w:val="15"/>
              </w:rPr>
              <w:t>FY26</w:t>
            </w:r>
          </w:p>
        </w:tc>
        <w:tc>
          <w:tcPr>
            <w:tcW w:type="dxa" w:w="1872"/>
          </w:tcPr>
          <w:p>
            <w:pPr>
              <w:spacing w:after="0" w:line="240" w:lineRule="auto"/>
            </w:pPr>
            <w:r>
              <w:rPr>
                <w:b w:val="0"/>
                <w:i w:val="0"/>
                <w:sz w:val="15"/>
              </w:rPr>
              <w:t xml:space="preserve">+6.9–7.7% reported (~6.6–7.4% OCC </w:t>
            </w:r>
            <w:r>
              <w:rPr>
                <w:b/>
                <w:color w:val="2E548C"/>
                <w:sz w:val="12"/>
              </w:rPr>
              <w:t>[C]</w:t>
            </w:r>
            <w:r>
              <w:rPr>
                <w:b w:val="0"/>
                <w:i w:val="0"/>
                <w:sz w:val="15"/>
              </w:rPr>
              <w:t>); 1H +7.45% reported, ~6.9% ex-FX</w:t>
            </w:r>
          </w:p>
        </w:tc>
        <w:tc>
          <w:tcPr>
            <w:tcW w:type="dxa" w:w="2016"/>
          </w:tcPr>
          <w:p>
            <w:pPr>
              <w:spacing w:after="0" w:line="240" w:lineRule="auto"/>
            </w:pPr>
            <w:r>
              <w:rPr>
                <w:b w:val="0"/>
                <w:i w:val="0"/>
                <w:sz w:val="15"/>
              </w:rPr>
              <w:t>Adj. EBITDA $745–760m (</w:t>
            </w:r>
            <w:r>
              <w:rPr>
                <w:b/>
                <w:i w:val="0"/>
                <w:sz w:val="15"/>
              </w:rPr>
              <w:t>+4.8–6.9%</w:t>
            </w:r>
            <w:r>
              <w:rPr>
                <w:b w:val="0"/>
                <w:i w:val="0"/>
                <w:sz w:val="15"/>
              </w:rPr>
              <w:t>)</w:t>
            </w:r>
          </w:p>
        </w:tc>
        <w:tc>
          <w:tcPr>
            <w:tcW w:type="dxa" w:w="1296"/>
          </w:tcPr>
          <w:p>
            <w:pPr>
              <w:spacing w:after="0" w:line="240" w:lineRule="auto"/>
            </w:pPr>
            <w:r>
              <w:rPr>
                <w:b w:val="0"/>
                <w:i w:val="0"/>
                <w:sz w:val="15"/>
              </w:rPr>
              <w:t>1H FCF conversion 46% vs 63%</w:t>
            </w:r>
          </w:p>
        </w:tc>
        <w:tc>
          <w:tcPr>
            <w:tcW w:type="dxa" w:w="1008"/>
          </w:tcPr>
          <w:p>
            <w:pPr>
              <w:spacing w:after="0" w:line="240" w:lineRule="auto"/>
            </w:pPr>
            <w:r>
              <w:rPr>
                <w:b/>
                <w:color w:val="2E548C"/>
                <w:sz w:val="12"/>
              </w:rPr>
              <w:t>[D]</w:t>
            </w:r>
            <w:r>
              <w:rPr>
                <w:b w:val="0"/>
                <w:i w:val="0"/>
                <w:sz w:val="15"/>
              </w:rPr>
              <w:t>/</w:t>
            </w:r>
            <w:r>
              <w:rPr>
                <w:b/>
                <w:color w:val="2E548C"/>
                <w:sz w:val="12"/>
              </w:rPr>
              <w:t>[C]</w:t>
            </w:r>
            <w:r>
              <w:rPr>
                <w:b w:val="0"/>
                <w:i w:val="0"/>
                <w:sz w:val="15"/>
              </w:rPr>
              <w:t xml:space="preserve"> D10 §3</w:t>
            </w:r>
          </w:p>
        </w:tc>
      </w:tr>
      <w:tr>
        <w:trPr>
          <w:cantSplit/>
        </w:trPr>
        <w:tc>
          <w:tcPr>
            <w:tcW w:type="dxa" w:w="2160"/>
            <w:shd w:val="clear" w:color="auto" w:fill="D9E1F2"/>
          </w:tcPr>
          <w:p>
            <w:pPr>
              <w:spacing w:after="0" w:line="240" w:lineRule="auto"/>
            </w:pPr>
            <w:r>
              <w:rPr>
                <w:b w:val="0"/>
                <w:i w:val="0"/>
                <w:sz w:val="15"/>
              </w:rPr>
              <w:t>Standalone normalized (after $2.0bn of notes)</w:t>
            </w:r>
          </w:p>
        </w:tc>
        <w:tc>
          <w:tcPr>
            <w:tcW w:type="dxa" w:w="1440"/>
            <w:shd w:val="clear" w:color="auto" w:fill="D9E1F2"/>
          </w:tcPr>
          <w:p>
            <w:pPr>
              <w:spacing w:after="0" w:line="240" w:lineRule="auto"/>
            </w:pPr>
            <w:r>
              <w:rPr>
                <w:b w:val="0"/>
                <w:i w:val="0"/>
                <w:sz w:val="15"/>
              </w:rPr>
              <w:t>FY25 base / FY26 run-rate</w:t>
            </w:r>
          </w:p>
        </w:tc>
        <w:tc>
          <w:tcPr>
            <w:tcW w:type="dxa" w:w="1872"/>
            <w:shd w:val="clear" w:color="auto" w:fill="D9E1F2"/>
          </w:tcPr>
          <w:p>
            <w:pPr>
              <w:spacing w:after="0" w:line="240" w:lineRule="auto"/>
            </w:pPr>
            <w:r>
              <w:rPr>
                <w:b w:val="0"/>
                <w:i w:val="0"/>
                <w:sz w:val="15"/>
              </w:rPr>
              <w:t>—</w:t>
            </w:r>
          </w:p>
        </w:tc>
        <w:tc>
          <w:tcPr>
            <w:tcW w:type="dxa" w:w="2016"/>
            <w:shd w:val="clear" w:color="auto" w:fill="D9E1F2"/>
          </w:tcPr>
          <w:p>
            <w:pPr>
              <w:spacing w:after="0" w:line="240" w:lineRule="auto"/>
            </w:pPr>
            <w:r>
              <w:rPr>
                <w:b w:val="0"/>
                <w:i w:val="0"/>
                <w:sz w:val="15"/>
              </w:rPr>
              <w:t xml:space="preserve">NI </w:t>
            </w:r>
            <w:r>
              <w:rPr>
                <w:b/>
                <w:i w:val="0"/>
                <w:sz w:val="15"/>
              </w:rPr>
              <w:t>~$171m / ~$209m</w:t>
            </w:r>
            <w:r>
              <w:rPr>
                <w:b w:val="0"/>
                <w:i w:val="0"/>
                <w:sz w:val="15"/>
              </w:rPr>
              <w:t xml:space="preserve"> vs carve-out $220m; interest ~$110m ≈ 31% of normalized OP</w:t>
            </w:r>
          </w:p>
        </w:tc>
        <w:tc>
          <w:tcPr>
            <w:tcW w:type="dxa" w:w="1296"/>
            <w:shd w:val="clear" w:color="auto" w:fill="D9E1F2"/>
          </w:tcPr>
          <w:p>
            <w:pPr>
              <w:spacing w:after="0" w:line="240" w:lineRule="auto"/>
            </w:pPr>
            <w:r>
              <w:rPr>
                <w:b w:val="0"/>
                <w:i w:val="0"/>
                <w:sz w:val="15"/>
              </w:rPr>
              <w:t xml:space="preserve">~$365m standalone </w:t>
            </w:r>
            <w:r>
              <w:rPr>
                <w:b/>
                <w:color w:val="2E548C"/>
                <w:sz w:val="12"/>
              </w:rPr>
              <w:t>[C]</w:t>
            </w:r>
          </w:p>
        </w:tc>
        <w:tc>
          <w:tcPr>
            <w:tcW w:type="dxa" w:w="1008"/>
            <w:shd w:val="clear" w:color="auto" w:fill="D9E1F2"/>
          </w:tcPr>
          <w:p>
            <w:pPr>
              <w:spacing w:after="0" w:line="240" w:lineRule="auto"/>
            </w:pPr>
            <w:r>
              <w:rPr>
                <w:b/>
                <w:color w:val="2E548C"/>
                <w:sz w:val="12"/>
              </w:rPr>
              <w:t>[C/E]</w:t>
            </w:r>
            <w:r>
              <w:rPr>
                <w:b w:val="0"/>
                <w:i w:val="0"/>
                <w:sz w:val="15"/>
              </w:rPr>
              <w:t xml:space="preserve"> D3 §4</w:t>
            </w:r>
          </w:p>
        </w:tc>
      </w:tr>
    </w:tbl>
    <w:p>
      <w:pPr>
        <w:spacing w:after="120"/>
      </w:pPr>
      <w:r>
        <w:rPr>
          <w:b w:val="0"/>
          <w:i/>
          <w:color w:val="595959"/>
          <w:sz w:val="15"/>
        </w:rPr>
        <w:t>Source: analysis/SYNTHESIS.md numbers story (predecessor.csv, D1, D2, D3, D4, D10).</w:t>
      </w:r>
    </w:p>
    <w:p>
      <w:r>
        <w:rPr>
          <w:b/>
          <w:i w:val="0"/>
        </w:rPr>
        <w:t>Non-comparability caveats</w:t>
      </w:r>
      <w:r>
        <w:rPr>
          <w:b w:val="0"/>
          <w:i w:val="0"/>
        </w:rPr>
        <w:t xml:space="preserve"> (SYNTHESIS):</w:t>
      </w:r>
    </w:p>
    <w:p>
      <w:pPr>
        <w:pStyle w:val="ListBullet"/>
      </w:pPr>
      <w:r>
        <w:rPr>
          <w:b w:val="0"/>
          <w:i w:val="0"/>
        </w:rPr>
        <w:t xml:space="preserve">The IHS era is broader: it includes Maritime &amp; Trade, and Jane's until 2019; automotive was ~80% → &gt;90% of the segment </w:t>
      </w:r>
      <w:r>
        <w:rPr>
          <w:b/>
          <w:color w:val="2E548C"/>
          <w:sz w:val="16"/>
        </w:rPr>
        <w:t>[D]</w:t>
      </w:r>
      <w:r>
        <w:rPr>
          <w:b w:val="0"/>
          <w:i w:val="0"/>
        </w:rPr>
        <w:t xml:space="preserve">. It uses a Nov FYE and an IHS Adj. EBITDA definition that excluded aM performance compensation. The 47.6% FY21 margin therefore </w:t>
      </w:r>
      <w:r>
        <w:rPr>
          <w:b/>
          <w:i w:val="0"/>
        </w:rPr>
        <w:t>cannot</w:t>
      </w:r>
      <w:r>
        <w:rPr>
          <w:b w:val="0"/>
          <w:i w:val="0"/>
        </w:rPr>
        <w:t xml:space="preserve"> be read as “margin fell to 40%”.</w:t>
      </w:r>
    </w:p>
    <w:p>
      <w:pPr>
        <w:pStyle w:val="ListBullet"/>
      </w:pPr>
      <w:r>
        <w:rPr>
          <w:b w:val="0"/>
          <w:i w:val="0"/>
        </w:rPr>
        <w:t xml:space="preserve">FY22 is a ~10-month S&amp;P Global period; Dec-2021–Feb-2022 is in neither era </w:t>
      </w:r>
      <w:r>
        <w:rPr>
          <w:b/>
          <w:color w:val="2E548C"/>
          <w:sz w:val="16"/>
        </w:rPr>
        <w:t>[D]</w:t>
      </w:r>
      <w:r>
        <w:rPr>
          <w:b w:val="0"/>
          <w:i w:val="0"/>
        </w:rPr>
        <w:t>.</w:t>
      </w:r>
    </w:p>
    <w:p>
      <w:pPr>
        <w:pStyle w:val="ListBullet"/>
      </w:pPr>
      <w:r>
        <w:rPr>
          <w:b w:val="0"/>
          <w:i w:val="0"/>
        </w:rPr>
        <w:t xml:space="preserve">Slide 91 is labelled “NOT prepared on a consistent basis” </w:t>
      </w:r>
      <w:r>
        <w:rPr>
          <w:b/>
          <w:color w:val="2E548C"/>
          <w:sz w:val="16"/>
        </w:rPr>
        <w:t>[D-deck]</w:t>
      </w:r>
      <w:r>
        <w:rPr>
          <w:b w:val="0"/>
          <w:i w:val="0"/>
        </w:rPr>
        <w:t>.</w:t>
      </w:r>
    </w:p>
    <w:p>
      <w:pPr>
        <w:pStyle w:val="ListBullet"/>
      </w:pPr>
      <w:r>
        <w:rPr>
          <w:b w:val="0"/>
          <w:i w:val="0"/>
        </w:rPr>
        <w:t xml:space="preserve">The carve-out includes ~$100m of S&amp;P allocations </w:t>
      </w:r>
      <w:r>
        <w:rPr>
          <w:b/>
          <w:color w:val="2E548C"/>
          <w:sz w:val="16"/>
        </w:rPr>
        <w:t>[C]</w:t>
      </w:r>
      <w:r>
        <w:rPr>
          <w:b w:val="0"/>
          <w:i w:val="0"/>
        </w:rPr>
        <w:t xml:space="preserve"> (D3 §2), and the MBGL Adj. EBITDA measure is +0.7–1.8pt above SPGI adjusted OP on the same business </w:t>
      </w:r>
      <w:r>
        <w:rPr>
          <w:b/>
          <w:color w:val="2E548C"/>
          <w:sz w:val="16"/>
        </w:rPr>
        <w:t>[C]</w:t>
      </w:r>
      <w:r>
        <w:rPr>
          <w:b w:val="0"/>
          <w:i w:val="0"/>
        </w:rPr>
        <w:t xml:space="preserve"> (D4 §12).</w:t>
      </w:r>
    </w:p>
    <w:p>
      <w:pPr>
        <w:pStyle w:val="ListBullet"/>
      </w:pPr>
      <w:r>
        <w:rPr>
          <w:b w:val="0"/>
          <w:i w:val="0"/>
        </w:rPr>
        <w:t xml:space="preserve">The Q2-26 Adj. EBITDA definition shrank from 10 to 6 exclusions </w:t>
      </w:r>
      <w:r>
        <w:rPr>
          <w:b/>
          <w:color w:val="2E548C"/>
          <w:sz w:val="16"/>
        </w:rPr>
        <w:t>[D]</w:t>
      </w:r>
      <w:r>
        <w:rPr>
          <w:b w:val="0"/>
          <w:i w:val="0"/>
        </w:rPr>
        <w:t>; FY25 $711m has not been republished on the new definition.</w:t>
      </w:r>
    </w:p>
    <w:p>
      <w:pPr>
        <w:pStyle w:val="ListBullet"/>
      </w:pPr>
      <w:r>
        <w:rPr>
          <w:b w:val="0"/>
          <w:i w:val="0"/>
        </w:rPr>
        <w:t xml:space="preserve">2020 (COVID, IHS era): Transportation organic −2% but recurring organic +3% </w:t>
      </w:r>
      <w:r>
        <w:rPr>
          <w:b/>
          <w:color w:val="2E548C"/>
          <w:sz w:val="16"/>
        </w:rPr>
        <w:t>[D]</w:t>
      </w:r>
      <w:r>
        <w:rPr>
          <w:b w:val="0"/>
          <w:i w:val="0"/>
        </w:rPr>
        <w:t xml:space="preserve">; Adj. EBITDA −1% while margin rose 41.8% → 44.7% </w:t>
      </w:r>
      <w:r>
        <w:rPr>
          <w:b/>
          <w:color w:val="2E548C"/>
          <w:sz w:val="16"/>
        </w:rPr>
        <w:t>[D]</w:t>
      </w:r>
      <w:r>
        <w:rPr>
          <w:b w:val="0"/>
          <w:i w:val="0"/>
        </w:rPr>
        <w:t xml:space="preserve"> (INFO20).</w:t>
      </w:r>
    </w:p>
    <w:p>
      <w:r>
        <w:rPr>
          <w:b w:val="0"/>
          <w:i w:val="0"/>
        </w:rPr>
        <w:t xml:space="preserve">Open reconciliation items: </w:t>
      </w:r>
      <w:r>
        <w:rPr>
          <w:b/>
          <w:color w:val="E36C09"/>
        </w:rPr>
        <w:t>[TO COLLECT #47: bridge of IHS-era Transportation margin (47.6% FY21) to carve-out ~40% by scope, allocations and definition]</w:t>
      </w:r>
      <w:r>
        <w:rPr>
          <w:b w:val="0"/>
          <w:i w:val="0"/>
        </w:rPr>
        <w:t xml:space="preserve">; </w:t>
      </w:r>
      <w:r>
        <w:rPr>
          <w:b/>
          <w:color w:val="E36C09"/>
        </w:rPr>
        <w:t>[TO COLLECT #48: EDGAR XBRL cross-check of ~8 headline items for every period (sec.gov blocked)]</w:t>
      </w:r>
      <w:r>
        <w:rPr>
          <w:b w:val="0"/>
          <w:i w:val="0"/>
        </w:rPr>
        <w:t>.</w:t>
      </w:r>
    </w:p>
    <w:p>
      <w:pPr>
        <w:pStyle w:val="Heading1"/>
        <w:pageBreakBefore/>
      </w:pPr>
      <w:r>
        <w:t>9 Group decomposition &amp; standalone earnings</w:t>
      </w:r>
    </w:p>
    <w:p>
      <w:r>
        <w:rPr>
          <w:b w:val="0"/>
          <w:i w:val="0"/>
        </w:rPr>
        <w:t xml:space="preserve">Two bases, never mixed (D3): </w:t>
      </w:r>
      <w:r>
        <w:rPr>
          <w:b/>
          <w:i w:val="0"/>
        </w:rPr>
        <w:t>Basis 1</w:t>
      </w:r>
      <w:r>
        <w:rPr>
          <w:b w:val="0"/>
          <w:i w:val="0"/>
        </w:rPr>
        <w:t xml:space="preserve"> = Form 10/A segment operating profit (after acquired-intangible amortization and special items, before Corporate Unallocated). </w:t>
      </w:r>
      <w:r>
        <w:rPr>
          <w:b/>
          <w:i w:val="0"/>
        </w:rPr>
        <w:t>Basis 2</w:t>
      </w:r>
      <w:r>
        <w:rPr>
          <w:b w:val="0"/>
          <w:i w:val="0"/>
        </w:rPr>
        <w:t xml:space="preserve"> = Adjusted EBITDA (10/A Segment Adj. EBITDA for FY/Q1; 10-Q Note 7 Adj. EBITDA for Q2/6M). The identities hold in every period on both bases </w:t>
      </w:r>
      <w:r>
        <w:rPr>
          <w:b/>
          <w:color w:val="2E548C"/>
          <w:sz w:val="16"/>
        </w:rPr>
        <w:t>[D/C]</w:t>
      </w:r>
      <w:r>
        <w:rPr>
          <w:b w:val="0"/>
          <w:i w:val="0"/>
        </w:rPr>
        <w:t>.</w:t>
      </w:r>
    </w:p>
    <w:p>
      <w:pPr>
        <w:keepNext/>
        <w:spacing w:before="80" w:after="40"/>
      </w:pPr>
      <w:r>
        <w:rPr>
          <w:b/>
          <w:i w:val="0"/>
          <w:color w:val="1F3864"/>
          <w:sz w:val="17"/>
        </w:rPr>
        <w:t xml:space="preserve">Exhibit 9.1 — Segment + segment − corporate = group ($m) </w:t>
      </w:r>
      <w:r>
        <w:rPr>
          <w:b/>
          <w:color w:val="2E548C"/>
          <w:sz w:val="14"/>
        </w:rPr>
        <w:t>[D]</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152"/>
        <w:gridCol w:w="1080"/>
        <w:gridCol w:w="1080"/>
        <w:gridCol w:w="1080"/>
        <w:gridCol w:w="1080"/>
        <w:gridCol w:w="1080"/>
        <w:gridCol w:w="1080"/>
        <w:gridCol w:w="1080"/>
        <w:gridCol w:w="1080"/>
      </w:tblGrid>
      <w:tr>
        <w:trPr>
          <w:cantSplit/>
          <w:tblHeader/>
        </w:trPr>
        <w:tc>
          <w:tcPr>
            <w:tcW w:type="dxa" w:w="1152"/>
            <w:shd w:val="clear" w:color="auto" w:fill="1F3864"/>
          </w:tcPr>
          <w:p>
            <w:pPr>
              <w:spacing w:after="0" w:line="240" w:lineRule="auto"/>
            </w:pPr>
            <w:r>
              <w:rPr>
                <w:b/>
                <w:i w:val="0"/>
                <w:color w:val="FFFFFF"/>
                <w:sz w:val="16"/>
              </w:rPr>
              <w:t>Period</w:t>
            </w:r>
          </w:p>
        </w:tc>
        <w:tc>
          <w:tcPr>
            <w:tcW w:type="dxa" w:w="1080"/>
            <w:shd w:val="clear" w:color="auto" w:fill="1F3864"/>
          </w:tcPr>
          <w:p>
            <w:pPr>
              <w:spacing w:after="0" w:line="240" w:lineRule="auto"/>
              <w:jc w:val="right"/>
            </w:pPr>
            <w:r>
              <w:rPr>
                <w:b/>
                <w:i w:val="0"/>
                <w:color w:val="FFFFFF"/>
                <w:sz w:val="16"/>
              </w:rPr>
              <w:t>CARFAX OP</w:t>
            </w:r>
          </w:p>
        </w:tc>
        <w:tc>
          <w:tcPr>
            <w:tcW w:type="dxa" w:w="1080"/>
            <w:shd w:val="clear" w:color="auto" w:fill="1F3864"/>
          </w:tcPr>
          <w:p>
            <w:pPr>
              <w:spacing w:after="0" w:line="240" w:lineRule="auto"/>
              <w:jc w:val="right"/>
            </w:pPr>
            <w:r>
              <w:rPr>
                <w:b/>
                <w:i w:val="0"/>
                <w:color w:val="FFFFFF"/>
                <w:sz w:val="16"/>
              </w:rPr>
              <w:t>B2B OP</w:t>
            </w:r>
          </w:p>
        </w:tc>
        <w:tc>
          <w:tcPr>
            <w:tcW w:type="dxa" w:w="1080"/>
            <w:shd w:val="clear" w:color="auto" w:fill="1F3864"/>
          </w:tcPr>
          <w:p>
            <w:pPr>
              <w:spacing w:after="0" w:line="240" w:lineRule="auto"/>
              <w:jc w:val="right"/>
            </w:pPr>
            <w:r>
              <w:rPr>
                <w:b/>
                <w:i w:val="0"/>
                <w:color w:val="FFFFFF"/>
                <w:sz w:val="16"/>
              </w:rPr>
              <w:t>Corp</w:t>
            </w:r>
          </w:p>
        </w:tc>
        <w:tc>
          <w:tcPr>
            <w:tcW w:type="dxa" w:w="1080"/>
            <w:shd w:val="clear" w:color="auto" w:fill="1F3864"/>
          </w:tcPr>
          <w:p>
            <w:pPr>
              <w:spacing w:after="0" w:line="240" w:lineRule="auto"/>
              <w:jc w:val="right"/>
            </w:pPr>
            <w:r>
              <w:rPr>
                <w:b/>
                <w:i w:val="0"/>
                <w:color w:val="FFFFFF"/>
                <w:sz w:val="16"/>
              </w:rPr>
              <w:t>Total OP</w:t>
            </w:r>
          </w:p>
        </w:tc>
        <w:tc>
          <w:tcPr>
            <w:tcW w:type="dxa" w:w="1080"/>
            <w:shd w:val="clear" w:color="auto" w:fill="1F3864"/>
          </w:tcPr>
          <w:p>
            <w:pPr>
              <w:spacing w:after="0" w:line="240" w:lineRule="auto"/>
              <w:jc w:val="right"/>
            </w:pPr>
            <w:r>
              <w:rPr>
                <w:b/>
                <w:i w:val="0"/>
                <w:color w:val="FFFFFF"/>
                <w:sz w:val="16"/>
              </w:rPr>
              <w:t>CARFAX Adj. EBITDA</w:t>
            </w:r>
          </w:p>
        </w:tc>
        <w:tc>
          <w:tcPr>
            <w:tcW w:type="dxa" w:w="1080"/>
            <w:shd w:val="clear" w:color="auto" w:fill="1F3864"/>
          </w:tcPr>
          <w:p>
            <w:pPr>
              <w:spacing w:after="0" w:line="240" w:lineRule="auto"/>
              <w:jc w:val="right"/>
            </w:pPr>
            <w:r>
              <w:rPr>
                <w:b/>
                <w:i w:val="0"/>
                <w:color w:val="FFFFFF"/>
                <w:sz w:val="16"/>
              </w:rPr>
              <w:t>B2B Adj. EBITDA</w:t>
            </w:r>
          </w:p>
        </w:tc>
        <w:tc>
          <w:tcPr>
            <w:tcW w:type="dxa" w:w="1080"/>
            <w:shd w:val="clear" w:color="auto" w:fill="1F3864"/>
          </w:tcPr>
          <w:p>
            <w:pPr>
              <w:spacing w:after="0" w:line="240" w:lineRule="auto"/>
              <w:jc w:val="right"/>
            </w:pPr>
            <w:r>
              <w:rPr>
                <w:b/>
                <w:i w:val="0"/>
                <w:color w:val="FFFFFF"/>
                <w:sz w:val="16"/>
              </w:rPr>
              <w:t>Corp</w:t>
            </w:r>
          </w:p>
        </w:tc>
        <w:tc>
          <w:tcPr>
            <w:tcW w:type="dxa" w:w="1080"/>
            <w:shd w:val="clear" w:color="auto" w:fill="1F3864"/>
          </w:tcPr>
          <w:p>
            <w:pPr>
              <w:spacing w:after="0" w:line="240" w:lineRule="auto"/>
              <w:jc w:val="right"/>
            </w:pPr>
            <w:r>
              <w:rPr>
                <w:b/>
                <w:i w:val="0"/>
                <w:color w:val="FFFFFF"/>
                <w:sz w:val="16"/>
              </w:rPr>
              <w:t>Total Adj. EBITDA</w:t>
            </w:r>
          </w:p>
        </w:tc>
      </w:tr>
      <w:tr>
        <w:trPr>
          <w:cantSplit/>
        </w:trPr>
        <w:tc>
          <w:tcPr>
            <w:tcW w:type="dxa" w:w="1152"/>
          </w:tcPr>
          <w:p>
            <w:pPr>
              <w:spacing w:after="0" w:line="240" w:lineRule="auto"/>
            </w:pPr>
            <w:r>
              <w:rPr>
                <w:b w:val="0"/>
                <w:i w:val="0"/>
                <w:sz w:val="16"/>
              </w:rPr>
              <w:t>FY23</w:t>
            </w:r>
          </w:p>
        </w:tc>
        <w:tc>
          <w:tcPr>
            <w:tcW w:type="dxa" w:w="1080"/>
          </w:tcPr>
          <w:p>
            <w:pPr>
              <w:spacing w:after="0" w:line="240" w:lineRule="auto"/>
              <w:jc w:val="right"/>
            </w:pPr>
            <w:r>
              <w:rPr>
                <w:b w:val="0"/>
                <w:i w:val="0"/>
                <w:sz w:val="16"/>
              </w:rPr>
              <w:t>210</w:t>
            </w:r>
          </w:p>
        </w:tc>
        <w:tc>
          <w:tcPr>
            <w:tcW w:type="dxa" w:w="1080"/>
          </w:tcPr>
          <w:p>
            <w:pPr>
              <w:spacing w:after="0" w:line="240" w:lineRule="auto"/>
              <w:jc w:val="right"/>
            </w:pPr>
            <w:r>
              <w:rPr>
                <w:b w:val="0"/>
                <w:i w:val="0"/>
                <w:sz w:val="16"/>
              </w:rPr>
              <w:t>61</w:t>
            </w:r>
          </w:p>
        </w:tc>
        <w:tc>
          <w:tcPr>
            <w:tcW w:type="dxa" w:w="1080"/>
          </w:tcPr>
          <w:p>
            <w:pPr>
              <w:spacing w:after="0" w:line="240" w:lineRule="auto"/>
              <w:jc w:val="right"/>
            </w:pPr>
            <w:r>
              <w:rPr>
                <w:b w:val="0"/>
                <w:i w:val="0"/>
                <w:sz w:val="16"/>
              </w:rPr>
              <w:t>(32)</w:t>
            </w:r>
          </w:p>
        </w:tc>
        <w:tc>
          <w:tcPr>
            <w:tcW w:type="dxa" w:w="1080"/>
          </w:tcPr>
          <w:p>
            <w:pPr>
              <w:spacing w:after="0" w:line="240" w:lineRule="auto"/>
              <w:jc w:val="right"/>
            </w:pPr>
            <w:r>
              <w:rPr>
                <w:b w:val="0"/>
                <w:i w:val="0"/>
                <w:sz w:val="16"/>
              </w:rPr>
              <w:t>239</w:t>
            </w:r>
          </w:p>
        </w:tc>
        <w:tc>
          <w:tcPr>
            <w:tcW w:type="dxa" w:w="1080"/>
          </w:tcPr>
          <w:p>
            <w:pPr>
              <w:spacing w:after="0" w:line="240" w:lineRule="auto"/>
              <w:jc w:val="right"/>
            </w:pPr>
            <w:r>
              <w:rPr>
                <w:b w:val="0"/>
                <w:i w:val="0"/>
                <w:sz w:val="16"/>
              </w:rPr>
              <w:t>422</w:t>
            </w:r>
          </w:p>
        </w:tc>
        <w:tc>
          <w:tcPr>
            <w:tcW w:type="dxa" w:w="1080"/>
          </w:tcPr>
          <w:p>
            <w:pPr>
              <w:spacing w:after="0" w:line="240" w:lineRule="auto"/>
              <w:jc w:val="right"/>
            </w:pPr>
            <w:r>
              <w:rPr>
                <w:b w:val="0"/>
                <w:i w:val="0"/>
                <w:sz w:val="16"/>
              </w:rPr>
              <w:t>191</w:t>
            </w:r>
          </w:p>
        </w:tc>
        <w:tc>
          <w:tcPr>
            <w:tcW w:type="dxa" w:w="1080"/>
          </w:tcPr>
          <w:p>
            <w:pPr>
              <w:spacing w:after="0" w:line="240" w:lineRule="auto"/>
              <w:jc w:val="right"/>
            </w:pPr>
            <w:r>
              <w:rPr>
                <w:b w:val="0"/>
                <w:i w:val="0"/>
                <w:sz w:val="16"/>
              </w:rPr>
              <w:t>(16)</w:t>
            </w:r>
          </w:p>
        </w:tc>
        <w:tc>
          <w:tcPr>
            <w:tcW w:type="dxa" w:w="1080"/>
          </w:tcPr>
          <w:p>
            <w:pPr>
              <w:spacing w:after="0" w:line="240" w:lineRule="auto"/>
              <w:jc w:val="right"/>
            </w:pPr>
            <w:r>
              <w:rPr>
                <w:b w:val="0"/>
                <w:i w:val="0"/>
                <w:sz w:val="16"/>
              </w:rPr>
              <w:t>598*</w:t>
            </w:r>
          </w:p>
        </w:tc>
      </w:tr>
      <w:tr>
        <w:trPr>
          <w:cantSplit/>
        </w:trPr>
        <w:tc>
          <w:tcPr>
            <w:tcW w:type="dxa" w:w="1152"/>
            <w:shd w:val="clear" w:color="auto" w:fill="D9E1F2"/>
          </w:tcPr>
          <w:p>
            <w:pPr>
              <w:spacing w:after="0" w:line="240" w:lineRule="auto"/>
            </w:pPr>
            <w:r>
              <w:rPr>
                <w:b w:val="0"/>
                <w:i w:val="0"/>
                <w:sz w:val="16"/>
              </w:rPr>
              <w:t>FY24</w:t>
            </w:r>
          </w:p>
        </w:tc>
        <w:tc>
          <w:tcPr>
            <w:tcW w:type="dxa" w:w="1080"/>
            <w:shd w:val="clear" w:color="auto" w:fill="D9E1F2"/>
          </w:tcPr>
          <w:p>
            <w:pPr>
              <w:spacing w:after="0" w:line="240" w:lineRule="auto"/>
              <w:jc w:val="right"/>
            </w:pPr>
            <w:r>
              <w:rPr>
                <w:b w:val="0"/>
                <w:i w:val="0"/>
                <w:sz w:val="16"/>
              </w:rPr>
              <w:t>259</w:t>
            </w:r>
          </w:p>
        </w:tc>
        <w:tc>
          <w:tcPr>
            <w:tcW w:type="dxa" w:w="1080"/>
            <w:shd w:val="clear" w:color="auto" w:fill="D9E1F2"/>
          </w:tcPr>
          <w:p>
            <w:pPr>
              <w:spacing w:after="0" w:line="240" w:lineRule="auto"/>
              <w:jc w:val="right"/>
            </w:pPr>
            <w:r>
              <w:rPr>
                <w:b w:val="0"/>
                <w:i w:val="0"/>
                <w:sz w:val="16"/>
              </w:rPr>
              <w:t>69</w:t>
            </w:r>
          </w:p>
        </w:tc>
        <w:tc>
          <w:tcPr>
            <w:tcW w:type="dxa" w:w="1080"/>
            <w:shd w:val="clear" w:color="auto" w:fill="D9E1F2"/>
          </w:tcPr>
          <w:p>
            <w:pPr>
              <w:spacing w:after="0" w:line="240" w:lineRule="auto"/>
              <w:jc w:val="right"/>
            </w:pPr>
            <w:r>
              <w:rPr>
                <w:b w:val="0"/>
                <w:i w:val="0"/>
                <w:sz w:val="16"/>
              </w:rPr>
              <w:t>(30)</w:t>
            </w:r>
          </w:p>
        </w:tc>
        <w:tc>
          <w:tcPr>
            <w:tcW w:type="dxa" w:w="1080"/>
            <w:shd w:val="clear" w:color="auto" w:fill="D9E1F2"/>
          </w:tcPr>
          <w:p>
            <w:pPr>
              <w:spacing w:after="0" w:line="240" w:lineRule="auto"/>
              <w:jc w:val="right"/>
            </w:pPr>
            <w:r>
              <w:rPr>
                <w:b w:val="0"/>
                <w:i w:val="0"/>
                <w:sz w:val="16"/>
              </w:rPr>
              <w:t>298</w:t>
            </w:r>
          </w:p>
        </w:tc>
        <w:tc>
          <w:tcPr>
            <w:tcW w:type="dxa" w:w="1080"/>
            <w:shd w:val="clear" w:color="auto" w:fill="D9E1F2"/>
          </w:tcPr>
          <w:p>
            <w:pPr>
              <w:spacing w:after="0" w:line="240" w:lineRule="auto"/>
              <w:jc w:val="right"/>
            </w:pPr>
            <w:r>
              <w:rPr>
                <w:b w:val="0"/>
                <w:i w:val="0"/>
                <w:sz w:val="16"/>
              </w:rPr>
              <w:t>476</w:t>
            </w:r>
          </w:p>
        </w:tc>
        <w:tc>
          <w:tcPr>
            <w:tcW w:type="dxa" w:w="1080"/>
            <w:shd w:val="clear" w:color="auto" w:fill="D9E1F2"/>
          </w:tcPr>
          <w:p>
            <w:pPr>
              <w:spacing w:after="0" w:line="240" w:lineRule="auto"/>
              <w:jc w:val="right"/>
            </w:pPr>
            <w:r>
              <w:rPr>
                <w:b w:val="0"/>
                <w:i w:val="0"/>
                <w:sz w:val="16"/>
              </w:rPr>
              <w:t>203</w:t>
            </w:r>
          </w:p>
        </w:tc>
        <w:tc>
          <w:tcPr>
            <w:tcW w:type="dxa" w:w="1080"/>
            <w:shd w:val="clear" w:color="auto" w:fill="D9E1F2"/>
          </w:tcPr>
          <w:p>
            <w:pPr>
              <w:spacing w:after="0" w:line="240" w:lineRule="auto"/>
              <w:jc w:val="right"/>
            </w:pPr>
            <w:r>
              <w:rPr>
                <w:b w:val="0"/>
                <w:i w:val="0"/>
                <w:sz w:val="16"/>
              </w:rPr>
              <w:t>(20)</w:t>
            </w:r>
          </w:p>
        </w:tc>
        <w:tc>
          <w:tcPr>
            <w:tcW w:type="dxa" w:w="1080"/>
            <w:shd w:val="clear" w:color="auto" w:fill="D9E1F2"/>
          </w:tcPr>
          <w:p>
            <w:pPr>
              <w:spacing w:after="0" w:line="240" w:lineRule="auto"/>
              <w:jc w:val="right"/>
            </w:pPr>
            <w:r>
              <w:rPr>
                <w:b w:val="0"/>
                <w:i w:val="0"/>
                <w:sz w:val="16"/>
              </w:rPr>
              <w:t>658*</w:t>
            </w:r>
          </w:p>
        </w:tc>
      </w:tr>
      <w:tr>
        <w:trPr>
          <w:cantSplit/>
        </w:trPr>
        <w:tc>
          <w:tcPr>
            <w:tcW w:type="dxa" w:w="1152"/>
          </w:tcPr>
          <w:p>
            <w:pPr>
              <w:spacing w:after="0" w:line="240" w:lineRule="auto"/>
            </w:pPr>
            <w:r>
              <w:rPr>
                <w:b w:val="0"/>
                <w:i w:val="0"/>
                <w:sz w:val="16"/>
              </w:rPr>
              <w:t>FY25</w:t>
            </w:r>
          </w:p>
        </w:tc>
        <w:tc>
          <w:tcPr>
            <w:tcW w:type="dxa" w:w="1080"/>
          </w:tcPr>
          <w:p>
            <w:pPr>
              <w:spacing w:after="0" w:line="240" w:lineRule="auto"/>
              <w:jc w:val="right"/>
            </w:pPr>
            <w:r>
              <w:rPr>
                <w:b w:val="0"/>
                <w:i w:val="0"/>
                <w:sz w:val="16"/>
              </w:rPr>
              <w:t>322</w:t>
            </w:r>
          </w:p>
        </w:tc>
        <w:tc>
          <w:tcPr>
            <w:tcW w:type="dxa" w:w="1080"/>
          </w:tcPr>
          <w:p>
            <w:pPr>
              <w:spacing w:after="0" w:line="240" w:lineRule="auto"/>
              <w:jc w:val="right"/>
            </w:pPr>
            <w:r>
              <w:rPr>
                <w:b w:val="0"/>
                <w:i w:val="0"/>
                <w:sz w:val="16"/>
              </w:rPr>
              <w:t>62</w:t>
            </w:r>
          </w:p>
        </w:tc>
        <w:tc>
          <w:tcPr>
            <w:tcW w:type="dxa" w:w="1080"/>
          </w:tcPr>
          <w:p>
            <w:pPr>
              <w:spacing w:after="0" w:line="240" w:lineRule="auto"/>
              <w:jc w:val="right"/>
            </w:pPr>
            <w:r>
              <w:rPr>
                <w:b w:val="0"/>
                <w:i w:val="0"/>
                <w:sz w:val="16"/>
              </w:rPr>
              <w:t>(45)</w:t>
            </w:r>
          </w:p>
        </w:tc>
        <w:tc>
          <w:tcPr>
            <w:tcW w:type="dxa" w:w="1080"/>
          </w:tcPr>
          <w:p>
            <w:pPr>
              <w:spacing w:after="0" w:line="240" w:lineRule="auto"/>
              <w:jc w:val="right"/>
            </w:pPr>
            <w:r>
              <w:rPr>
                <w:b w:val="0"/>
                <w:i w:val="0"/>
                <w:sz w:val="16"/>
              </w:rPr>
              <w:t>339</w:t>
            </w:r>
          </w:p>
        </w:tc>
        <w:tc>
          <w:tcPr>
            <w:tcW w:type="dxa" w:w="1080"/>
          </w:tcPr>
          <w:p>
            <w:pPr>
              <w:spacing w:after="0" w:line="240" w:lineRule="auto"/>
              <w:jc w:val="right"/>
            </w:pPr>
            <w:r>
              <w:rPr>
                <w:b w:val="0"/>
                <w:i w:val="0"/>
                <w:sz w:val="16"/>
              </w:rPr>
              <w:t>536</w:t>
            </w:r>
          </w:p>
        </w:tc>
        <w:tc>
          <w:tcPr>
            <w:tcW w:type="dxa" w:w="1080"/>
          </w:tcPr>
          <w:p>
            <w:pPr>
              <w:spacing w:after="0" w:line="240" w:lineRule="auto"/>
              <w:jc w:val="right"/>
            </w:pPr>
            <w:r>
              <w:rPr>
                <w:b w:val="0"/>
                <w:i w:val="0"/>
                <w:sz w:val="16"/>
              </w:rPr>
              <w:t>197</w:t>
            </w:r>
          </w:p>
        </w:tc>
        <w:tc>
          <w:tcPr>
            <w:tcW w:type="dxa" w:w="1080"/>
          </w:tcPr>
          <w:p>
            <w:pPr>
              <w:spacing w:after="0" w:line="240" w:lineRule="auto"/>
              <w:jc w:val="right"/>
            </w:pPr>
            <w:r>
              <w:rPr>
                <w:b w:val="0"/>
                <w:i w:val="0"/>
                <w:sz w:val="16"/>
              </w:rPr>
              <w:t>(22)</w:t>
            </w:r>
          </w:p>
        </w:tc>
        <w:tc>
          <w:tcPr>
            <w:tcW w:type="dxa" w:w="1080"/>
          </w:tcPr>
          <w:p>
            <w:pPr>
              <w:spacing w:after="0" w:line="240" w:lineRule="auto"/>
              <w:jc w:val="right"/>
            </w:pPr>
            <w:r>
              <w:rPr>
                <w:b w:val="0"/>
                <w:i w:val="0"/>
                <w:sz w:val="16"/>
              </w:rPr>
              <w:t>711</w:t>
            </w:r>
          </w:p>
        </w:tc>
      </w:tr>
      <w:tr>
        <w:trPr>
          <w:cantSplit/>
        </w:trPr>
        <w:tc>
          <w:tcPr>
            <w:tcW w:type="dxa" w:w="1152"/>
            <w:shd w:val="clear" w:color="auto" w:fill="D9E1F2"/>
          </w:tcPr>
          <w:p>
            <w:pPr>
              <w:spacing w:after="0" w:line="240" w:lineRule="auto"/>
            </w:pPr>
            <w:r>
              <w:rPr>
                <w:b w:val="0"/>
                <w:i w:val="0"/>
                <w:sz w:val="16"/>
              </w:rPr>
              <w:t>Q1-25</w:t>
            </w:r>
          </w:p>
        </w:tc>
        <w:tc>
          <w:tcPr>
            <w:tcW w:type="dxa" w:w="1080"/>
            <w:shd w:val="clear" w:color="auto" w:fill="D9E1F2"/>
          </w:tcPr>
          <w:p>
            <w:pPr>
              <w:spacing w:after="0" w:line="240" w:lineRule="auto"/>
              <w:jc w:val="right"/>
            </w:pPr>
            <w:r>
              <w:rPr>
                <w:b w:val="0"/>
                <w:i w:val="0"/>
                <w:sz w:val="16"/>
              </w:rPr>
              <w:t>77</w:t>
            </w:r>
          </w:p>
        </w:tc>
        <w:tc>
          <w:tcPr>
            <w:tcW w:type="dxa" w:w="1080"/>
            <w:shd w:val="clear" w:color="auto" w:fill="D9E1F2"/>
          </w:tcPr>
          <w:p>
            <w:pPr>
              <w:spacing w:after="0" w:line="240" w:lineRule="auto"/>
              <w:jc w:val="right"/>
            </w:pPr>
            <w:r>
              <w:rPr>
                <w:b w:val="0"/>
                <w:i w:val="0"/>
                <w:sz w:val="16"/>
              </w:rPr>
              <w:t>14</w:t>
            </w:r>
          </w:p>
        </w:tc>
        <w:tc>
          <w:tcPr>
            <w:tcW w:type="dxa" w:w="1080"/>
            <w:shd w:val="clear" w:color="auto" w:fill="D9E1F2"/>
          </w:tcPr>
          <w:p>
            <w:pPr>
              <w:spacing w:after="0" w:line="240" w:lineRule="auto"/>
              <w:jc w:val="right"/>
            </w:pPr>
            <w:r>
              <w:rPr>
                <w:b w:val="0"/>
                <w:i w:val="0"/>
                <w:sz w:val="16"/>
              </w:rPr>
              <w:t>(7)</w:t>
            </w:r>
          </w:p>
        </w:tc>
        <w:tc>
          <w:tcPr>
            <w:tcW w:type="dxa" w:w="1080"/>
            <w:shd w:val="clear" w:color="auto" w:fill="D9E1F2"/>
          </w:tcPr>
          <w:p>
            <w:pPr>
              <w:spacing w:after="0" w:line="240" w:lineRule="auto"/>
              <w:jc w:val="right"/>
            </w:pPr>
            <w:r>
              <w:rPr>
                <w:b w:val="0"/>
                <w:i w:val="0"/>
                <w:sz w:val="16"/>
              </w:rPr>
              <w:t>84</w:t>
            </w:r>
          </w:p>
        </w:tc>
        <w:tc>
          <w:tcPr>
            <w:tcW w:type="dxa" w:w="1080"/>
            <w:shd w:val="clear" w:color="auto" w:fill="D9E1F2"/>
          </w:tcPr>
          <w:p>
            <w:pPr>
              <w:spacing w:after="0" w:line="240" w:lineRule="auto"/>
              <w:jc w:val="right"/>
            </w:pPr>
            <w:r>
              <w:rPr>
                <w:b w:val="0"/>
                <w:i w:val="0"/>
                <w:sz w:val="16"/>
              </w:rPr>
              <w:t>130</w:t>
            </w:r>
          </w:p>
        </w:tc>
        <w:tc>
          <w:tcPr>
            <w:tcW w:type="dxa" w:w="1080"/>
            <w:shd w:val="clear" w:color="auto" w:fill="D9E1F2"/>
          </w:tcPr>
          <w:p>
            <w:pPr>
              <w:spacing w:after="0" w:line="240" w:lineRule="auto"/>
              <w:jc w:val="right"/>
            </w:pPr>
            <w:r>
              <w:rPr>
                <w:b w:val="0"/>
                <w:i w:val="0"/>
                <w:sz w:val="16"/>
              </w:rPr>
              <w:t>44</w:t>
            </w:r>
          </w:p>
        </w:tc>
        <w:tc>
          <w:tcPr>
            <w:tcW w:type="dxa" w:w="1080"/>
            <w:shd w:val="clear" w:color="auto" w:fill="D9E1F2"/>
          </w:tcPr>
          <w:p>
            <w:pPr>
              <w:spacing w:after="0" w:line="240" w:lineRule="auto"/>
              <w:jc w:val="right"/>
            </w:pPr>
            <w:r>
              <w:rPr>
                <w:b w:val="0"/>
                <w:i w:val="0"/>
                <w:sz w:val="16"/>
              </w:rPr>
              <w:t>(5)</w:t>
            </w:r>
          </w:p>
        </w:tc>
        <w:tc>
          <w:tcPr>
            <w:tcW w:type="dxa" w:w="1080"/>
            <w:shd w:val="clear" w:color="auto" w:fill="D9E1F2"/>
          </w:tcPr>
          <w:p>
            <w:pPr>
              <w:spacing w:after="0" w:line="240" w:lineRule="auto"/>
              <w:jc w:val="right"/>
            </w:pPr>
            <w:r>
              <w:rPr>
                <w:b w:val="0"/>
                <w:i w:val="0"/>
                <w:sz w:val="16"/>
              </w:rPr>
              <w:t>169</w:t>
            </w:r>
          </w:p>
        </w:tc>
      </w:tr>
      <w:tr>
        <w:trPr>
          <w:cantSplit/>
        </w:trPr>
        <w:tc>
          <w:tcPr>
            <w:tcW w:type="dxa" w:w="1152"/>
          </w:tcPr>
          <w:p>
            <w:pPr>
              <w:spacing w:after="0" w:line="240" w:lineRule="auto"/>
            </w:pPr>
            <w:r>
              <w:rPr>
                <w:b w:val="0"/>
                <w:i w:val="0"/>
                <w:sz w:val="16"/>
              </w:rPr>
              <w:t>Q1-26</w:t>
            </w:r>
          </w:p>
        </w:tc>
        <w:tc>
          <w:tcPr>
            <w:tcW w:type="dxa" w:w="1080"/>
          </w:tcPr>
          <w:p>
            <w:pPr>
              <w:spacing w:after="0" w:line="240" w:lineRule="auto"/>
              <w:jc w:val="right"/>
            </w:pPr>
            <w:r>
              <w:rPr>
                <w:b w:val="0"/>
                <w:i w:val="0"/>
                <w:sz w:val="16"/>
              </w:rPr>
              <w:t>89</w:t>
            </w:r>
          </w:p>
        </w:tc>
        <w:tc>
          <w:tcPr>
            <w:tcW w:type="dxa" w:w="1080"/>
          </w:tcPr>
          <w:p>
            <w:pPr>
              <w:spacing w:after="0" w:line="240" w:lineRule="auto"/>
              <w:jc w:val="right"/>
            </w:pPr>
            <w:r>
              <w:rPr>
                <w:b w:val="0"/>
                <w:i w:val="0"/>
                <w:sz w:val="16"/>
              </w:rPr>
              <w:t>5</w:t>
            </w:r>
          </w:p>
        </w:tc>
        <w:tc>
          <w:tcPr>
            <w:tcW w:type="dxa" w:w="1080"/>
          </w:tcPr>
          <w:p>
            <w:pPr>
              <w:spacing w:after="0" w:line="240" w:lineRule="auto"/>
              <w:jc w:val="right"/>
            </w:pPr>
            <w:r>
              <w:rPr>
                <w:b w:val="0"/>
                <w:i w:val="0"/>
                <w:sz w:val="16"/>
              </w:rPr>
              <w:t>(13)</w:t>
            </w:r>
          </w:p>
        </w:tc>
        <w:tc>
          <w:tcPr>
            <w:tcW w:type="dxa" w:w="1080"/>
          </w:tcPr>
          <w:p>
            <w:pPr>
              <w:spacing w:after="0" w:line="240" w:lineRule="auto"/>
              <w:jc w:val="right"/>
            </w:pPr>
            <w:r>
              <w:rPr>
                <w:b w:val="0"/>
                <w:i w:val="0"/>
                <w:sz w:val="16"/>
              </w:rPr>
              <w:t>81</w:t>
            </w:r>
          </w:p>
        </w:tc>
        <w:tc>
          <w:tcPr>
            <w:tcW w:type="dxa" w:w="1080"/>
          </w:tcPr>
          <w:p>
            <w:pPr>
              <w:spacing w:after="0" w:line="240" w:lineRule="auto"/>
              <w:jc w:val="right"/>
            </w:pPr>
            <w:r>
              <w:rPr>
                <w:b w:val="0"/>
                <w:i w:val="0"/>
                <w:sz w:val="16"/>
              </w:rPr>
              <w:t>140</w:t>
            </w:r>
          </w:p>
        </w:tc>
        <w:tc>
          <w:tcPr>
            <w:tcW w:type="dxa" w:w="1080"/>
          </w:tcPr>
          <w:p>
            <w:pPr>
              <w:spacing w:after="0" w:line="240" w:lineRule="auto"/>
              <w:jc w:val="right"/>
            </w:pPr>
            <w:r>
              <w:rPr>
                <w:b w:val="0"/>
                <w:i w:val="0"/>
                <w:sz w:val="16"/>
              </w:rPr>
              <w:t>49</w:t>
            </w:r>
          </w:p>
        </w:tc>
        <w:tc>
          <w:tcPr>
            <w:tcW w:type="dxa" w:w="1080"/>
          </w:tcPr>
          <w:p>
            <w:pPr>
              <w:spacing w:after="0" w:line="240" w:lineRule="auto"/>
              <w:jc w:val="right"/>
            </w:pPr>
            <w:r>
              <w:rPr>
                <w:b w:val="0"/>
                <w:i w:val="0"/>
                <w:sz w:val="16"/>
              </w:rPr>
              <w:t>(5)</w:t>
            </w:r>
          </w:p>
        </w:tc>
        <w:tc>
          <w:tcPr>
            <w:tcW w:type="dxa" w:w="1080"/>
          </w:tcPr>
          <w:p>
            <w:pPr>
              <w:spacing w:after="0" w:line="240" w:lineRule="auto"/>
              <w:jc w:val="right"/>
            </w:pPr>
            <w:r>
              <w:rPr>
                <w:b w:val="0"/>
                <w:i w:val="0"/>
                <w:sz w:val="16"/>
              </w:rPr>
              <w:t>184</w:t>
            </w:r>
          </w:p>
        </w:tc>
      </w:tr>
      <w:tr>
        <w:trPr>
          <w:cantSplit/>
        </w:trPr>
        <w:tc>
          <w:tcPr>
            <w:tcW w:type="dxa" w:w="1152"/>
            <w:shd w:val="clear" w:color="auto" w:fill="D9E1F2"/>
          </w:tcPr>
          <w:p>
            <w:pPr>
              <w:spacing w:after="0" w:line="240" w:lineRule="auto"/>
            </w:pPr>
            <w:r>
              <w:rPr>
                <w:b w:val="0"/>
                <w:i w:val="0"/>
                <w:sz w:val="16"/>
              </w:rPr>
              <w:t>Q2-25</w:t>
            </w:r>
          </w:p>
        </w:tc>
        <w:tc>
          <w:tcPr>
            <w:tcW w:type="dxa" w:w="1080"/>
            <w:shd w:val="clear" w:color="auto" w:fill="D9E1F2"/>
          </w:tcPr>
          <w:p>
            <w:pPr>
              <w:spacing w:after="0" w:line="240" w:lineRule="auto"/>
              <w:jc w:val="right"/>
            </w:pPr>
            <w:r>
              <w:rPr>
                <w:b w:val="0"/>
                <w:i w:val="0"/>
                <w:sz w:val="16"/>
              </w:rPr>
              <w:t>89</w:t>
            </w:r>
          </w:p>
        </w:tc>
        <w:tc>
          <w:tcPr>
            <w:tcW w:type="dxa" w:w="1080"/>
            <w:shd w:val="clear" w:color="auto" w:fill="D9E1F2"/>
          </w:tcPr>
          <w:p>
            <w:pPr>
              <w:spacing w:after="0" w:line="240" w:lineRule="auto"/>
              <w:jc w:val="right"/>
            </w:pPr>
            <w:r>
              <w:rPr>
                <w:b w:val="0"/>
                <w:i w:val="0"/>
                <w:sz w:val="16"/>
              </w:rPr>
              <w:t>16</w:t>
            </w:r>
          </w:p>
        </w:tc>
        <w:tc>
          <w:tcPr>
            <w:tcW w:type="dxa" w:w="1080"/>
            <w:shd w:val="clear" w:color="auto" w:fill="D9E1F2"/>
          </w:tcPr>
          <w:p>
            <w:pPr>
              <w:spacing w:after="0" w:line="240" w:lineRule="auto"/>
              <w:jc w:val="right"/>
            </w:pPr>
            <w:r>
              <w:rPr>
                <w:b w:val="0"/>
                <w:i w:val="0"/>
                <w:sz w:val="16"/>
              </w:rPr>
              <w:t>(9)</w:t>
            </w:r>
          </w:p>
        </w:tc>
        <w:tc>
          <w:tcPr>
            <w:tcW w:type="dxa" w:w="1080"/>
            <w:shd w:val="clear" w:color="auto" w:fill="D9E1F2"/>
          </w:tcPr>
          <w:p>
            <w:pPr>
              <w:spacing w:after="0" w:line="240" w:lineRule="auto"/>
              <w:jc w:val="right"/>
            </w:pPr>
            <w:r>
              <w:rPr>
                <w:b w:val="0"/>
                <w:i w:val="0"/>
                <w:sz w:val="16"/>
              </w:rPr>
              <w:t>96</w:t>
            </w:r>
          </w:p>
        </w:tc>
        <w:tc>
          <w:tcPr>
            <w:tcW w:type="dxa" w:w="1080"/>
            <w:shd w:val="clear" w:color="auto" w:fill="D9E1F2"/>
          </w:tcPr>
          <w:p>
            <w:pPr>
              <w:spacing w:after="0" w:line="240" w:lineRule="auto"/>
              <w:jc w:val="right"/>
            </w:pPr>
            <w:r>
              <w:rPr>
                <w:b w:val="0"/>
                <w:i w:val="0"/>
                <w:sz w:val="16"/>
              </w:rPr>
              <w:t>142</w:t>
            </w:r>
          </w:p>
        </w:tc>
        <w:tc>
          <w:tcPr>
            <w:tcW w:type="dxa" w:w="1080"/>
            <w:shd w:val="clear" w:color="auto" w:fill="D9E1F2"/>
          </w:tcPr>
          <w:p>
            <w:pPr>
              <w:spacing w:after="0" w:line="240" w:lineRule="auto"/>
              <w:jc w:val="right"/>
            </w:pPr>
            <w:r>
              <w:rPr>
                <w:b w:val="0"/>
                <w:i w:val="0"/>
                <w:sz w:val="16"/>
              </w:rPr>
              <w:t>49</w:t>
            </w:r>
          </w:p>
        </w:tc>
        <w:tc>
          <w:tcPr>
            <w:tcW w:type="dxa" w:w="1080"/>
            <w:shd w:val="clear" w:color="auto" w:fill="D9E1F2"/>
          </w:tcPr>
          <w:p>
            <w:pPr>
              <w:spacing w:after="0" w:line="240" w:lineRule="auto"/>
              <w:jc w:val="right"/>
            </w:pPr>
            <w:r>
              <w:rPr>
                <w:b w:val="0"/>
                <w:i w:val="0"/>
                <w:sz w:val="16"/>
              </w:rPr>
              <w:t>(3)</w:t>
            </w:r>
          </w:p>
        </w:tc>
        <w:tc>
          <w:tcPr>
            <w:tcW w:type="dxa" w:w="1080"/>
            <w:shd w:val="clear" w:color="auto" w:fill="D9E1F2"/>
          </w:tcPr>
          <w:p>
            <w:pPr>
              <w:spacing w:after="0" w:line="240" w:lineRule="auto"/>
              <w:jc w:val="right"/>
            </w:pPr>
            <w:r>
              <w:rPr>
                <w:b w:val="0"/>
                <w:i w:val="0"/>
                <w:sz w:val="16"/>
              </w:rPr>
              <w:t>188</w:t>
            </w:r>
          </w:p>
        </w:tc>
      </w:tr>
      <w:tr>
        <w:trPr>
          <w:cantSplit/>
        </w:trPr>
        <w:tc>
          <w:tcPr>
            <w:tcW w:type="dxa" w:w="1152"/>
          </w:tcPr>
          <w:p>
            <w:pPr>
              <w:spacing w:after="0" w:line="240" w:lineRule="auto"/>
            </w:pPr>
            <w:r>
              <w:rPr>
                <w:b w:val="0"/>
                <w:i w:val="0"/>
                <w:sz w:val="16"/>
              </w:rPr>
              <w:t>Q2-26</w:t>
            </w:r>
          </w:p>
        </w:tc>
        <w:tc>
          <w:tcPr>
            <w:tcW w:type="dxa" w:w="1080"/>
          </w:tcPr>
          <w:p>
            <w:pPr>
              <w:spacing w:after="0" w:line="240" w:lineRule="auto"/>
              <w:jc w:val="right"/>
            </w:pPr>
            <w:r>
              <w:rPr>
                <w:b w:val="0"/>
                <w:i w:val="0"/>
                <w:sz w:val="16"/>
              </w:rPr>
              <w:t>101</w:t>
            </w:r>
          </w:p>
        </w:tc>
        <w:tc>
          <w:tcPr>
            <w:tcW w:type="dxa" w:w="1080"/>
          </w:tcPr>
          <w:p>
            <w:pPr>
              <w:spacing w:after="0" w:line="240" w:lineRule="auto"/>
              <w:jc w:val="right"/>
            </w:pPr>
            <w:r>
              <w:rPr>
                <w:b w:val="0"/>
                <w:i w:val="0"/>
                <w:sz w:val="16"/>
              </w:rPr>
              <w:t>3</w:t>
            </w:r>
          </w:p>
        </w:tc>
        <w:tc>
          <w:tcPr>
            <w:tcW w:type="dxa" w:w="1080"/>
          </w:tcPr>
          <w:p>
            <w:pPr>
              <w:spacing w:after="0" w:line="240" w:lineRule="auto"/>
              <w:jc w:val="right"/>
            </w:pPr>
            <w:r>
              <w:rPr>
                <w:b w:val="0"/>
                <w:i w:val="0"/>
                <w:sz w:val="16"/>
              </w:rPr>
              <w:t>(22)</w:t>
            </w:r>
          </w:p>
        </w:tc>
        <w:tc>
          <w:tcPr>
            <w:tcW w:type="dxa" w:w="1080"/>
          </w:tcPr>
          <w:p>
            <w:pPr>
              <w:spacing w:after="0" w:line="240" w:lineRule="auto"/>
              <w:jc w:val="right"/>
            </w:pPr>
            <w:r>
              <w:rPr>
                <w:b w:val="0"/>
                <w:i w:val="0"/>
                <w:sz w:val="16"/>
              </w:rPr>
              <w:t>82</w:t>
            </w:r>
          </w:p>
        </w:tc>
        <w:tc>
          <w:tcPr>
            <w:tcW w:type="dxa" w:w="1080"/>
          </w:tcPr>
          <w:p>
            <w:pPr>
              <w:spacing w:after="0" w:line="240" w:lineRule="auto"/>
              <w:jc w:val="right"/>
            </w:pPr>
            <w:r>
              <w:rPr>
                <w:b w:val="0"/>
                <w:i w:val="0"/>
                <w:sz w:val="16"/>
              </w:rPr>
              <w:t>153</w:t>
            </w:r>
          </w:p>
        </w:tc>
        <w:tc>
          <w:tcPr>
            <w:tcW w:type="dxa" w:w="1080"/>
          </w:tcPr>
          <w:p>
            <w:pPr>
              <w:spacing w:after="0" w:line="240" w:lineRule="auto"/>
              <w:jc w:val="right"/>
            </w:pPr>
            <w:r>
              <w:rPr>
                <w:b w:val="0"/>
                <w:i w:val="0"/>
                <w:sz w:val="16"/>
              </w:rPr>
              <w:t>53</w:t>
            </w:r>
          </w:p>
        </w:tc>
        <w:tc>
          <w:tcPr>
            <w:tcW w:type="dxa" w:w="1080"/>
          </w:tcPr>
          <w:p>
            <w:pPr>
              <w:spacing w:after="0" w:line="240" w:lineRule="auto"/>
              <w:jc w:val="right"/>
            </w:pPr>
            <w:r>
              <w:rPr>
                <w:b w:val="0"/>
                <w:i w:val="0"/>
                <w:sz w:val="16"/>
              </w:rPr>
              <w:t>(4)</w:t>
            </w:r>
          </w:p>
        </w:tc>
        <w:tc>
          <w:tcPr>
            <w:tcW w:type="dxa" w:w="1080"/>
          </w:tcPr>
          <w:p>
            <w:pPr>
              <w:spacing w:after="0" w:line="240" w:lineRule="auto"/>
              <w:jc w:val="right"/>
            </w:pPr>
            <w:r>
              <w:rPr>
                <w:b w:val="0"/>
                <w:i w:val="0"/>
                <w:sz w:val="16"/>
              </w:rPr>
              <w:t>202</w:t>
            </w:r>
          </w:p>
        </w:tc>
      </w:tr>
      <w:tr>
        <w:trPr>
          <w:cantSplit/>
        </w:trPr>
        <w:tc>
          <w:tcPr>
            <w:tcW w:type="dxa" w:w="1152"/>
            <w:shd w:val="clear" w:color="auto" w:fill="D9E1F2"/>
          </w:tcPr>
          <w:p>
            <w:pPr>
              <w:spacing w:after="0" w:line="240" w:lineRule="auto"/>
            </w:pPr>
            <w:r>
              <w:rPr>
                <w:b w:val="0"/>
                <w:i w:val="0"/>
                <w:sz w:val="16"/>
              </w:rPr>
              <w:t>6M-25</w:t>
            </w:r>
          </w:p>
        </w:tc>
        <w:tc>
          <w:tcPr>
            <w:tcW w:type="dxa" w:w="1080"/>
            <w:shd w:val="clear" w:color="auto" w:fill="D9E1F2"/>
          </w:tcPr>
          <w:p>
            <w:pPr>
              <w:spacing w:after="0" w:line="240" w:lineRule="auto"/>
              <w:jc w:val="right"/>
            </w:pPr>
            <w:r>
              <w:rPr>
                <w:b w:val="0"/>
                <w:i w:val="0"/>
                <w:sz w:val="16"/>
              </w:rPr>
              <w:t>166</w:t>
            </w:r>
          </w:p>
        </w:tc>
        <w:tc>
          <w:tcPr>
            <w:tcW w:type="dxa" w:w="1080"/>
            <w:shd w:val="clear" w:color="auto" w:fill="D9E1F2"/>
          </w:tcPr>
          <w:p>
            <w:pPr>
              <w:spacing w:after="0" w:line="240" w:lineRule="auto"/>
              <w:jc w:val="right"/>
            </w:pPr>
            <w:r>
              <w:rPr>
                <w:b w:val="0"/>
                <w:i w:val="0"/>
                <w:sz w:val="16"/>
              </w:rPr>
              <w:t>30</w:t>
            </w:r>
          </w:p>
        </w:tc>
        <w:tc>
          <w:tcPr>
            <w:tcW w:type="dxa" w:w="1080"/>
            <w:shd w:val="clear" w:color="auto" w:fill="D9E1F2"/>
          </w:tcPr>
          <w:p>
            <w:pPr>
              <w:spacing w:after="0" w:line="240" w:lineRule="auto"/>
              <w:jc w:val="right"/>
            </w:pPr>
            <w:r>
              <w:rPr>
                <w:b w:val="0"/>
                <w:i w:val="0"/>
                <w:sz w:val="16"/>
              </w:rPr>
              <w:t>(16)</w:t>
            </w:r>
          </w:p>
        </w:tc>
        <w:tc>
          <w:tcPr>
            <w:tcW w:type="dxa" w:w="1080"/>
            <w:shd w:val="clear" w:color="auto" w:fill="D9E1F2"/>
          </w:tcPr>
          <w:p>
            <w:pPr>
              <w:spacing w:after="0" w:line="240" w:lineRule="auto"/>
              <w:jc w:val="right"/>
            </w:pPr>
            <w:r>
              <w:rPr>
                <w:b w:val="0"/>
                <w:i w:val="0"/>
                <w:sz w:val="16"/>
              </w:rPr>
              <w:t>180</w:t>
            </w:r>
          </w:p>
        </w:tc>
        <w:tc>
          <w:tcPr>
            <w:tcW w:type="dxa" w:w="1080"/>
            <w:shd w:val="clear" w:color="auto" w:fill="D9E1F2"/>
          </w:tcPr>
          <w:p>
            <w:pPr>
              <w:spacing w:after="0" w:line="240" w:lineRule="auto"/>
              <w:jc w:val="right"/>
            </w:pPr>
            <w:r>
              <w:rPr>
                <w:b w:val="0"/>
                <w:i w:val="0"/>
                <w:sz w:val="16"/>
              </w:rPr>
              <w:t>272</w:t>
            </w:r>
          </w:p>
        </w:tc>
        <w:tc>
          <w:tcPr>
            <w:tcW w:type="dxa" w:w="1080"/>
            <w:shd w:val="clear" w:color="auto" w:fill="D9E1F2"/>
          </w:tcPr>
          <w:p>
            <w:pPr>
              <w:spacing w:after="0" w:line="240" w:lineRule="auto"/>
              <w:jc w:val="right"/>
            </w:pPr>
            <w:r>
              <w:rPr>
                <w:b w:val="0"/>
                <w:i w:val="0"/>
                <w:sz w:val="16"/>
              </w:rPr>
              <w:t>93</w:t>
            </w:r>
          </w:p>
        </w:tc>
        <w:tc>
          <w:tcPr>
            <w:tcW w:type="dxa" w:w="1080"/>
            <w:shd w:val="clear" w:color="auto" w:fill="D9E1F2"/>
          </w:tcPr>
          <w:p>
            <w:pPr>
              <w:spacing w:after="0" w:line="240" w:lineRule="auto"/>
              <w:jc w:val="right"/>
            </w:pPr>
            <w:r>
              <w:rPr>
                <w:b w:val="0"/>
                <w:i w:val="0"/>
                <w:sz w:val="16"/>
              </w:rPr>
              <w:t>(8)</w:t>
            </w:r>
          </w:p>
        </w:tc>
        <w:tc>
          <w:tcPr>
            <w:tcW w:type="dxa" w:w="1080"/>
            <w:shd w:val="clear" w:color="auto" w:fill="D9E1F2"/>
          </w:tcPr>
          <w:p>
            <w:pPr>
              <w:spacing w:after="0" w:line="240" w:lineRule="auto"/>
              <w:jc w:val="right"/>
            </w:pPr>
            <w:r>
              <w:rPr>
                <w:b w:val="0"/>
                <w:i w:val="0"/>
                <w:sz w:val="16"/>
              </w:rPr>
              <w:t>357</w:t>
            </w:r>
          </w:p>
        </w:tc>
      </w:tr>
      <w:tr>
        <w:trPr>
          <w:cantSplit/>
        </w:trPr>
        <w:tc>
          <w:tcPr>
            <w:tcW w:type="dxa" w:w="1152"/>
          </w:tcPr>
          <w:p>
            <w:pPr>
              <w:spacing w:after="0" w:line="240" w:lineRule="auto"/>
            </w:pPr>
            <w:r>
              <w:rPr>
                <w:b w:val="0"/>
                <w:i w:val="0"/>
                <w:sz w:val="16"/>
              </w:rPr>
              <w:t>6M-26</w:t>
            </w:r>
          </w:p>
        </w:tc>
        <w:tc>
          <w:tcPr>
            <w:tcW w:type="dxa" w:w="1080"/>
          </w:tcPr>
          <w:p>
            <w:pPr>
              <w:spacing w:after="0" w:line="240" w:lineRule="auto"/>
              <w:jc w:val="right"/>
            </w:pPr>
            <w:r>
              <w:rPr>
                <w:b w:val="0"/>
                <w:i w:val="0"/>
                <w:sz w:val="16"/>
              </w:rPr>
              <w:t>190</w:t>
            </w:r>
          </w:p>
        </w:tc>
        <w:tc>
          <w:tcPr>
            <w:tcW w:type="dxa" w:w="1080"/>
          </w:tcPr>
          <w:p>
            <w:pPr>
              <w:spacing w:after="0" w:line="240" w:lineRule="auto"/>
              <w:jc w:val="right"/>
            </w:pPr>
            <w:r>
              <w:rPr>
                <w:b w:val="0"/>
                <w:i w:val="0"/>
                <w:sz w:val="16"/>
              </w:rPr>
              <w:t>8</w:t>
            </w:r>
          </w:p>
        </w:tc>
        <w:tc>
          <w:tcPr>
            <w:tcW w:type="dxa" w:w="1080"/>
          </w:tcPr>
          <w:p>
            <w:pPr>
              <w:spacing w:after="0" w:line="240" w:lineRule="auto"/>
              <w:jc w:val="right"/>
            </w:pPr>
            <w:r>
              <w:rPr>
                <w:b w:val="0"/>
                <w:i w:val="0"/>
                <w:sz w:val="16"/>
              </w:rPr>
              <w:t>(35)</w:t>
            </w:r>
          </w:p>
        </w:tc>
        <w:tc>
          <w:tcPr>
            <w:tcW w:type="dxa" w:w="1080"/>
          </w:tcPr>
          <w:p>
            <w:pPr>
              <w:spacing w:after="0" w:line="240" w:lineRule="auto"/>
              <w:jc w:val="right"/>
            </w:pPr>
            <w:r>
              <w:rPr>
                <w:b w:val="0"/>
                <w:i w:val="0"/>
                <w:sz w:val="16"/>
              </w:rPr>
              <w:t>163</w:t>
            </w:r>
          </w:p>
        </w:tc>
        <w:tc>
          <w:tcPr>
            <w:tcW w:type="dxa" w:w="1080"/>
          </w:tcPr>
          <w:p>
            <w:pPr>
              <w:spacing w:after="0" w:line="240" w:lineRule="auto"/>
              <w:jc w:val="right"/>
            </w:pPr>
            <w:r>
              <w:rPr>
                <w:b w:val="0"/>
                <w:i w:val="0"/>
                <w:sz w:val="16"/>
              </w:rPr>
              <w:t>293</w:t>
            </w:r>
          </w:p>
        </w:tc>
        <w:tc>
          <w:tcPr>
            <w:tcW w:type="dxa" w:w="1080"/>
          </w:tcPr>
          <w:p>
            <w:pPr>
              <w:spacing w:after="0" w:line="240" w:lineRule="auto"/>
              <w:jc w:val="right"/>
            </w:pPr>
            <w:r>
              <w:rPr>
                <w:b w:val="0"/>
                <w:i w:val="0"/>
                <w:sz w:val="16"/>
              </w:rPr>
              <w:t>102</w:t>
            </w:r>
          </w:p>
        </w:tc>
        <w:tc>
          <w:tcPr>
            <w:tcW w:type="dxa" w:w="1080"/>
          </w:tcPr>
          <w:p>
            <w:pPr>
              <w:spacing w:after="0" w:line="240" w:lineRule="auto"/>
              <w:jc w:val="right"/>
            </w:pPr>
            <w:r>
              <w:rPr>
                <w:b w:val="0"/>
                <w:i w:val="0"/>
                <w:sz w:val="16"/>
              </w:rPr>
              <w:t>(9)</w:t>
            </w:r>
          </w:p>
        </w:tc>
        <w:tc>
          <w:tcPr>
            <w:tcW w:type="dxa" w:w="1080"/>
          </w:tcPr>
          <w:p>
            <w:pPr>
              <w:spacing w:after="0" w:line="240" w:lineRule="auto"/>
              <w:jc w:val="right"/>
            </w:pPr>
            <w:r>
              <w:rPr>
                <w:b w:val="0"/>
                <w:i w:val="0"/>
                <w:sz w:val="16"/>
              </w:rPr>
              <w:t>386</w:t>
            </w:r>
          </w:p>
        </w:tc>
      </w:tr>
    </w:tbl>
    <w:p>
      <w:pPr>
        <w:spacing w:after="120"/>
      </w:pPr>
      <w:r>
        <w:rPr>
          <w:b w:val="0"/>
          <w:i/>
          <w:color w:val="595959"/>
          <w:sz w:val="15"/>
        </w:rPr>
        <w:t>Source: analysis/K_session_tables.md (D3). *Printed total; the segment columns sum to 597 / 659.</w:t>
      </w:r>
    </w:p>
    <w:p>
      <w:pPr>
        <w:keepNext/>
        <w:spacing w:before="80" w:after="40"/>
      </w:pPr>
      <w:r>
        <w:rPr>
          <w:b/>
          <w:i w:val="0"/>
          <w:color w:val="1F3864"/>
          <w:sz w:val="17"/>
        </w:rPr>
        <w:t>Exhibit 9.2 — Basis 1 → Basis 2 walk by segment, FY25</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3857"/>
        <w:gridCol w:w="1483"/>
        <w:gridCol w:w="1483"/>
        <w:gridCol w:w="1483"/>
        <w:gridCol w:w="1483"/>
      </w:tblGrid>
      <w:tr>
        <w:trPr>
          <w:cantSplit/>
          <w:tblHeader/>
        </w:trPr>
        <w:tc>
          <w:tcPr>
            <w:tcW w:type="dxa" w:w="3857"/>
            <w:shd w:val="clear" w:color="auto" w:fill="1F3864"/>
          </w:tcPr>
          <w:p>
            <w:pPr>
              <w:spacing w:after="0" w:line="240" w:lineRule="auto"/>
            </w:pPr>
            <w:r>
              <w:rPr>
                <w:b/>
                <w:i w:val="0"/>
                <w:color w:val="FFFFFF"/>
                <w:sz w:val="16"/>
              </w:rPr>
              <w:t>FY2025, $m</w:t>
            </w:r>
          </w:p>
        </w:tc>
        <w:tc>
          <w:tcPr>
            <w:tcW w:type="dxa" w:w="1484"/>
            <w:shd w:val="clear" w:color="auto" w:fill="1F3864"/>
          </w:tcPr>
          <w:p>
            <w:pPr>
              <w:spacing w:after="0" w:line="240" w:lineRule="auto"/>
              <w:jc w:val="right"/>
            </w:pPr>
            <w:r>
              <w:rPr>
                <w:b/>
                <w:i w:val="0"/>
                <w:color w:val="FFFFFF"/>
                <w:sz w:val="16"/>
              </w:rPr>
              <w:t>CARFAX</w:t>
            </w:r>
          </w:p>
        </w:tc>
        <w:tc>
          <w:tcPr>
            <w:tcW w:type="dxa" w:w="1484"/>
            <w:shd w:val="clear" w:color="auto" w:fill="1F3864"/>
          </w:tcPr>
          <w:p>
            <w:pPr>
              <w:spacing w:after="0" w:line="240" w:lineRule="auto"/>
              <w:jc w:val="right"/>
            </w:pPr>
            <w:r>
              <w:rPr>
                <w:b/>
                <w:i w:val="0"/>
                <w:color w:val="FFFFFF"/>
                <w:sz w:val="16"/>
              </w:rPr>
              <w:t>B2B</w:t>
            </w:r>
          </w:p>
        </w:tc>
        <w:tc>
          <w:tcPr>
            <w:tcW w:type="dxa" w:w="1484"/>
            <w:shd w:val="clear" w:color="auto" w:fill="1F3864"/>
          </w:tcPr>
          <w:p>
            <w:pPr>
              <w:spacing w:after="0" w:line="240" w:lineRule="auto"/>
              <w:jc w:val="right"/>
            </w:pPr>
            <w:r>
              <w:rPr>
                <w:b/>
                <w:i w:val="0"/>
                <w:color w:val="FFFFFF"/>
                <w:sz w:val="16"/>
              </w:rPr>
              <w:t>Corporate</w:t>
            </w:r>
          </w:p>
        </w:tc>
        <w:tc>
          <w:tcPr>
            <w:tcW w:type="dxa" w:w="1484"/>
            <w:shd w:val="clear" w:color="auto" w:fill="1F3864"/>
          </w:tcPr>
          <w:p>
            <w:pPr>
              <w:spacing w:after="0" w:line="240" w:lineRule="auto"/>
              <w:jc w:val="right"/>
            </w:pPr>
            <w:r>
              <w:rPr>
                <w:b/>
                <w:i w:val="0"/>
                <w:color w:val="FFFFFF"/>
                <w:sz w:val="16"/>
              </w:rPr>
              <w:t>Total</w:t>
            </w:r>
          </w:p>
        </w:tc>
      </w:tr>
      <w:tr>
        <w:trPr>
          <w:cantSplit/>
        </w:trPr>
        <w:tc>
          <w:tcPr>
            <w:tcW w:type="dxa" w:w="3857"/>
          </w:tcPr>
          <w:p>
            <w:pPr>
              <w:spacing w:after="0" w:line="240" w:lineRule="auto"/>
            </w:pPr>
            <w:r>
              <w:rPr>
                <w:b w:val="0"/>
                <w:i w:val="0"/>
                <w:sz w:val="16"/>
              </w:rPr>
              <w:t>Segment OP</w:t>
            </w:r>
          </w:p>
        </w:tc>
        <w:tc>
          <w:tcPr>
            <w:tcW w:type="dxa" w:w="1484"/>
          </w:tcPr>
          <w:p>
            <w:pPr>
              <w:spacing w:after="0" w:line="240" w:lineRule="auto"/>
              <w:jc w:val="right"/>
            </w:pPr>
            <w:r>
              <w:rPr>
                <w:b w:val="0"/>
                <w:i w:val="0"/>
                <w:sz w:val="16"/>
              </w:rPr>
              <w:t>322</w:t>
            </w:r>
          </w:p>
        </w:tc>
        <w:tc>
          <w:tcPr>
            <w:tcW w:type="dxa" w:w="1484"/>
          </w:tcPr>
          <w:p>
            <w:pPr>
              <w:spacing w:after="0" w:line="240" w:lineRule="auto"/>
              <w:jc w:val="right"/>
            </w:pPr>
            <w:r>
              <w:rPr>
                <w:b w:val="0"/>
                <w:i w:val="0"/>
                <w:sz w:val="16"/>
              </w:rPr>
              <w:t>62</w:t>
            </w:r>
          </w:p>
        </w:tc>
        <w:tc>
          <w:tcPr>
            <w:tcW w:type="dxa" w:w="1484"/>
          </w:tcPr>
          <w:p>
            <w:pPr>
              <w:spacing w:after="0" w:line="240" w:lineRule="auto"/>
              <w:jc w:val="right"/>
            </w:pPr>
            <w:r>
              <w:rPr>
                <w:b w:val="0"/>
                <w:i w:val="0"/>
                <w:sz w:val="16"/>
              </w:rPr>
              <w:t>(45)</w:t>
            </w:r>
          </w:p>
        </w:tc>
        <w:tc>
          <w:tcPr>
            <w:tcW w:type="dxa" w:w="1484"/>
          </w:tcPr>
          <w:p>
            <w:pPr>
              <w:spacing w:after="0" w:line="240" w:lineRule="auto"/>
              <w:jc w:val="right"/>
            </w:pPr>
            <w:r>
              <w:rPr>
                <w:b w:val="0"/>
                <w:i w:val="0"/>
                <w:sz w:val="16"/>
              </w:rPr>
              <w:t>339</w:t>
            </w:r>
          </w:p>
        </w:tc>
      </w:tr>
      <w:tr>
        <w:trPr>
          <w:cantSplit/>
        </w:trPr>
        <w:tc>
          <w:tcPr>
            <w:tcW w:type="dxa" w:w="3857"/>
            <w:shd w:val="clear" w:color="auto" w:fill="D9E1F2"/>
          </w:tcPr>
          <w:p>
            <w:pPr>
              <w:spacing w:after="0" w:line="240" w:lineRule="auto"/>
            </w:pPr>
            <w:r>
              <w:rPr>
                <w:b w:val="0"/>
                <w:i w:val="0"/>
                <w:sz w:val="16"/>
              </w:rPr>
              <w:t>+ Acquired-intangible amortization</w:t>
            </w:r>
          </w:p>
        </w:tc>
        <w:tc>
          <w:tcPr>
            <w:tcW w:type="dxa" w:w="1484"/>
            <w:shd w:val="clear" w:color="auto" w:fill="D9E1F2"/>
          </w:tcPr>
          <w:p>
            <w:pPr>
              <w:spacing w:after="0" w:line="240" w:lineRule="auto"/>
              <w:jc w:val="right"/>
            </w:pPr>
            <w:r>
              <w:rPr>
                <w:b w:val="0"/>
                <w:i w:val="0"/>
                <w:sz w:val="16"/>
              </w:rPr>
              <w:t>189</w:t>
            </w:r>
          </w:p>
        </w:tc>
        <w:tc>
          <w:tcPr>
            <w:tcW w:type="dxa" w:w="1484"/>
            <w:shd w:val="clear" w:color="auto" w:fill="D9E1F2"/>
          </w:tcPr>
          <w:p>
            <w:pPr>
              <w:spacing w:after="0" w:line="240" w:lineRule="auto"/>
              <w:jc w:val="right"/>
            </w:pPr>
            <w:r>
              <w:rPr>
                <w:b w:val="0"/>
                <w:i w:val="0"/>
                <w:sz w:val="16"/>
              </w:rPr>
              <w:t>107</w:t>
            </w:r>
          </w:p>
        </w:tc>
        <w:tc>
          <w:tcPr>
            <w:tcW w:type="dxa" w:w="1484"/>
            <w:shd w:val="clear" w:color="auto" w:fill="D9E1F2"/>
          </w:tcPr>
          <w:p>
            <w:pPr>
              <w:spacing w:after="0" w:line="240" w:lineRule="auto"/>
              <w:jc w:val="right"/>
            </w:pPr>
            <w:r>
              <w:rPr>
                <w:b w:val="0"/>
                <w:i w:val="0"/>
                <w:sz w:val="16"/>
              </w:rPr>
              <w:t>—</w:t>
            </w:r>
          </w:p>
        </w:tc>
        <w:tc>
          <w:tcPr>
            <w:tcW w:type="dxa" w:w="1484"/>
            <w:shd w:val="clear" w:color="auto" w:fill="D9E1F2"/>
          </w:tcPr>
          <w:p>
            <w:pPr>
              <w:spacing w:after="0" w:line="240" w:lineRule="auto"/>
              <w:jc w:val="right"/>
            </w:pPr>
            <w:r>
              <w:rPr>
                <w:b w:val="0"/>
                <w:i w:val="0"/>
                <w:sz w:val="16"/>
              </w:rPr>
              <w:t>296</w:t>
            </w:r>
          </w:p>
        </w:tc>
      </w:tr>
      <w:tr>
        <w:trPr>
          <w:cantSplit/>
        </w:trPr>
        <w:tc>
          <w:tcPr>
            <w:tcW w:type="dxa" w:w="3857"/>
          </w:tcPr>
          <w:p>
            <w:pPr>
              <w:spacing w:after="0" w:line="240" w:lineRule="auto"/>
            </w:pPr>
            <w:r>
              <w:rPr>
                <w:b w:val="0"/>
                <w:i w:val="0"/>
                <w:sz w:val="16"/>
              </w:rPr>
              <w:t>+ Special items (severance, transaction, ELT, legal, other)</w:t>
            </w:r>
          </w:p>
        </w:tc>
        <w:tc>
          <w:tcPr>
            <w:tcW w:type="dxa" w:w="1484"/>
          </w:tcPr>
          <w:p>
            <w:pPr>
              <w:spacing w:after="0" w:line="240" w:lineRule="auto"/>
              <w:jc w:val="right"/>
            </w:pPr>
            <w:r>
              <w:rPr>
                <w:b w:val="0"/>
                <w:i w:val="0"/>
                <w:sz w:val="16"/>
              </w:rPr>
              <w:t xml:space="preserve">3 </w:t>
            </w:r>
            <w:r>
              <w:rPr>
                <w:b/>
                <w:color w:val="2E548C"/>
                <w:sz w:val="13"/>
              </w:rPr>
              <w:t>[C, residual]</w:t>
            </w:r>
          </w:p>
        </w:tc>
        <w:tc>
          <w:tcPr>
            <w:tcW w:type="dxa" w:w="1484"/>
          </w:tcPr>
          <w:p>
            <w:pPr>
              <w:spacing w:after="0" w:line="240" w:lineRule="auto"/>
              <w:jc w:val="right"/>
            </w:pPr>
            <w:r>
              <w:rPr>
                <w:b w:val="0"/>
                <w:i w:val="0"/>
                <w:sz w:val="16"/>
              </w:rPr>
              <w:t>14 (13 + 9 − 5 − 3)</w:t>
            </w:r>
          </w:p>
        </w:tc>
        <w:tc>
          <w:tcPr>
            <w:tcW w:type="dxa" w:w="1484"/>
          </w:tcPr>
          <w:p>
            <w:pPr>
              <w:spacing w:after="0" w:line="240" w:lineRule="auto"/>
              <w:jc w:val="right"/>
            </w:pPr>
            <w:r>
              <w:rPr>
                <w:b w:val="0"/>
                <w:i w:val="0"/>
                <w:sz w:val="16"/>
              </w:rPr>
              <w:t>23 (12 + 5 + 5 + 1)</w:t>
            </w:r>
          </w:p>
        </w:tc>
        <w:tc>
          <w:tcPr>
            <w:tcW w:type="dxa" w:w="1484"/>
          </w:tcPr>
          <w:p>
            <w:pPr>
              <w:spacing w:after="0" w:line="240" w:lineRule="auto"/>
              <w:jc w:val="right"/>
            </w:pPr>
            <w:r>
              <w:rPr>
                <w:b w:val="0"/>
                <w:i w:val="0"/>
                <w:sz w:val="16"/>
              </w:rPr>
              <w:t>40</w:t>
            </w:r>
          </w:p>
        </w:tc>
      </w:tr>
      <w:tr>
        <w:trPr>
          <w:cantSplit/>
        </w:trPr>
        <w:tc>
          <w:tcPr>
            <w:tcW w:type="dxa" w:w="3857"/>
            <w:shd w:val="clear" w:color="auto" w:fill="D9E1F2"/>
          </w:tcPr>
          <w:p>
            <w:pPr>
              <w:spacing w:after="0" w:line="240" w:lineRule="auto"/>
            </w:pPr>
            <w:r>
              <w:rPr>
                <w:b w:val="0"/>
                <w:i w:val="0"/>
                <w:sz w:val="16"/>
              </w:rPr>
              <w:t>= Adjusted OP</w:t>
            </w:r>
          </w:p>
        </w:tc>
        <w:tc>
          <w:tcPr>
            <w:tcW w:type="dxa" w:w="1484"/>
            <w:shd w:val="clear" w:color="auto" w:fill="D9E1F2"/>
          </w:tcPr>
          <w:p>
            <w:pPr>
              <w:spacing w:after="0" w:line="240" w:lineRule="auto"/>
              <w:jc w:val="right"/>
            </w:pPr>
            <w:r>
              <w:rPr>
                <w:b w:val="0"/>
                <w:i w:val="0"/>
                <w:sz w:val="16"/>
              </w:rPr>
              <w:t>514</w:t>
            </w:r>
          </w:p>
        </w:tc>
        <w:tc>
          <w:tcPr>
            <w:tcW w:type="dxa" w:w="1484"/>
            <w:shd w:val="clear" w:color="auto" w:fill="D9E1F2"/>
          </w:tcPr>
          <w:p>
            <w:pPr>
              <w:spacing w:after="0" w:line="240" w:lineRule="auto"/>
              <w:jc w:val="right"/>
            </w:pPr>
            <w:r>
              <w:rPr>
                <w:b w:val="0"/>
                <w:i w:val="0"/>
                <w:sz w:val="16"/>
              </w:rPr>
              <w:t>183</w:t>
            </w:r>
          </w:p>
        </w:tc>
        <w:tc>
          <w:tcPr>
            <w:tcW w:type="dxa" w:w="1484"/>
            <w:shd w:val="clear" w:color="auto" w:fill="D9E1F2"/>
          </w:tcPr>
          <w:p>
            <w:pPr>
              <w:spacing w:after="0" w:line="240" w:lineRule="auto"/>
              <w:jc w:val="right"/>
            </w:pPr>
            <w:r>
              <w:rPr>
                <w:b w:val="0"/>
                <w:i w:val="0"/>
                <w:sz w:val="16"/>
              </w:rPr>
              <w:t>(22)</w:t>
            </w:r>
          </w:p>
        </w:tc>
        <w:tc>
          <w:tcPr>
            <w:tcW w:type="dxa" w:w="1484"/>
            <w:shd w:val="clear" w:color="auto" w:fill="D9E1F2"/>
          </w:tcPr>
          <w:p>
            <w:pPr>
              <w:spacing w:after="0" w:line="240" w:lineRule="auto"/>
              <w:jc w:val="right"/>
            </w:pPr>
            <w:r>
              <w:rPr>
                <w:b w:val="0"/>
                <w:i w:val="0"/>
                <w:sz w:val="16"/>
              </w:rPr>
              <w:t>675</w:t>
            </w:r>
          </w:p>
        </w:tc>
      </w:tr>
      <w:tr>
        <w:trPr>
          <w:cantSplit/>
        </w:trPr>
        <w:tc>
          <w:tcPr>
            <w:tcW w:type="dxa" w:w="3857"/>
          </w:tcPr>
          <w:p>
            <w:pPr>
              <w:spacing w:after="0" w:line="240" w:lineRule="auto"/>
            </w:pPr>
            <w:r>
              <w:rPr>
                <w:b w:val="0"/>
                <w:i w:val="0"/>
                <w:sz w:val="16"/>
              </w:rPr>
              <w:t>+ Depreciation + SBC</w:t>
            </w:r>
          </w:p>
        </w:tc>
        <w:tc>
          <w:tcPr>
            <w:tcW w:type="dxa" w:w="1484"/>
          </w:tcPr>
          <w:p>
            <w:pPr>
              <w:spacing w:after="0" w:line="240" w:lineRule="auto"/>
              <w:jc w:val="right"/>
            </w:pPr>
            <w:r>
              <w:rPr>
                <w:b w:val="0"/>
                <w:i w:val="0"/>
                <w:sz w:val="16"/>
              </w:rPr>
              <w:t xml:space="preserve">22 </w:t>
            </w:r>
            <w:r>
              <w:rPr>
                <w:b/>
                <w:color w:val="2E548C"/>
                <w:sz w:val="13"/>
              </w:rPr>
              <w:t>[C, residual]</w:t>
            </w:r>
          </w:p>
        </w:tc>
        <w:tc>
          <w:tcPr>
            <w:tcW w:type="dxa" w:w="1484"/>
          </w:tcPr>
          <w:p>
            <w:pPr>
              <w:spacing w:after="0" w:line="240" w:lineRule="auto"/>
              <w:jc w:val="right"/>
            </w:pPr>
            <w:r>
              <w:rPr>
                <w:b w:val="0"/>
                <w:i w:val="0"/>
                <w:sz w:val="16"/>
              </w:rPr>
              <w:t xml:space="preserve">14 </w:t>
            </w:r>
            <w:r>
              <w:rPr>
                <w:b/>
                <w:color w:val="2E548C"/>
                <w:sz w:val="13"/>
              </w:rPr>
              <w:t>[C, residual]</w:t>
            </w:r>
          </w:p>
        </w:tc>
        <w:tc>
          <w:tcPr>
            <w:tcW w:type="dxa" w:w="1484"/>
          </w:tcPr>
          <w:p>
            <w:pPr>
              <w:spacing w:after="0" w:line="240" w:lineRule="auto"/>
              <w:jc w:val="right"/>
            </w:pPr>
            <w:r>
              <w:rPr>
                <w:b w:val="0"/>
                <w:i w:val="0"/>
                <w:sz w:val="16"/>
              </w:rPr>
              <w:t>0</w:t>
            </w:r>
          </w:p>
        </w:tc>
        <w:tc>
          <w:tcPr>
            <w:tcW w:type="dxa" w:w="1484"/>
          </w:tcPr>
          <w:p>
            <w:pPr>
              <w:spacing w:after="0" w:line="240" w:lineRule="auto"/>
              <w:jc w:val="right"/>
            </w:pPr>
            <w:r>
              <w:rPr>
                <w:b w:val="0"/>
                <w:i w:val="0"/>
                <w:sz w:val="16"/>
              </w:rPr>
              <w:t>36</w:t>
            </w:r>
          </w:p>
        </w:tc>
      </w:tr>
      <w:tr>
        <w:trPr>
          <w:cantSplit/>
        </w:trPr>
        <w:tc>
          <w:tcPr>
            <w:tcW w:type="dxa" w:w="3857"/>
            <w:shd w:val="clear" w:color="auto" w:fill="D9E1F2"/>
          </w:tcPr>
          <w:p>
            <w:pPr>
              <w:spacing w:after="0" w:line="240" w:lineRule="auto"/>
            </w:pPr>
            <w:r>
              <w:rPr>
                <w:b w:val="0"/>
                <w:i w:val="0"/>
                <w:sz w:val="16"/>
              </w:rPr>
              <w:t>= Segment Adj. EBITDA</w:t>
            </w:r>
          </w:p>
        </w:tc>
        <w:tc>
          <w:tcPr>
            <w:tcW w:type="dxa" w:w="1484"/>
            <w:shd w:val="clear" w:color="auto" w:fill="D9E1F2"/>
          </w:tcPr>
          <w:p>
            <w:pPr>
              <w:spacing w:after="0" w:line="240" w:lineRule="auto"/>
              <w:jc w:val="right"/>
            </w:pPr>
            <w:r>
              <w:rPr>
                <w:b w:val="0"/>
                <w:i w:val="0"/>
                <w:sz w:val="16"/>
              </w:rPr>
              <w:t>536</w:t>
            </w:r>
          </w:p>
        </w:tc>
        <w:tc>
          <w:tcPr>
            <w:tcW w:type="dxa" w:w="1484"/>
            <w:shd w:val="clear" w:color="auto" w:fill="D9E1F2"/>
          </w:tcPr>
          <w:p>
            <w:pPr>
              <w:spacing w:after="0" w:line="240" w:lineRule="auto"/>
              <w:jc w:val="right"/>
            </w:pPr>
            <w:r>
              <w:rPr>
                <w:b w:val="0"/>
                <w:i w:val="0"/>
                <w:sz w:val="16"/>
              </w:rPr>
              <w:t>197</w:t>
            </w:r>
          </w:p>
        </w:tc>
        <w:tc>
          <w:tcPr>
            <w:tcW w:type="dxa" w:w="1484"/>
            <w:shd w:val="clear" w:color="auto" w:fill="D9E1F2"/>
          </w:tcPr>
          <w:p>
            <w:pPr>
              <w:spacing w:after="0" w:line="240" w:lineRule="auto"/>
              <w:jc w:val="right"/>
            </w:pPr>
            <w:r>
              <w:rPr>
                <w:b w:val="0"/>
                <w:i w:val="0"/>
                <w:sz w:val="16"/>
              </w:rPr>
              <w:t>(22)</w:t>
            </w:r>
          </w:p>
        </w:tc>
        <w:tc>
          <w:tcPr>
            <w:tcW w:type="dxa" w:w="1484"/>
            <w:shd w:val="clear" w:color="auto" w:fill="D9E1F2"/>
          </w:tcPr>
          <w:p>
            <w:pPr>
              <w:spacing w:after="0" w:line="240" w:lineRule="auto"/>
              <w:jc w:val="right"/>
            </w:pPr>
            <w:r>
              <w:rPr>
                <w:b w:val="0"/>
                <w:i w:val="0"/>
                <w:sz w:val="16"/>
              </w:rPr>
              <w:t>711</w:t>
            </w:r>
          </w:p>
        </w:tc>
      </w:tr>
    </w:tbl>
    <w:p>
      <w:pPr>
        <w:spacing w:after="120"/>
      </w:pPr>
      <w:r>
        <w:rPr>
          <w:b w:val="0"/>
          <w:i/>
          <w:color w:val="595959"/>
          <w:sz w:val="15"/>
        </w:rPr>
        <w:t xml:space="preserve">Source: analysis/D3_group_decomposition.md §1 (10A p.359, 350). 2026 special items sit mainly in B2B: 6M-26 transaction costs B2B $33m, Corporate $24m </w:t>
      </w:r>
      <w:r>
        <w:rPr>
          <w:b/>
          <w:color w:val="2E548C"/>
          <w:sz w:val="12"/>
        </w:rPr>
        <w:t>[D]</w:t>
      </w:r>
      <w:r>
        <w:rPr>
          <w:b w:val="0"/>
          <w:i/>
          <w:color w:val="595959"/>
          <w:sz w:val="15"/>
        </w:rPr>
        <w:t>.</w:t>
      </w:r>
    </w:p>
    <w:p>
      <w:pPr>
        <w:pStyle w:val="Heading2"/>
      </w:pPr>
      <w:r>
        <w:t>9.1 The corporate wedge and the S&amp;P Global allocations</w:t>
      </w:r>
    </w:p>
    <w:p>
      <w:pPr>
        <w:keepNext/>
        <w:spacing w:before="80" w:after="40"/>
      </w:pPr>
      <w:r>
        <w:rPr>
          <w:b/>
          <w:i w:val="0"/>
          <w:color w:val="1F3864"/>
          <w:sz w:val="17"/>
        </w:rPr>
        <w:t>Exhibit 9.3 — Corporate allocations ($m)</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728"/>
        <w:gridCol w:w="3168"/>
        <w:gridCol w:w="2015"/>
        <w:gridCol w:w="2880"/>
      </w:tblGrid>
      <w:tr>
        <w:trPr>
          <w:cantSplit/>
          <w:tblHeader/>
        </w:trPr>
        <w:tc>
          <w:tcPr>
            <w:tcW w:type="dxa" w:w="1728"/>
            <w:shd w:val="clear" w:color="auto" w:fill="1F3864"/>
          </w:tcPr>
          <w:p>
            <w:pPr>
              <w:spacing w:after="0" w:line="240" w:lineRule="auto"/>
            </w:pPr>
            <w:r>
              <w:rPr>
                <w:b/>
                <w:i w:val="0"/>
                <w:color w:val="FFFFFF"/>
                <w:sz w:val="16"/>
              </w:rPr>
              <w:t>Period</w:t>
            </w:r>
          </w:p>
        </w:tc>
        <w:tc>
          <w:tcPr>
            <w:tcW w:type="dxa" w:w="3168"/>
            <w:shd w:val="clear" w:color="auto" w:fill="1F3864"/>
          </w:tcPr>
          <w:p>
            <w:pPr>
              <w:spacing w:after="0" w:line="240" w:lineRule="auto"/>
              <w:jc w:val="right"/>
            </w:pPr>
            <w:r>
              <w:rPr>
                <w:b/>
                <w:i w:val="0"/>
                <w:color w:val="FFFFFF"/>
                <w:sz w:val="16"/>
              </w:rPr>
              <w:t xml:space="preserve">Allocations from S&amp;P Global, total </w:t>
            </w:r>
            <w:r>
              <w:rPr>
                <w:b/>
                <w:color w:val="FFFFFF"/>
                <w:sz w:val="13"/>
              </w:rPr>
              <w:t>[D]</w:t>
            </w:r>
          </w:p>
        </w:tc>
        <w:tc>
          <w:tcPr>
            <w:tcW w:type="dxa" w:w="2016"/>
            <w:shd w:val="clear" w:color="auto" w:fill="1F3864"/>
          </w:tcPr>
          <w:p>
            <w:pPr>
              <w:spacing w:after="0" w:line="240" w:lineRule="auto"/>
              <w:jc w:val="right"/>
            </w:pPr>
            <w:r>
              <w:rPr>
                <w:b/>
                <w:i w:val="0"/>
                <w:color w:val="FFFFFF"/>
                <w:sz w:val="16"/>
              </w:rPr>
              <w:t xml:space="preserve">Ex one-time </w:t>
            </w:r>
            <w:r>
              <w:rPr>
                <w:b/>
                <w:color w:val="FFFFFF"/>
                <w:sz w:val="13"/>
              </w:rPr>
              <w:t>[C]</w:t>
            </w:r>
          </w:p>
        </w:tc>
        <w:tc>
          <w:tcPr>
            <w:tcW w:type="dxa" w:w="2880"/>
            <w:shd w:val="clear" w:color="auto" w:fill="1F3864"/>
          </w:tcPr>
          <w:p>
            <w:pPr>
              <w:spacing w:after="0" w:line="240" w:lineRule="auto"/>
              <w:jc w:val="right"/>
            </w:pPr>
            <w:r>
              <w:rPr>
                <w:b/>
                <w:i w:val="0"/>
                <w:color w:val="FFFFFF"/>
                <w:sz w:val="16"/>
              </w:rPr>
              <w:t xml:space="preserve">Ex one-time, % revenue </w:t>
            </w:r>
            <w:r>
              <w:rPr>
                <w:b/>
                <w:color w:val="FFFFFF"/>
                <w:sz w:val="13"/>
              </w:rPr>
              <w:t>[C]</w:t>
            </w:r>
          </w:p>
        </w:tc>
      </w:tr>
      <w:tr>
        <w:trPr>
          <w:cantSplit/>
        </w:trPr>
        <w:tc>
          <w:tcPr>
            <w:tcW w:type="dxa" w:w="1728"/>
          </w:tcPr>
          <w:p>
            <w:pPr>
              <w:spacing w:after="0" w:line="240" w:lineRule="auto"/>
            </w:pPr>
            <w:r>
              <w:rPr>
                <w:b w:val="0"/>
                <w:i w:val="0"/>
                <w:sz w:val="16"/>
              </w:rPr>
              <w:t>FY2023</w:t>
            </w:r>
          </w:p>
        </w:tc>
        <w:tc>
          <w:tcPr>
            <w:tcW w:type="dxa" w:w="3168"/>
          </w:tcPr>
          <w:p>
            <w:pPr>
              <w:spacing w:after="0" w:line="240" w:lineRule="auto"/>
              <w:jc w:val="right"/>
            </w:pPr>
            <w:r>
              <w:rPr>
                <w:b w:val="0"/>
                <w:i w:val="0"/>
                <w:sz w:val="16"/>
              </w:rPr>
              <w:t>89</w:t>
            </w:r>
          </w:p>
        </w:tc>
        <w:tc>
          <w:tcPr>
            <w:tcW w:type="dxa" w:w="2016"/>
          </w:tcPr>
          <w:p>
            <w:pPr>
              <w:spacing w:after="0" w:line="240" w:lineRule="auto"/>
              <w:jc w:val="right"/>
            </w:pPr>
            <w:r>
              <w:rPr>
                <w:b w:val="0"/>
                <w:i w:val="0"/>
                <w:sz w:val="16"/>
              </w:rPr>
              <w:t>89</w:t>
            </w:r>
          </w:p>
        </w:tc>
        <w:tc>
          <w:tcPr>
            <w:tcW w:type="dxa" w:w="2880"/>
          </w:tcPr>
          <w:p>
            <w:pPr>
              <w:spacing w:after="0" w:line="240" w:lineRule="auto"/>
              <w:jc w:val="right"/>
            </w:pPr>
            <w:r>
              <w:rPr>
                <w:b w:val="0"/>
                <w:i w:val="0"/>
                <w:sz w:val="16"/>
              </w:rPr>
              <w:t>6.0%</w:t>
            </w:r>
          </w:p>
        </w:tc>
      </w:tr>
      <w:tr>
        <w:trPr>
          <w:cantSplit/>
        </w:trPr>
        <w:tc>
          <w:tcPr>
            <w:tcW w:type="dxa" w:w="1728"/>
            <w:shd w:val="clear" w:color="auto" w:fill="D9E1F2"/>
          </w:tcPr>
          <w:p>
            <w:pPr>
              <w:spacing w:after="0" w:line="240" w:lineRule="auto"/>
            </w:pPr>
            <w:r>
              <w:rPr>
                <w:b w:val="0"/>
                <w:i w:val="0"/>
                <w:sz w:val="16"/>
              </w:rPr>
              <w:t>FY2024</w:t>
            </w:r>
          </w:p>
        </w:tc>
        <w:tc>
          <w:tcPr>
            <w:tcW w:type="dxa" w:w="3168"/>
            <w:shd w:val="clear" w:color="auto" w:fill="D9E1F2"/>
          </w:tcPr>
          <w:p>
            <w:pPr>
              <w:spacing w:after="0" w:line="240" w:lineRule="auto"/>
              <w:jc w:val="right"/>
            </w:pPr>
            <w:r>
              <w:rPr>
                <w:b w:val="0"/>
                <w:i w:val="0"/>
                <w:sz w:val="16"/>
              </w:rPr>
              <w:t>90</w:t>
            </w:r>
          </w:p>
        </w:tc>
        <w:tc>
          <w:tcPr>
            <w:tcW w:type="dxa" w:w="2016"/>
            <w:shd w:val="clear" w:color="auto" w:fill="D9E1F2"/>
          </w:tcPr>
          <w:p>
            <w:pPr>
              <w:spacing w:after="0" w:line="240" w:lineRule="auto"/>
              <w:jc w:val="right"/>
            </w:pPr>
            <w:r>
              <w:rPr>
                <w:b w:val="0"/>
                <w:i w:val="0"/>
                <w:sz w:val="16"/>
              </w:rPr>
              <w:t>90</w:t>
            </w:r>
          </w:p>
        </w:tc>
        <w:tc>
          <w:tcPr>
            <w:tcW w:type="dxa" w:w="2880"/>
            <w:shd w:val="clear" w:color="auto" w:fill="D9E1F2"/>
          </w:tcPr>
          <w:p>
            <w:pPr>
              <w:spacing w:after="0" w:line="240" w:lineRule="auto"/>
              <w:jc w:val="right"/>
            </w:pPr>
            <w:r>
              <w:rPr>
                <w:b w:val="0"/>
                <w:i w:val="0"/>
                <w:sz w:val="16"/>
              </w:rPr>
              <w:t>5.6%</w:t>
            </w:r>
          </w:p>
        </w:tc>
      </w:tr>
      <w:tr>
        <w:trPr>
          <w:cantSplit/>
        </w:trPr>
        <w:tc>
          <w:tcPr>
            <w:tcW w:type="dxa" w:w="1728"/>
          </w:tcPr>
          <w:p>
            <w:pPr>
              <w:spacing w:after="0" w:line="240" w:lineRule="auto"/>
            </w:pPr>
            <w:r>
              <w:rPr>
                <w:b w:val="0"/>
                <w:i w:val="0"/>
                <w:sz w:val="16"/>
              </w:rPr>
              <w:t>FY2025</w:t>
            </w:r>
          </w:p>
        </w:tc>
        <w:tc>
          <w:tcPr>
            <w:tcW w:type="dxa" w:w="3168"/>
          </w:tcPr>
          <w:p>
            <w:pPr>
              <w:spacing w:after="0" w:line="240" w:lineRule="auto"/>
              <w:jc w:val="right"/>
            </w:pPr>
            <w:r>
              <w:rPr>
                <w:b w:val="0"/>
                <w:i w:val="0"/>
                <w:sz w:val="16"/>
              </w:rPr>
              <w:t>112</w:t>
            </w:r>
          </w:p>
        </w:tc>
        <w:tc>
          <w:tcPr>
            <w:tcW w:type="dxa" w:w="2016"/>
          </w:tcPr>
          <w:p>
            <w:pPr>
              <w:spacing w:after="0" w:line="240" w:lineRule="auto"/>
              <w:jc w:val="right"/>
            </w:pPr>
            <w:r>
              <w:rPr>
                <w:b w:val="0"/>
                <w:i w:val="0"/>
                <w:sz w:val="16"/>
              </w:rPr>
              <w:t>~100</w:t>
            </w:r>
          </w:p>
        </w:tc>
        <w:tc>
          <w:tcPr>
            <w:tcW w:type="dxa" w:w="2880"/>
          </w:tcPr>
          <w:p>
            <w:pPr>
              <w:spacing w:after="0" w:line="240" w:lineRule="auto"/>
              <w:jc w:val="right"/>
            </w:pPr>
            <w:r>
              <w:rPr>
                <w:b w:val="0"/>
                <w:i w:val="0"/>
                <w:sz w:val="16"/>
              </w:rPr>
              <w:t>5.7%</w:t>
            </w:r>
          </w:p>
        </w:tc>
      </w:tr>
      <w:tr>
        <w:trPr>
          <w:cantSplit/>
        </w:trPr>
        <w:tc>
          <w:tcPr>
            <w:tcW w:type="dxa" w:w="1728"/>
            <w:shd w:val="clear" w:color="auto" w:fill="D9E1F2"/>
          </w:tcPr>
          <w:p>
            <w:pPr>
              <w:spacing w:after="0" w:line="240" w:lineRule="auto"/>
            </w:pPr>
            <w:r>
              <w:rPr>
                <w:b w:val="0"/>
                <w:i w:val="0"/>
                <w:sz w:val="16"/>
              </w:rPr>
              <w:t>Q1-2026</w:t>
            </w:r>
          </w:p>
        </w:tc>
        <w:tc>
          <w:tcPr>
            <w:tcW w:type="dxa" w:w="3168"/>
            <w:shd w:val="clear" w:color="auto" w:fill="D9E1F2"/>
          </w:tcPr>
          <w:p>
            <w:pPr>
              <w:spacing w:after="0" w:line="240" w:lineRule="auto"/>
              <w:jc w:val="right"/>
            </w:pPr>
            <w:r>
              <w:rPr>
                <w:b w:val="0"/>
                <w:i w:val="0"/>
                <w:sz w:val="16"/>
              </w:rPr>
              <w:t>28</w:t>
            </w:r>
          </w:p>
        </w:tc>
        <w:tc>
          <w:tcPr>
            <w:tcW w:type="dxa" w:w="2016"/>
            <w:shd w:val="clear" w:color="auto" w:fill="D9E1F2"/>
          </w:tcPr>
          <w:p>
            <w:pPr>
              <w:spacing w:after="0" w:line="240" w:lineRule="auto"/>
              <w:jc w:val="right"/>
            </w:pPr>
            <w:r>
              <w:rPr>
                <w:b w:val="0"/>
                <w:i w:val="0"/>
                <w:sz w:val="16"/>
              </w:rPr>
              <w:t>~21</w:t>
            </w:r>
          </w:p>
        </w:tc>
        <w:tc>
          <w:tcPr>
            <w:tcW w:type="dxa" w:w="2880"/>
            <w:shd w:val="clear" w:color="auto" w:fill="D9E1F2"/>
          </w:tcPr>
          <w:p>
            <w:pPr>
              <w:spacing w:after="0" w:line="240" w:lineRule="auto"/>
              <w:jc w:val="right"/>
            </w:pPr>
            <w:r>
              <w:rPr>
                <w:b w:val="0"/>
                <w:i w:val="0"/>
                <w:sz w:val="16"/>
              </w:rPr>
              <w:t>4.6%</w:t>
            </w:r>
          </w:p>
        </w:tc>
      </w:tr>
      <w:tr>
        <w:trPr>
          <w:cantSplit/>
        </w:trPr>
        <w:tc>
          <w:tcPr>
            <w:tcW w:type="dxa" w:w="1728"/>
          </w:tcPr>
          <w:p>
            <w:pPr>
              <w:spacing w:after="0" w:line="240" w:lineRule="auto"/>
            </w:pPr>
            <w:r>
              <w:rPr>
                <w:b w:val="0"/>
                <w:i w:val="0"/>
                <w:sz w:val="16"/>
              </w:rPr>
              <w:t>Q2-2026</w:t>
            </w:r>
          </w:p>
        </w:tc>
        <w:tc>
          <w:tcPr>
            <w:tcW w:type="dxa" w:w="3168"/>
          </w:tcPr>
          <w:p>
            <w:pPr>
              <w:spacing w:after="0" w:line="240" w:lineRule="auto"/>
              <w:jc w:val="right"/>
            </w:pPr>
            <w:r>
              <w:rPr>
                <w:b w:val="0"/>
                <w:i w:val="0"/>
                <w:sz w:val="16"/>
              </w:rPr>
              <w:t>36</w:t>
            </w:r>
          </w:p>
        </w:tc>
        <w:tc>
          <w:tcPr>
            <w:tcW w:type="dxa" w:w="2016"/>
          </w:tcPr>
          <w:p>
            <w:pPr>
              <w:spacing w:after="0" w:line="240" w:lineRule="auto"/>
              <w:jc w:val="right"/>
            </w:pPr>
            <w:r>
              <w:rPr>
                <w:b w:val="0"/>
                <w:i w:val="0"/>
                <w:sz w:val="16"/>
              </w:rPr>
              <w:t>~19</w:t>
            </w:r>
          </w:p>
        </w:tc>
        <w:tc>
          <w:tcPr>
            <w:tcW w:type="dxa" w:w="2880"/>
          </w:tcPr>
          <w:p>
            <w:pPr>
              <w:spacing w:after="0" w:line="240" w:lineRule="auto"/>
              <w:jc w:val="right"/>
            </w:pPr>
            <w:r>
              <w:rPr>
                <w:b w:val="0"/>
                <w:i w:val="0"/>
                <w:sz w:val="16"/>
              </w:rPr>
              <w:t>4.1%</w:t>
            </w:r>
          </w:p>
        </w:tc>
      </w:tr>
      <w:tr>
        <w:trPr>
          <w:cantSplit/>
        </w:trPr>
        <w:tc>
          <w:tcPr>
            <w:tcW w:type="dxa" w:w="1728"/>
            <w:shd w:val="clear" w:color="auto" w:fill="D9E1F2"/>
          </w:tcPr>
          <w:p>
            <w:pPr>
              <w:spacing w:after="0" w:line="240" w:lineRule="auto"/>
            </w:pPr>
            <w:r>
              <w:rPr>
                <w:b w:val="0"/>
                <w:i w:val="0"/>
                <w:sz w:val="16"/>
              </w:rPr>
              <w:t>6M-2026</w:t>
            </w:r>
          </w:p>
        </w:tc>
        <w:tc>
          <w:tcPr>
            <w:tcW w:type="dxa" w:w="3168"/>
            <w:shd w:val="clear" w:color="auto" w:fill="D9E1F2"/>
          </w:tcPr>
          <w:p>
            <w:pPr>
              <w:spacing w:after="0" w:line="240" w:lineRule="auto"/>
              <w:jc w:val="right"/>
            </w:pPr>
            <w:r>
              <w:rPr>
                <w:b w:val="0"/>
                <w:i w:val="0"/>
                <w:sz w:val="16"/>
              </w:rPr>
              <w:t>64</w:t>
            </w:r>
          </w:p>
        </w:tc>
        <w:tc>
          <w:tcPr>
            <w:tcW w:type="dxa" w:w="2016"/>
            <w:shd w:val="clear" w:color="auto" w:fill="D9E1F2"/>
          </w:tcPr>
          <w:p>
            <w:pPr>
              <w:spacing w:after="0" w:line="240" w:lineRule="auto"/>
              <w:jc w:val="right"/>
            </w:pPr>
            <w:r>
              <w:rPr>
                <w:b w:val="0"/>
                <w:i w:val="0"/>
                <w:sz w:val="16"/>
              </w:rPr>
              <w:t>~40</w:t>
            </w:r>
          </w:p>
        </w:tc>
        <w:tc>
          <w:tcPr>
            <w:tcW w:type="dxa" w:w="2880"/>
            <w:shd w:val="clear" w:color="auto" w:fill="D9E1F2"/>
          </w:tcPr>
          <w:p>
            <w:pPr>
              <w:spacing w:after="0" w:line="240" w:lineRule="auto"/>
              <w:jc w:val="right"/>
            </w:pPr>
            <w:r>
              <w:rPr>
                <w:b w:val="0"/>
                <w:i w:val="0"/>
                <w:sz w:val="16"/>
              </w:rPr>
              <w:t>4.3%</w:t>
            </w:r>
          </w:p>
        </w:tc>
      </w:tr>
    </w:tbl>
    <w:p>
      <w:pPr>
        <w:spacing w:after="120"/>
      </w:pPr>
      <w:r>
        <w:rPr>
          <w:b w:val="0"/>
          <w:i/>
          <w:color w:val="595959"/>
          <w:sz w:val="15"/>
        </w:rPr>
        <w:t>Source: analysis/D3_group_decomposition.md §2 (10A p.434, 465; 10Q p.16).</w:t>
      </w:r>
    </w:p>
    <w:p>
      <w:r>
        <w:rPr>
          <w:b w:val="0"/>
          <w:i w:val="0"/>
        </w:rPr>
        <w:t xml:space="preserve">Inference (D3): the allocations (~$100m) are 4–5x the recurring Corporate Unallocated wedge (~$22m), so most allocated cost already sits inside the CARFAX and B2B segment lines. Management has flagged a “slight reallocation of costs between CARFAX and B2B” </w:t>
      </w:r>
      <w:r>
        <w:rPr>
          <w:b/>
          <w:color w:val="2E548C"/>
          <w:sz w:val="16"/>
        </w:rPr>
        <w:t>[IR]</w:t>
      </w:r>
      <w:r>
        <w:rPr>
          <w:b w:val="0"/>
          <w:i w:val="0"/>
        </w:rPr>
        <w:t xml:space="preserve"> — expect Corporate to widen and segment margins to rise mechanically from Q3/Q4-26.</w:t>
      </w:r>
    </w:p>
    <w:p>
      <w:pPr>
        <w:keepNext/>
        <w:spacing w:before="80" w:after="40"/>
      </w:pPr>
      <w:r>
        <w:rPr>
          <w:b/>
          <w:i w:val="0"/>
          <w:color w:val="1F3864"/>
          <w:sz w:val="17"/>
        </w:rPr>
        <w:t>Exhibit 9.4 — Standalone vs allocated vs one-time costs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160"/>
        <w:gridCol w:w="4031"/>
        <w:gridCol w:w="1007"/>
        <w:gridCol w:w="2592"/>
      </w:tblGrid>
      <w:tr>
        <w:trPr>
          <w:cantSplit/>
          <w:tblHeader/>
        </w:trPr>
        <w:tc>
          <w:tcPr>
            <w:tcW w:type="dxa" w:w="2160"/>
            <w:shd w:val="clear" w:color="auto" w:fill="1F3864"/>
          </w:tcPr>
          <w:p>
            <w:pPr>
              <w:spacing w:after="0" w:line="240" w:lineRule="auto"/>
            </w:pPr>
            <w:r>
              <w:rPr>
                <w:b/>
                <w:i w:val="0"/>
                <w:color w:val="FFFFFF"/>
                <w:sz w:val="15"/>
              </w:rPr>
              <w:t>Layer</w:t>
            </w:r>
          </w:p>
        </w:tc>
        <w:tc>
          <w:tcPr>
            <w:tcW w:type="dxa" w:w="4032"/>
            <w:shd w:val="clear" w:color="auto" w:fill="1F3864"/>
          </w:tcPr>
          <w:p>
            <w:pPr>
              <w:spacing w:after="0" w:line="240" w:lineRule="auto"/>
            </w:pPr>
            <w:r>
              <w:rPr>
                <w:b/>
                <w:i w:val="0"/>
                <w:color w:val="FFFFFF"/>
                <w:sz w:val="15"/>
              </w:rPr>
              <w:t>Amount</w:t>
            </w:r>
          </w:p>
        </w:tc>
        <w:tc>
          <w:tcPr>
            <w:tcW w:type="dxa" w:w="1008"/>
            <w:shd w:val="clear" w:color="auto" w:fill="1F3864"/>
          </w:tcPr>
          <w:p>
            <w:pPr>
              <w:spacing w:after="0" w:line="240" w:lineRule="auto"/>
            </w:pPr>
            <w:r>
              <w:rPr>
                <w:b/>
                <w:i w:val="0"/>
                <w:color w:val="FFFFFF"/>
                <w:sz w:val="15"/>
              </w:rPr>
              <w:t>Tier</w:t>
            </w:r>
          </w:p>
        </w:tc>
        <w:tc>
          <w:tcPr>
            <w:tcW w:type="dxa" w:w="2592"/>
            <w:shd w:val="clear" w:color="auto" w:fill="1F3864"/>
          </w:tcPr>
          <w:p>
            <w:pPr>
              <w:spacing w:after="0" w:line="240" w:lineRule="auto"/>
            </w:pPr>
            <w:r>
              <w:rPr>
                <w:b/>
                <w:i w:val="0"/>
                <w:color w:val="FFFFFF"/>
                <w:sz w:val="15"/>
              </w:rPr>
              <w:t>Treatment</w:t>
            </w:r>
          </w:p>
        </w:tc>
      </w:tr>
      <w:tr>
        <w:trPr>
          <w:cantSplit/>
        </w:trPr>
        <w:tc>
          <w:tcPr>
            <w:tcW w:type="dxa" w:w="2160"/>
          </w:tcPr>
          <w:p>
            <w:pPr>
              <w:spacing w:after="0" w:line="240" w:lineRule="auto"/>
            </w:pPr>
            <w:r>
              <w:rPr>
                <w:b w:val="0"/>
                <w:i w:val="0"/>
                <w:sz w:val="15"/>
              </w:rPr>
              <w:t>(i) Historical allocations (recurring)</w:t>
            </w:r>
          </w:p>
        </w:tc>
        <w:tc>
          <w:tcPr>
            <w:tcW w:type="dxa" w:w="4032"/>
          </w:tcPr>
          <w:p>
            <w:pPr>
              <w:spacing w:after="0" w:line="240" w:lineRule="auto"/>
            </w:pPr>
            <w:r>
              <w:rPr>
                <w:b w:val="0"/>
                <w:i w:val="0"/>
                <w:sz w:val="15"/>
              </w:rPr>
              <w:t>~$100m (FY25 ex one-time)</w:t>
            </w:r>
          </w:p>
        </w:tc>
        <w:tc>
          <w:tcPr>
            <w:tcW w:type="dxa" w:w="1008"/>
          </w:tcPr>
          <w:p>
            <w:pPr>
              <w:spacing w:after="0" w:line="240" w:lineRule="auto"/>
            </w:pPr>
            <w:r>
              <w:rPr>
                <w:b/>
                <w:color w:val="2E548C"/>
                <w:sz w:val="12"/>
              </w:rPr>
              <w:t>[C]</w:t>
            </w:r>
            <w:r>
              <w:rPr>
                <w:b w:val="0"/>
                <w:i w:val="0"/>
                <w:sz w:val="15"/>
              </w:rPr>
              <w:t xml:space="preserve"> from </w:t>
            </w:r>
            <w:r>
              <w:rPr>
                <w:b/>
                <w:color w:val="2E548C"/>
                <w:sz w:val="12"/>
              </w:rPr>
              <w:t>[D]</w:t>
            </w:r>
          </w:p>
        </w:tc>
        <w:tc>
          <w:tcPr>
            <w:tcW w:type="dxa" w:w="2592"/>
          </w:tcPr>
          <w:p>
            <w:pPr>
              <w:spacing w:after="0" w:line="240" w:lineRule="auto"/>
            </w:pPr>
            <w:r>
              <w:rPr>
                <w:b w:val="0"/>
                <w:i w:val="0"/>
                <w:sz w:val="15"/>
              </w:rPr>
              <w:t>Already in carve-out P&amp;L and Adj. EBITDA</w:t>
            </w:r>
          </w:p>
        </w:tc>
      </w:tr>
      <w:tr>
        <w:trPr>
          <w:cantSplit/>
        </w:trPr>
        <w:tc>
          <w:tcPr>
            <w:tcW w:type="dxa" w:w="2160"/>
            <w:shd w:val="clear" w:color="auto" w:fill="D9E1F2"/>
          </w:tcPr>
          <w:p>
            <w:pPr>
              <w:spacing w:after="0" w:line="240" w:lineRule="auto"/>
            </w:pPr>
            <w:r>
              <w:rPr>
                <w:b w:val="0"/>
                <w:i w:val="0"/>
                <w:sz w:val="15"/>
              </w:rPr>
              <w:t>(ii) Incremental standalone run-rate vs allocations</w:t>
            </w:r>
          </w:p>
        </w:tc>
        <w:tc>
          <w:tcPr>
            <w:tcW w:type="dxa" w:w="4032"/>
            <w:shd w:val="clear" w:color="auto" w:fill="D9E1F2"/>
          </w:tcPr>
          <w:p>
            <w:pPr>
              <w:spacing w:after="0" w:line="240" w:lineRule="auto"/>
            </w:pPr>
            <w:r>
              <w:rPr>
                <w:b w:val="0"/>
                <w:i w:val="0"/>
                <w:sz w:val="15"/>
              </w:rPr>
              <w:t>"$20 million-$25 million in run rate expense" (ID-T 8463.17s). Re-stated as "approximately 150 basis points" of FY25 margin = "the high end" (Q2-T 1221.31s)</w:t>
            </w:r>
          </w:p>
        </w:tc>
        <w:tc>
          <w:tcPr>
            <w:tcW w:type="dxa" w:w="1008"/>
            <w:shd w:val="clear" w:color="auto" w:fill="D9E1F2"/>
          </w:tcPr>
          <w:p>
            <w:pPr>
              <w:spacing w:after="0" w:line="240" w:lineRule="auto"/>
            </w:pPr>
            <w:r>
              <w:rPr>
                <w:b/>
                <w:color w:val="2E548C"/>
                <w:sz w:val="12"/>
              </w:rPr>
              <w:t>[IR]</w:t>
            </w:r>
          </w:p>
        </w:tc>
        <w:tc>
          <w:tcPr>
            <w:tcW w:type="dxa" w:w="2592"/>
            <w:shd w:val="clear" w:color="auto" w:fill="D9E1F2"/>
          </w:tcPr>
          <w:p>
            <w:pPr>
              <w:spacing w:after="0" w:line="240" w:lineRule="auto"/>
            </w:pPr>
            <w:r>
              <w:rPr>
                <w:b w:val="0"/>
                <w:i w:val="0"/>
                <w:sz w:val="15"/>
              </w:rPr>
              <w:t xml:space="preserve">Recurring; hits Adj. EBITDA. </w:t>
            </w:r>
            <w:r>
              <w:rPr>
                <w:b/>
                <w:color w:val="2E548C"/>
                <w:sz w:val="12"/>
              </w:rPr>
              <w:t>[C]</w:t>
            </w:r>
            <w:r>
              <w:rPr>
                <w:b w:val="0"/>
                <w:i w:val="0"/>
                <w:sz w:val="15"/>
              </w:rPr>
              <w:t xml:space="preserve"> 150bp × FY25 revenue 1,750 = </w:t>
            </w:r>
            <w:r>
              <w:rPr>
                <w:b/>
                <w:i w:val="0"/>
                <w:sz w:val="15"/>
              </w:rPr>
              <w:t>$26.3m</w:t>
            </w:r>
            <w:r>
              <w:rPr>
                <w:b w:val="0"/>
                <w:i w:val="0"/>
                <w:sz w:val="15"/>
              </w:rPr>
              <w:t>; × FY26 guide midpoint 1,877.5 = $28.2m (just above the stated range). Phasing: ~75bp in 2026, 150bp in 2027 (GS-T 1642.34s)</w:t>
            </w:r>
          </w:p>
        </w:tc>
      </w:tr>
      <w:tr>
        <w:trPr>
          <w:cantSplit/>
        </w:trPr>
        <w:tc>
          <w:tcPr>
            <w:tcW w:type="dxa" w:w="2160"/>
          </w:tcPr>
          <w:p>
            <w:pPr>
              <w:spacing w:after="0" w:line="240" w:lineRule="auto"/>
            </w:pPr>
            <w:r>
              <w:rPr>
                <w:b w:val="0"/>
                <w:i w:val="0"/>
                <w:sz w:val="15"/>
              </w:rPr>
              <w:t>… printed subset</w:t>
            </w:r>
          </w:p>
        </w:tc>
        <w:tc>
          <w:tcPr>
            <w:tcW w:type="dxa" w:w="4032"/>
          </w:tcPr>
          <w:p>
            <w:pPr>
              <w:spacing w:after="0" w:line="240" w:lineRule="auto"/>
            </w:pPr>
            <w:r>
              <w:rPr>
                <w:b w:val="0"/>
                <w:i w:val="0"/>
                <w:sz w:val="15"/>
              </w:rPr>
              <w:t>Pro forma "autonomous entity" S&amp;G +$12m (new office rent 9 + incremental TSA 3), FY25</w:t>
            </w:r>
          </w:p>
        </w:tc>
        <w:tc>
          <w:tcPr>
            <w:tcW w:type="dxa" w:w="1008"/>
          </w:tcPr>
          <w:p>
            <w:pPr>
              <w:spacing w:after="0" w:line="240" w:lineRule="auto"/>
            </w:pPr>
            <w:r>
              <w:rPr>
                <w:b/>
                <w:color w:val="2E548C"/>
                <w:sz w:val="12"/>
              </w:rPr>
              <w:t>[D]</w:t>
            </w:r>
            <w:r>
              <w:rPr>
                <w:b w:val="0"/>
                <w:i w:val="0"/>
                <w:sz w:val="15"/>
              </w:rPr>
              <w:t xml:space="preserve"> 10A p.339</w:t>
            </w:r>
          </w:p>
        </w:tc>
        <w:tc>
          <w:tcPr>
            <w:tcW w:type="dxa" w:w="2592"/>
          </w:tcPr>
          <w:p>
            <w:pPr>
              <w:spacing w:after="0" w:line="240" w:lineRule="auto"/>
            </w:pPr>
            <w:r>
              <w:rPr>
                <w:b w:val="0"/>
                <w:i w:val="0"/>
                <w:sz w:val="15"/>
              </w:rPr>
              <w:t>*Inference:* this is a subset of (ii), not additive</w:t>
            </w:r>
          </w:p>
        </w:tc>
      </w:tr>
      <w:tr>
        <w:trPr>
          <w:cantSplit/>
        </w:trPr>
        <w:tc>
          <w:tcPr>
            <w:tcW w:type="dxa" w:w="2160"/>
            <w:shd w:val="clear" w:color="auto" w:fill="D9E1F2"/>
          </w:tcPr>
          <w:p>
            <w:pPr>
              <w:spacing w:after="0" w:line="240" w:lineRule="auto"/>
            </w:pPr>
            <w:r>
              <w:rPr>
                <w:b w:val="0"/>
                <w:i w:val="0"/>
                <w:sz w:val="15"/>
              </w:rPr>
              <w:t>(iii) SBC step-up</w:t>
            </w:r>
          </w:p>
        </w:tc>
        <w:tc>
          <w:tcPr>
            <w:tcW w:type="dxa" w:w="4032"/>
            <w:shd w:val="clear" w:color="auto" w:fill="D9E1F2"/>
          </w:tcPr>
          <w:p>
            <w:pPr>
              <w:spacing w:after="0" w:line="240" w:lineRule="auto"/>
            </w:pPr>
            <w:r>
              <w:rPr>
                <w:b w:val="0"/>
                <w:i w:val="0"/>
                <w:sz w:val="15"/>
              </w:rPr>
              <w:t>from "1% range" to "3%-4%" of revenue (ID-T 8519.49s)</w:t>
            </w:r>
          </w:p>
        </w:tc>
        <w:tc>
          <w:tcPr>
            <w:tcW w:type="dxa" w:w="1008"/>
            <w:shd w:val="clear" w:color="auto" w:fill="D9E1F2"/>
          </w:tcPr>
          <w:p>
            <w:pPr>
              <w:spacing w:after="0" w:line="240" w:lineRule="auto"/>
            </w:pPr>
            <w:r>
              <w:rPr>
                <w:b/>
                <w:color w:val="2E548C"/>
                <w:sz w:val="12"/>
              </w:rPr>
              <w:t>[IR]</w:t>
            </w:r>
          </w:p>
        </w:tc>
        <w:tc>
          <w:tcPr>
            <w:tcW w:type="dxa" w:w="2592"/>
            <w:shd w:val="clear" w:color="auto" w:fill="D9E1F2"/>
          </w:tcPr>
          <w:p>
            <w:pPr>
              <w:spacing w:after="0" w:line="240" w:lineRule="auto"/>
            </w:pPr>
            <w:r>
              <w:rPr>
                <w:b w:val="0"/>
                <w:i w:val="0"/>
                <w:sz w:val="15"/>
              </w:rPr>
              <w:t xml:space="preserve">Excluded from Adj. EBITDA but a GAAP cost. </w:t>
            </w:r>
            <w:r>
              <w:rPr>
                <w:b/>
                <w:color w:val="2E548C"/>
                <w:sz w:val="12"/>
              </w:rPr>
              <w:t>[C]</w:t>
            </w:r>
            <w:r>
              <w:rPr>
                <w:b w:val="0"/>
                <w:i w:val="0"/>
                <w:sz w:val="15"/>
              </w:rPr>
              <w:t xml:space="preserve"> +$31-48m a year at FY25 revenue (3-4% × 1,750 − 22). </w:t>
            </w:r>
            <w:r>
              <w:rPr>
                <w:b/>
                <w:i w:val="0"/>
                <w:sz w:val="15"/>
              </w:rPr>
              <w:t>Not</w:t>
            </w:r>
            <w:r>
              <w:rPr>
                <w:b w:val="0"/>
                <w:i w:val="0"/>
                <w:sz w:val="15"/>
              </w:rPr>
              <w:t xml:space="preserve"> inside the 150bp</w:t>
            </w:r>
          </w:p>
        </w:tc>
      </w:tr>
      <w:tr>
        <w:trPr>
          <w:cantSplit/>
        </w:trPr>
        <w:tc>
          <w:tcPr>
            <w:tcW w:type="dxa" w:w="2160"/>
          </w:tcPr>
          <w:p>
            <w:pPr>
              <w:spacing w:after="0" w:line="240" w:lineRule="auto"/>
            </w:pPr>
            <w:r>
              <w:rPr>
                <w:b w:val="0"/>
                <w:i w:val="0"/>
                <w:sz w:val="15"/>
              </w:rPr>
              <w:t>(iv) One-time stand-up costs</w:t>
            </w:r>
          </w:p>
        </w:tc>
        <w:tc>
          <w:tcPr>
            <w:tcW w:type="dxa" w:w="4032"/>
          </w:tcPr>
          <w:p>
            <w:pPr>
              <w:spacing w:after="0" w:line="240" w:lineRule="auto"/>
            </w:pPr>
            <w:r>
              <w:rPr>
                <w:b w:val="0"/>
                <w:i w:val="0"/>
                <w:sz w:val="15"/>
              </w:rPr>
              <w:t xml:space="preserve">Pre-spin transaction costs recognized: FY25 21; Q1-26 21; Q2-26 36 (cumulative </w:t>
            </w:r>
            <w:r>
              <w:rPr>
                <w:b/>
                <w:i w:val="0"/>
                <w:sz w:val="15"/>
              </w:rPr>
              <w:t>$78m</w:t>
            </w:r>
            <w:r>
              <w:rPr>
                <w:b w:val="0"/>
                <w:i w:val="0"/>
                <w:sz w:val="15"/>
              </w:rPr>
              <w:t xml:space="preserve"> through 6/30/26) </w:t>
            </w:r>
            <w:r>
              <w:rPr>
                <w:b/>
                <w:color w:val="2E548C"/>
                <w:sz w:val="12"/>
              </w:rPr>
              <w:t>[D]</w:t>
            </w:r>
            <w:r>
              <w:rPr>
                <w:b w:val="0"/>
                <w:i w:val="0"/>
                <w:sz w:val="15"/>
              </w:rPr>
              <w:t xml:space="preserve">. Post-spin guide: ~$100m one-time cash, ~half in 2026, ~50% capitalized </w:t>
            </w:r>
            <w:r>
              <w:rPr>
                <w:b/>
                <w:color w:val="2E548C"/>
                <w:sz w:val="12"/>
              </w:rPr>
              <w:t>[IR]</w:t>
            </w:r>
            <w:r>
              <w:rPr>
                <w:b w:val="0"/>
                <w:i w:val="0"/>
                <w:sz w:val="15"/>
              </w:rPr>
              <w:t xml:space="preserve">; 10-Q range "$75 million to $110 million" </w:t>
            </w:r>
            <w:r>
              <w:rPr>
                <w:b/>
                <w:color w:val="2E548C"/>
                <w:sz w:val="12"/>
              </w:rPr>
              <w:t>[D, 10Q p.23]</w:t>
            </w:r>
          </w:p>
        </w:tc>
        <w:tc>
          <w:tcPr>
            <w:tcW w:type="dxa" w:w="1008"/>
          </w:tcPr>
          <w:p>
            <w:pPr>
              <w:spacing w:after="0" w:line="240" w:lineRule="auto"/>
            </w:pPr>
            <w:r>
              <w:rPr>
                <w:b/>
                <w:color w:val="2E548C"/>
                <w:sz w:val="12"/>
              </w:rPr>
              <w:t>[D]</w:t>
            </w:r>
            <w:r>
              <w:rPr>
                <w:b w:val="0"/>
                <w:i w:val="0"/>
                <w:sz w:val="15"/>
              </w:rPr>
              <w:t>/</w:t>
            </w:r>
            <w:r>
              <w:rPr>
                <w:b/>
                <w:color w:val="2E548C"/>
                <w:sz w:val="12"/>
              </w:rPr>
              <w:t>[IR]</w:t>
            </w:r>
          </w:p>
        </w:tc>
        <w:tc>
          <w:tcPr>
            <w:tcW w:type="dxa" w:w="2592"/>
          </w:tcPr>
          <w:p>
            <w:pPr>
              <w:spacing w:after="0" w:line="240" w:lineRule="auto"/>
            </w:pPr>
            <w:r>
              <w:rPr>
                <w:b w:val="0"/>
                <w:i w:val="0"/>
                <w:sz w:val="15"/>
              </w:rPr>
              <w:t>Non-recurring; excluded from Adj. EBITDA and from normalized NI below. *Inference:* overlap between the $78m recognized and the ~$100m guide is not stated</w:t>
            </w:r>
          </w:p>
        </w:tc>
      </w:tr>
    </w:tbl>
    <w:p>
      <w:pPr>
        <w:spacing w:after="120"/>
      </w:pPr>
      <w:r>
        <w:rPr>
          <w:b w:val="0"/>
          <w:i/>
          <w:color w:val="595959"/>
          <w:sz w:val="15"/>
        </w:rPr>
        <w:t>Source: analysis/D3_group_decomposition.md §2.</w:t>
      </w:r>
    </w:p>
    <w:p>
      <w:r>
        <w:rPr>
          <w:b/>
          <w:color w:val="E36C09"/>
        </w:rPr>
        <w:t>[TO COLLECT #49: dollar bridge from S&amp;P allocations (~$100m) to the standalone corporate cost base]</w:t>
      </w:r>
      <w:r>
        <w:rPr>
          <w:b w:val="0"/>
          <w:i w:val="0"/>
        </w:rPr>
        <w:t xml:space="preserve">; </w:t>
      </w:r>
      <w:r>
        <w:rPr>
          <w:b/>
          <w:color w:val="E36C09"/>
        </w:rPr>
        <w:t>[TO COLLECT #50: overlap between $78m of transaction costs expensed and the ~$100m one-time guide]</w:t>
      </w:r>
      <w:r>
        <w:rPr>
          <w:b w:val="0"/>
          <w:i w:val="0"/>
        </w:rPr>
        <w:t>.</w:t>
      </w:r>
    </w:p>
    <w:p>
      <w:pPr>
        <w:pStyle w:val="Heading2"/>
      </w:pPr>
      <w:r>
        <w:t>9.2 Interest burden on the $2.0bn notes</w:t>
      </w:r>
    </w:p>
    <w:p>
      <w:pPr>
        <w:keepNext/>
        <w:spacing w:before="80" w:after="40"/>
      </w:pPr>
      <w:r>
        <w:rPr>
          <w:b/>
          <w:i w:val="0"/>
          <w:color w:val="1F3864"/>
          <w:sz w:val="17"/>
        </w:rPr>
        <w:t xml:space="preserve">Exhibit 9.5 — Senior notes (issued 2026-05-29) </w:t>
      </w:r>
      <w:r>
        <w:rPr>
          <w:b/>
          <w:color w:val="2E548C"/>
          <w:sz w:val="14"/>
        </w:rPr>
        <w:t>[D]</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728"/>
        <w:gridCol w:w="2086"/>
        <w:gridCol w:w="2086"/>
        <w:gridCol w:w="2889"/>
      </w:tblGrid>
      <w:tr>
        <w:trPr>
          <w:cantSplit/>
          <w:tblHeader/>
        </w:trPr>
        <w:tc>
          <w:tcPr>
            <w:tcW w:type="dxa" w:w="2729"/>
            <w:shd w:val="clear" w:color="auto" w:fill="1F3864"/>
          </w:tcPr>
          <w:p>
            <w:pPr>
              <w:spacing w:after="0" w:line="240" w:lineRule="auto"/>
            </w:pPr>
            <w:r>
              <w:rPr>
                <w:b/>
                <w:i w:val="0"/>
                <w:color w:val="FFFFFF"/>
                <w:sz w:val="16"/>
              </w:rPr>
              <w:t>Tranche</w:t>
            </w:r>
          </w:p>
        </w:tc>
        <w:tc>
          <w:tcPr>
            <w:tcW w:type="dxa" w:w="2087"/>
            <w:shd w:val="clear" w:color="auto" w:fill="1F3864"/>
          </w:tcPr>
          <w:p>
            <w:pPr>
              <w:spacing w:after="0" w:line="240" w:lineRule="auto"/>
              <w:jc w:val="right"/>
            </w:pPr>
            <w:r>
              <w:rPr>
                <w:b/>
                <w:i w:val="0"/>
                <w:color w:val="FFFFFF"/>
                <w:sz w:val="16"/>
              </w:rPr>
              <w:t>Principal</w:t>
            </w:r>
          </w:p>
        </w:tc>
        <w:tc>
          <w:tcPr>
            <w:tcW w:type="dxa" w:w="2087"/>
            <w:shd w:val="clear" w:color="auto" w:fill="1F3864"/>
          </w:tcPr>
          <w:p>
            <w:pPr>
              <w:spacing w:after="0" w:line="240" w:lineRule="auto"/>
            </w:pPr>
            <w:r>
              <w:rPr>
                <w:b/>
                <w:i w:val="0"/>
                <w:color w:val="FFFFFF"/>
                <w:sz w:val="16"/>
              </w:rPr>
              <w:t>Coupon</w:t>
            </w:r>
          </w:p>
        </w:tc>
        <w:tc>
          <w:tcPr>
            <w:tcW w:type="dxa" w:w="2889"/>
            <w:shd w:val="clear" w:color="auto" w:fill="1F3864"/>
          </w:tcPr>
          <w:p>
            <w:pPr>
              <w:spacing w:after="0" w:line="240" w:lineRule="auto"/>
              <w:jc w:val="right"/>
            </w:pPr>
            <w:r>
              <w:rPr>
                <w:b/>
                <w:i w:val="0"/>
                <w:color w:val="FFFFFF"/>
                <w:sz w:val="16"/>
              </w:rPr>
              <w:t xml:space="preserve">Annual cash coupon </w:t>
            </w:r>
            <w:r>
              <w:rPr>
                <w:b/>
                <w:color w:val="FFFFFF"/>
                <w:sz w:val="13"/>
              </w:rPr>
              <w:t>[C]</w:t>
            </w:r>
          </w:p>
        </w:tc>
      </w:tr>
      <w:tr>
        <w:trPr>
          <w:cantSplit/>
        </w:trPr>
        <w:tc>
          <w:tcPr>
            <w:tcW w:type="dxa" w:w="2729"/>
          </w:tcPr>
          <w:p>
            <w:pPr>
              <w:spacing w:after="0" w:line="240" w:lineRule="auto"/>
            </w:pPr>
            <w:r>
              <w:rPr>
                <w:b w:val="0"/>
                <w:i w:val="0"/>
                <w:sz w:val="16"/>
              </w:rPr>
              <w:t>5.050% 2029</w:t>
            </w:r>
          </w:p>
        </w:tc>
        <w:tc>
          <w:tcPr>
            <w:tcW w:type="dxa" w:w="2087"/>
          </w:tcPr>
          <w:p>
            <w:pPr>
              <w:spacing w:after="0" w:line="240" w:lineRule="auto"/>
              <w:jc w:val="right"/>
            </w:pPr>
            <w:r>
              <w:rPr>
                <w:b w:val="0"/>
                <w:i w:val="0"/>
                <w:sz w:val="16"/>
              </w:rPr>
              <w:t>650</w:t>
            </w:r>
          </w:p>
        </w:tc>
        <w:tc>
          <w:tcPr>
            <w:tcW w:type="dxa" w:w="2087"/>
          </w:tcPr>
          <w:p>
            <w:pPr>
              <w:spacing w:after="0" w:line="240" w:lineRule="auto"/>
            </w:pPr>
            <w:r>
              <w:rPr>
                <w:b w:val="0"/>
                <w:i w:val="0"/>
                <w:sz w:val="16"/>
              </w:rPr>
              <w:t>5.050%</w:t>
            </w:r>
          </w:p>
        </w:tc>
        <w:tc>
          <w:tcPr>
            <w:tcW w:type="dxa" w:w="2889"/>
          </w:tcPr>
          <w:p>
            <w:pPr>
              <w:spacing w:after="0" w:line="240" w:lineRule="auto"/>
              <w:jc w:val="right"/>
            </w:pPr>
            <w:r>
              <w:rPr>
                <w:b w:val="0"/>
                <w:i w:val="0"/>
                <w:sz w:val="16"/>
              </w:rPr>
              <w:t>32.8</w:t>
            </w:r>
          </w:p>
        </w:tc>
      </w:tr>
      <w:tr>
        <w:trPr>
          <w:cantSplit/>
        </w:trPr>
        <w:tc>
          <w:tcPr>
            <w:tcW w:type="dxa" w:w="2729"/>
            <w:shd w:val="clear" w:color="auto" w:fill="D9E1F2"/>
          </w:tcPr>
          <w:p>
            <w:pPr>
              <w:spacing w:after="0" w:line="240" w:lineRule="auto"/>
            </w:pPr>
            <w:r>
              <w:rPr>
                <w:b w:val="0"/>
                <w:i w:val="0"/>
                <w:sz w:val="16"/>
              </w:rPr>
              <w:t>5.450% 2031</w:t>
            </w:r>
          </w:p>
        </w:tc>
        <w:tc>
          <w:tcPr>
            <w:tcW w:type="dxa" w:w="2087"/>
            <w:shd w:val="clear" w:color="auto" w:fill="D9E1F2"/>
          </w:tcPr>
          <w:p>
            <w:pPr>
              <w:spacing w:after="0" w:line="240" w:lineRule="auto"/>
              <w:jc w:val="right"/>
            </w:pPr>
            <w:r>
              <w:rPr>
                <w:b w:val="0"/>
                <w:i w:val="0"/>
                <w:sz w:val="16"/>
              </w:rPr>
              <w:t>650</w:t>
            </w:r>
          </w:p>
        </w:tc>
        <w:tc>
          <w:tcPr>
            <w:tcW w:type="dxa" w:w="2087"/>
            <w:shd w:val="clear" w:color="auto" w:fill="D9E1F2"/>
          </w:tcPr>
          <w:p>
            <w:pPr>
              <w:spacing w:after="0" w:line="240" w:lineRule="auto"/>
            </w:pPr>
            <w:r>
              <w:rPr>
                <w:b w:val="0"/>
                <w:i w:val="0"/>
                <w:sz w:val="16"/>
              </w:rPr>
              <w:t>5.450%</w:t>
            </w:r>
          </w:p>
        </w:tc>
        <w:tc>
          <w:tcPr>
            <w:tcW w:type="dxa" w:w="2889"/>
            <w:shd w:val="clear" w:color="auto" w:fill="D9E1F2"/>
          </w:tcPr>
          <w:p>
            <w:pPr>
              <w:spacing w:after="0" w:line="240" w:lineRule="auto"/>
              <w:jc w:val="right"/>
            </w:pPr>
            <w:r>
              <w:rPr>
                <w:b w:val="0"/>
                <w:i w:val="0"/>
                <w:sz w:val="16"/>
              </w:rPr>
              <w:t>35.4</w:t>
            </w:r>
          </w:p>
        </w:tc>
      </w:tr>
      <w:tr>
        <w:trPr>
          <w:cantSplit/>
        </w:trPr>
        <w:tc>
          <w:tcPr>
            <w:tcW w:type="dxa" w:w="2729"/>
          </w:tcPr>
          <w:p>
            <w:pPr>
              <w:spacing w:after="0" w:line="240" w:lineRule="auto"/>
            </w:pPr>
            <w:r>
              <w:rPr>
                <w:b w:val="0"/>
                <w:i w:val="0"/>
                <w:sz w:val="16"/>
              </w:rPr>
              <w:t>6.050% 2036</w:t>
            </w:r>
          </w:p>
        </w:tc>
        <w:tc>
          <w:tcPr>
            <w:tcW w:type="dxa" w:w="2087"/>
          </w:tcPr>
          <w:p>
            <w:pPr>
              <w:spacing w:after="0" w:line="240" w:lineRule="auto"/>
              <w:jc w:val="right"/>
            </w:pPr>
            <w:r>
              <w:rPr>
                <w:b w:val="0"/>
                <w:i w:val="0"/>
                <w:sz w:val="16"/>
              </w:rPr>
              <w:t>700</w:t>
            </w:r>
          </w:p>
        </w:tc>
        <w:tc>
          <w:tcPr>
            <w:tcW w:type="dxa" w:w="2087"/>
          </w:tcPr>
          <w:p>
            <w:pPr>
              <w:spacing w:after="0" w:line="240" w:lineRule="auto"/>
            </w:pPr>
            <w:r>
              <w:rPr>
                <w:b w:val="0"/>
                <w:i w:val="0"/>
                <w:sz w:val="16"/>
              </w:rPr>
              <w:t>6.050%</w:t>
            </w:r>
          </w:p>
        </w:tc>
        <w:tc>
          <w:tcPr>
            <w:tcW w:type="dxa" w:w="2889"/>
          </w:tcPr>
          <w:p>
            <w:pPr>
              <w:spacing w:after="0" w:line="240" w:lineRule="auto"/>
              <w:jc w:val="right"/>
            </w:pPr>
            <w:r>
              <w:rPr>
                <w:b w:val="0"/>
                <w:i w:val="0"/>
                <w:sz w:val="16"/>
              </w:rPr>
              <w:t>42.4</w:t>
            </w:r>
          </w:p>
        </w:tc>
      </w:tr>
      <w:tr>
        <w:trPr>
          <w:cantSplit/>
        </w:trPr>
        <w:tc>
          <w:tcPr>
            <w:tcW w:type="dxa" w:w="2729"/>
            <w:shd w:val="clear" w:color="auto" w:fill="D9E1F2"/>
          </w:tcPr>
          <w:p>
            <w:pPr>
              <w:spacing w:after="0" w:line="240" w:lineRule="auto"/>
            </w:pPr>
            <w:r>
              <w:rPr>
                <w:b/>
                <w:i w:val="0"/>
                <w:sz w:val="16"/>
              </w:rPr>
              <w:t>Total</w:t>
            </w:r>
          </w:p>
        </w:tc>
        <w:tc>
          <w:tcPr>
            <w:tcW w:type="dxa" w:w="2087"/>
            <w:shd w:val="clear" w:color="auto" w:fill="D9E1F2"/>
          </w:tcPr>
          <w:p>
            <w:pPr>
              <w:spacing w:after="0" w:line="240" w:lineRule="auto"/>
              <w:jc w:val="right"/>
            </w:pPr>
            <w:r>
              <w:rPr>
                <w:b/>
                <w:i w:val="0"/>
                <w:sz w:val="16"/>
              </w:rPr>
              <w:t>2,000</w:t>
            </w:r>
          </w:p>
        </w:tc>
        <w:tc>
          <w:tcPr>
            <w:tcW w:type="dxa" w:w="2087"/>
            <w:shd w:val="clear" w:color="auto" w:fill="D9E1F2"/>
          </w:tcPr>
          <w:p>
            <w:pPr>
              <w:spacing w:after="0" w:line="240" w:lineRule="auto"/>
            </w:pPr>
            <w:r>
              <w:rPr>
                <w:b/>
                <w:i w:val="0"/>
                <w:sz w:val="16"/>
              </w:rPr>
              <w:t>5.53% weighted</w:t>
            </w:r>
          </w:p>
        </w:tc>
        <w:tc>
          <w:tcPr>
            <w:tcW w:type="dxa" w:w="2889"/>
            <w:shd w:val="clear" w:color="auto" w:fill="D9E1F2"/>
          </w:tcPr>
          <w:p>
            <w:pPr>
              <w:spacing w:after="0" w:line="240" w:lineRule="auto"/>
              <w:jc w:val="right"/>
            </w:pPr>
            <w:r>
              <w:rPr>
                <w:b/>
                <w:i w:val="0"/>
                <w:sz w:val="16"/>
              </w:rPr>
              <w:t>110.6</w:t>
            </w:r>
          </w:p>
        </w:tc>
      </w:tr>
    </w:tbl>
    <w:p>
      <w:pPr>
        <w:spacing w:after="120"/>
      </w:pPr>
      <w:r>
        <w:rPr>
          <w:b w:val="0"/>
          <w:i/>
          <w:color w:val="595959"/>
          <w:sz w:val="15"/>
        </w:rPr>
        <w:t>Source: 10Q p.11; 10A p.337 (D3 §3).</w:t>
      </w:r>
    </w:p>
    <w:p>
      <w:pPr>
        <w:keepNext/>
        <w:spacing w:before="80" w:after="40"/>
      </w:pPr>
      <w:r>
        <w:rPr>
          <w:b/>
          <w:i w:val="0"/>
          <w:color w:val="1F3864"/>
          <w:sz w:val="17"/>
        </w:rPr>
        <w:t>Exhibit 9.6 — Interest, coverage and leverage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4320"/>
        <w:gridCol w:w="3744"/>
        <w:gridCol w:w="1728"/>
      </w:tblGrid>
      <w:tr>
        <w:trPr>
          <w:cantSplit/>
          <w:tblHeader/>
        </w:trPr>
        <w:tc>
          <w:tcPr>
            <w:tcW w:type="dxa" w:w="4320"/>
            <w:shd w:val="clear" w:color="auto" w:fill="1F3864"/>
          </w:tcPr>
          <w:p>
            <w:pPr>
              <w:spacing w:after="0" w:line="240" w:lineRule="auto"/>
            </w:pPr>
            <w:r>
              <w:rPr>
                <w:b/>
                <w:i w:val="0"/>
                <w:color w:val="FFFFFF"/>
                <w:sz w:val="15"/>
              </w:rPr>
              <w:t>Measure</w:t>
            </w:r>
          </w:p>
        </w:tc>
        <w:tc>
          <w:tcPr>
            <w:tcW w:type="dxa" w:w="3744"/>
            <w:shd w:val="clear" w:color="auto" w:fill="1F3864"/>
          </w:tcPr>
          <w:p>
            <w:pPr>
              <w:spacing w:after="0" w:line="240" w:lineRule="auto"/>
            </w:pPr>
            <w:r>
              <w:rPr>
                <w:b/>
                <w:i w:val="0"/>
                <w:color w:val="FFFFFF"/>
                <w:sz w:val="15"/>
              </w:rPr>
              <w:t>Value</w:t>
            </w:r>
          </w:p>
        </w:tc>
        <w:tc>
          <w:tcPr>
            <w:tcW w:type="dxa" w:w="1728"/>
            <w:shd w:val="clear" w:color="auto" w:fill="1F3864"/>
          </w:tcPr>
          <w:p>
            <w:pPr>
              <w:spacing w:after="0" w:line="240" w:lineRule="auto"/>
            </w:pPr>
            <w:r>
              <w:rPr>
                <w:b/>
                <w:i w:val="0"/>
                <w:color w:val="FFFFFF"/>
                <w:sz w:val="15"/>
              </w:rPr>
              <w:t>Tier</w:t>
            </w:r>
          </w:p>
        </w:tc>
      </w:tr>
      <w:tr>
        <w:trPr>
          <w:cantSplit/>
        </w:trPr>
        <w:tc>
          <w:tcPr>
            <w:tcW w:type="dxa" w:w="4320"/>
          </w:tcPr>
          <w:p>
            <w:pPr>
              <w:spacing w:after="0" w:line="240" w:lineRule="auto"/>
            </w:pPr>
            <w:r>
              <w:rPr>
                <w:b w:val="0"/>
                <w:i w:val="0"/>
                <w:sz w:val="15"/>
              </w:rPr>
              <w:t>Pro forma FY25 interest on notes incl. OID / fee amortization</w:t>
            </w:r>
          </w:p>
        </w:tc>
        <w:tc>
          <w:tcPr>
            <w:tcW w:type="dxa" w:w="3744"/>
          </w:tcPr>
          <w:p>
            <w:pPr>
              <w:spacing w:after="0" w:line="240" w:lineRule="auto"/>
            </w:pPr>
            <w:r>
              <w:rPr>
                <w:b w:val="0"/>
                <w:i w:val="0"/>
                <w:sz w:val="15"/>
              </w:rPr>
              <w:t>114 (weighted 5.74%)</w:t>
            </w:r>
          </w:p>
        </w:tc>
        <w:tc>
          <w:tcPr>
            <w:tcW w:type="dxa" w:w="1728"/>
          </w:tcPr>
          <w:p>
            <w:pPr>
              <w:spacing w:after="0" w:line="240" w:lineRule="auto"/>
            </w:pPr>
            <w:r>
              <w:rPr>
                <w:b/>
                <w:color w:val="2E548C"/>
                <w:sz w:val="12"/>
              </w:rPr>
              <w:t>[D]</w:t>
            </w:r>
            <w:r>
              <w:rPr>
                <w:b w:val="0"/>
                <w:i w:val="0"/>
                <w:sz w:val="15"/>
              </w:rPr>
              <w:t xml:space="preserve"> 10A p.338</w:t>
            </w:r>
          </w:p>
        </w:tc>
      </w:tr>
      <w:tr>
        <w:trPr>
          <w:cantSplit/>
        </w:trPr>
        <w:tc>
          <w:tcPr>
            <w:tcW w:type="dxa" w:w="4320"/>
            <w:shd w:val="clear" w:color="auto" w:fill="D9E1F2"/>
          </w:tcPr>
          <w:p>
            <w:pPr>
              <w:spacing w:after="0" w:line="240" w:lineRule="auto"/>
            </w:pPr>
            <w:r>
              <w:rPr>
                <w:b w:val="0"/>
                <w:i w:val="0"/>
                <w:sz w:val="15"/>
              </w:rPr>
              <w:t>Less removal of Canada Carfax Loan interest</w:t>
            </w:r>
          </w:p>
        </w:tc>
        <w:tc>
          <w:tcPr>
            <w:tcW w:type="dxa" w:w="3744"/>
            <w:shd w:val="clear" w:color="auto" w:fill="D9E1F2"/>
          </w:tcPr>
          <w:p>
            <w:pPr>
              <w:spacing w:after="0" w:line="240" w:lineRule="auto"/>
            </w:pPr>
            <w:r>
              <w:rPr>
                <w:b w:val="0"/>
                <w:i w:val="0"/>
                <w:sz w:val="15"/>
              </w:rPr>
              <w:t>(14) → net PF adjustment +100; PF interest 113</w:t>
            </w:r>
          </w:p>
        </w:tc>
        <w:tc>
          <w:tcPr>
            <w:tcW w:type="dxa" w:w="1728"/>
            <w:shd w:val="clear" w:color="auto" w:fill="D9E1F2"/>
          </w:tcPr>
          <w:p>
            <w:pPr>
              <w:spacing w:after="0" w:line="240" w:lineRule="auto"/>
            </w:pPr>
            <w:r>
              <w:rPr>
                <w:b/>
                <w:color w:val="2E548C"/>
                <w:sz w:val="12"/>
              </w:rPr>
              <w:t>[D]</w:t>
            </w:r>
            <w:r>
              <w:rPr>
                <w:b w:val="0"/>
                <w:i w:val="0"/>
                <w:sz w:val="15"/>
              </w:rPr>
              <w:t xml:space="preserve"> 10A p.335, 338</w:t>
            </w:r>
          </w:p>
        </w:tc>
      </w:tr>
      <w:tr>
        <w:trPr>
          <w:cantSplit/>
        </w:trPr>
        <w:tc>
          <w:tcPr>
            <w:tcW w:type="dxa" w:w="4320"/>
          </w:tcPr>
          <w:p>
            <w:pPr>
              <w:spacing w:after="0" w:line="240" w:lineRule="auto"/>
            </w:pPr>
            <w:r>
              <w:rPr>
                <w:b w:val="0"/>
                <w:i w:val="0"/>
                <w:sz w:val="15"/>
              </w:rPr>
              <w:t>Guided 2H-26 interest expense</w:t>
            </w:r>
          </w:p>
        </w:tc>
        <w:tc>
          <w:tcPr>
            <w:tcW w:type="dxa" w:w="3744"/>
          </w:tcPr>
          <w:p>
            <w:pPr>
              <w:spacing w:after="0" w:line="240" w:lineRule="auto"/>
            </w:pPr>
            <w:r>
              <w:rPr>
                <w:b w:val="0"/>
                <w:i w:val="0"/>
                <w:sz w:val="15"/>
              </w:rPr>
              <w:t>~55 (annualized ~110)</w:t>
            </w:r>
          </w:p>
        </w:tc>
        <w:tc>
          <w:tcPr>
            <w:tcW w:type="dxa" w:w="1728"/>
          </w:tcPr>
          <w:p>
            <w:pPr>
              <w:spacing w:after="0" w:line="240" w:lineRule="auto"/>
            </w:pPr>
            <w:r>
              <w:rPr>
                <w:b/>
                <w:color w:val="2E548C"/>
                <w:sz w:val="12"/>
              </w:rPr>
              <w:t>[IR]</w:t>
            </w:r>
            <w:r>
              <w:rPr>
                <w:b w:val="0"/>
                <w:i w:val="0"/>
                <w:sz w:val="15"/>
              </w:rPr>
              <w:t xml:space="preserve"> Q2-T 1555.86s</w:t>
            </w:r>
          </w:p>
        </w:tc>
      </w:tr>
      <w:tr>
        <w:trPr>
          <w:cantSplit/>
        </w:trPr>
        <w:tc>
          <w:tcPr>
            <w:tcW w:type="dxa" w:w="4320"/>
            <w:shd w:val="clear" w:color="auto" w:fill="D9E1F2"/>
          </w:tcPr>
          <w:p>
            <w:pPr>
              <w:spacing w:after="0" w:line="240" w:lineRule="auto"/>
            </w:pPr>
            <w:r>
              <w:rPr>
                <w:b w:val="0"/>
                <w:i w:val="0"/>
                <w:sz w:val="15"/>
              </w:rPr>
              <w:t>First cash coupon (Q4-26)</w:t>
            </w:r>
          </w:p>
        </w:tc>
        <w:tc>
          <w:tcPr>
            <w:tcW w:type="dxa" w:w="3744"/>
            <w:shd w:val="clear" w:color="auto" w:fill="D9E1F2"/>
          </w:tcPr>
          <w:p>
            <w:pPr>
              <w:spacing w:after="0" w:line="240" w:lineRule="auto"/>
            </w:pPr>
            <w:r>
              <w:rPr>
                <w:b w:val="0"/>
                <w:i w:val="0"/>
                <w:sz w:val="15"/>
              </w:rPr>
              <w:t>~60, covering accrual from 2026-05-29</w:t>
            </w:r>
          </w:p>
        </w:tc>
        <w:tc>
          <w:tcPr>
            <w:tcW w:type="dxa" w:w="1728"/>
            <w:shd w:val="clear" w:color="auto" w:fill="D9E1F2"/>
          </w:tcPr>
          <w:p>
            <w:pPr>
              <w:spacing w:after="0" w:line="240" w:lineRule="auto"/>
            </w:pPr>
            <w:r>
              <w:rPr>
                <w:b/>
                <w:color w:val="2E548C"/>
                <w:sz w:val="12"/>
              </w:rPr>
              <w:t>[IR]</w:t>
            </w:r>
            <w:r>
              <w:rPr>
                <w:b w:val="0"/>
                <w:i w:val="0"/>
                <w:sz w:val="15"/>
              </w:rPr>
              <w:t xml:space="preserve">; </w:t>
            </w:r>
            <w:r>
              <w:rPr>
                <w:b/>
                <w:color w:val="2E548C"/>
                <w:sz w:val="12"/>
              </w:rPr>
              <w:t>[C]</w:t>
            </w:r>
            <w:r>
              <w:rPr>
                <w:b w:val="0"/>
                <w:i w:val="0"/>
                <w:sz w:val="15"/>
              </w:rPr>
              <w:t xml:space="preserve"> 2,000 × 5.53% × ~0.55yr ≈ 61</w:t>
            </w:r>
          </w:p>
        </w:tc>
      </w:tr>
      <w:tr>
        <w:trPr>
          <w:cantSplit/>
        </w:trPr>
        <w:tc>
          <w:tcPr>
            <w:tcW w:type="dxa" w:w="4320"/>
          </w:tcPr>
          <w:p>
            <w:pPr>
              <w:spacing w:after="0" w:line="240" w:lineRule="auto"/>
            </w:pPr>
            <w:r>
              <w:rPr>
                <w:b w:val="0"/>
                <w:i w:val="0"/>
                <w:sz w:val="15"/>
              </w:rPr>
              <w:t>Interest income offset</w:t>
            </w:r>
          </w:p>
        </w:tc>
        <w:tc>
          <w:tcPr>
            <w:tcW w:type="dxa" w:w="3744"/>
          </w:tcPr>
          <w:p>
            <w:pPr>
              <w:spacing w:after="0" w:line="240" w:lineRule="auto"/>
            </w:pPr>
            <w:r>
              <w:rPr>
                <w:b w:val="0"/>
                <w:i w:val="0"/>
                <w:sz w:val="15"/>
              </w:rPr>
              <w:t xml:space="preserve">Cash $186m at 6/30/26 </w:t>
            </w:r>
            <w:r>
              <w:rPr>
                <w:b/>
                <w:color w:val="2E548C"/>
                <w:sz w:val="12"/>
              </w:rPr>
              <w:t>[D]</w:t>
            </w:r>
            <w:r>
              <w:rPr>
                <w:b w:val="0"/>
                <w:i w:val="0"/>
                <w:sz w:val="15"/>
              </w:rPr>
              <w:t xml:space="preserve"> × ~4% </w:t>
            </w:r>
            <w:r>
              <w:rPr>
                <w:b/>
                <w:color w:val="2E548C"/>
                <w:sz w:val="12"/>
              </w:rPr>
              <w:t>[E]</w:t>
            </w:r>
            <w:r>
              <w:rPr>
                <w:b w:val="0"/>
                <w:i w:val="0"/>
                <w:sz w:val="15"/>
              </w:rPr>
              <w:t xml:space="preserve"> ≈ 7</w:t>
            </w:r>
          </w:p>
        </w:tc>
        <w:tc>
          <w:tcPr>
            <w:tcW w:type="dxa" w:w="1728"/>
          </w:tcPr>
          <w:p>
            <w:pPr>
              <w:spacing w:after="0" w:line="240" w:lineRule="auto"/>
            </w:pPr>
            <w:r>
              <w:rPr>
                <w:b/>
                <w:color w:val="2E548C"/>
                <w:sz w:val="12"/>
              </w:rPr>
              <w:t>[E]</w:t>
            </w:r>
          </w:p>
        </w:tc>
      </w:tr>
      <w:tr>
        <w:trPr>
          <w:cantSplit/>
        </w:trPr>
        <w:tc>
          <w:tcPr>
            <w:tcW w:type="dxa" w:w="4320"/>
            <w:shd w:val="clear" w:color="auto" w:fill="D9E1F2"/>
          </w:tcPr>
          <w:p>
            <w:pPr>
              <w:spacing w:after="0" w:line="240" w:lineRule="auto"/>
            </w:pPr>
            <w:r>
              <w:rPr>
                <w:b w:val="0"/>
                <w:i w:val="0"/>
                <w:sz w:val="15"/>
              </w:rPr>
              <w:t>Run-rate net interest used below</w:t>
            </w:r>
          </w:p>
        </w:tc>
        <w:tc>
          <w:tcPr>
            <w:tcW w:type="dxa" w:w="3744"/>
            <w:shd w:val="clear" w:color="auto" w:fill="D9E1F2"/>
          </w:tcPr>
          <w:p>
            <w:pPr>
              <w:spacing w:after="0" w:line="240" w:lineRule="auto"/>
            </w:pPr>
            <w:r>
              <w:rPr>
                <w:b/>
                <w:i w:val="0"/>
                <w:sz w:val="15"/>
              </w:rPr>
              <w:t>~110</w:t>
            </w:r>
          </w:p>
        </w:tc>
        <w:tc>
          <w:tcPr>
            <w:tcW w:type="dxa" w:w="1728"/>
            <w:shd w:val="clear" w:color="auto" w:fill="D9E1F2"/>
          </w:tcPr>
          <w:p>
            <w:pPr>
              <w:spacing w:after="0" w:line="240" w:lineRule="auto"/>
            </w:pPr>
            <w:r>
              <w:rPr>
                <w:b/>
                <w:color w:val="2E548C"/>
                <w:sz w:val="12"/>
              </w:rPr>
              <w:t>[C/E]</w:t>
            </w:r>
          </w:p>
        </w:tc>
      </w:tr>
      <w:tr>
        <w:trPr>
          <w:cantSplit/>
        </w:trPr>
        <w:tc>
          <w:tcPr>
            <w:tcW w:type="dxa" w:w="4320"/>
          </w:tcPr>
          <w:p>
            <w:pPr>
              <w:spacing w:after="0" w:line="240" w:lineRule="auto"/>
            </w:pPr>
            <w:r>
              <w:rPr>
                <w:b w:val="0"/>
                <w:i w:val="0"/>
                <w:sz w:val="15"/>
              </w:rPr>
              <w:t>Coverage: FY25 Adj. EBITDA / interest</w:t>
            </w:r>
          </w:p>
        </w:tc>
        <w:tc>
          <w:tcPr>
            <w:tcW w:type="dxa" w:w="3744"/>
          </w:tcPr>
          <w:p>
            <w:pPr>
              <w:spacing w:after="0" w:line="240" w:lineRule="auto"/>
            </w:pPr>
            <w:r>
              <w:rPr>
                <w:b w:val="0"/>
                <w:i w:val="0"/>
                <w:sz w:val="15"/>
              </w:rPr>
              <w:t>711 / 110 = 6.5x</w:t>
            </w:r>
          </w:p>
        </w:tc>
        <w:tc>
          <w:tcPr>
            <w:tcW w:type="dxa" w:w="1728"/>
          </w:tcPr>
          <w:p>
            <w:pPr>
              <w:spacing w:after="0" w:line="240" w:lineRule="auto"/>
            </w:pPr>
            <w:r>
              <w:rPr>
                <w:b/>
                <w:color w:val="2E548C"/>
                <w:sz w:val="12"/>
              </w:rPr>
              <w:t>[C]</w:t>
            </w:r>
          </w:p>
        </w:tc>
      </w:tr>
      <w:tr>
        <w:trPr>
          <w:cantSplit/>
        </w:trPr>
        <w:tc>
          <w:tcPr>
            <w:tcW w:type="dxa" w:w="4320"/>
            <w:shd w:val="clear" w:color="auto" w:fill="D9E1F2"/>
          </w:tcPr>
          <w:p>
            <w:pPr>
              <w:spacing w:after="0" w:line="240" w:lineRule="auto"/>
            </w:pPr>
            <w:r>
              <w:rPr>
                <w:b w:val="0"/>
                <w:i w:val="0"/>
                <w:sz w:val="15"/>
              </w:rPr>
              <w:t>Coverage: standalone normalized OP / interest</w:t>
            </w:r>
          </w:p>
        </w:tc>
        <w:tc>
          <w:tcPr>
            <w:tcW w:type="dxa" w:w="3744"/>
            <w:shd w:val="clear" w:color="auto" w:fill="D9E1F2"/>
          </w:tcPr>
          <w:p>
            <w:pPr>
              <w:spacing w:after="0" w:line="240" w:lineRule="auto"/>
            </w:pPr>
            <w:r>
              <w:rPr>
                <w:b w:val="0"/>
                <w:i w:val="0"/>
                <w:sz w:val="15"/>
              </w:rPr>
              <w:t>353 / 110 = 3.2x</w:t>
            </w:r>
          </w:p>
        </w:tc>
        <w:tc>
          <w:tcPr>
            <w:tcW w:type="dxa" w:w="1728"/>
            <w:shd w:val="clear" w:color="auto" w:fill="D9E1F2"/>
          </w:tcPr>
          <w:p>
            <w:pPr>
              <w:spacing w:after="0" w:line="240" w:lineRule="auto"/>
            </w:pPr>
            <w:r>
              <w:rPr>
                <w:b/>
                <w:color w:val="2E548C"/>
                <w:sz w:val="12"/>
              </w:rPr>
              <w:t>[C]</w:t>
            </w:r>
          </w:p>
        </w:tc>
      </w:tr>
      <w:tr>
        <w:trPr>
          <w:cantSplit/>
        </w:trPr>
        <w:tc>
          <w:tcPr>
            <w:tcW w:type="dxa" w:w="4320"/>
          </w:tcPr>
          <w:p>
            <w:pPr>
              <w:spacing w:after="0" w:line="240" w:lineRule="auto"/>
            </w:pPr>
            <w:r>
              <w:rPr>
                <w:b w:val="0"/>
                <w:i w:val="0"/>
                <w:sz w:val="15"/>
              </w:rPr>
              <w:t>Gross leverage</w:t>
            </w:r>
          </w:p>
        </w:tc>
        <w:tc>
          <w:tcPr>
            <w:tcW w:type="dxa" w:w="3744"/>
          </w:tcPr>
          <w:p>
            <w:pPr>
              <w:spacing w:after="0" w:line="240" w:lineRule="auto"/>
            </w:pPr>
            <w:r>
              <w:rPr>
                <w:b w:val="0"/>
                <w:i w:val="0"/>
                <w:sz w:val="15"/>
              </w:rPr>
              <w:t>2.7x at spin; 2.8x on LTM Q1-26 (ID 115); target ~2.5x via EBITDA growth (no prepayable debt)</w:t>
            </w:r>
          </w:p>
        </w:tc>
        <w:tc>
          <w:tcPr>
            <w:tcW w:type="dxa" w:w="1728"/>
          </w:tcPr>
          <w:p>
            <w:pPr>
              <w:spacing w:after="0" w:line="240" w:lineRule="auto"/>
            </w:pPr>
            <w:r>
              <w:rPr>
                <w:b/>
                <w:color w:val="2E548C"/>
                <w:sz w:val="12"/>
              </w:rPr>
              <w:t>[IR]</w:t>
            </w:r>
            <w:r>
              <w:rPr>
                <w:b w:val="0"/>
                <w:i w:val="0"/>
                <w:sz w:val="15"/>
              </w:rPr>
              <w:t>/</w:t>
            </w:r>
            <w:r>
              <w:rPr>
                <w:b/>
                <w:color w:val="2E548C"/>
                <w:sz w:val="12"/>
              </w:rPr>
              <w:t>[D-deck]</w:t>
            </w:r>
          </w:p>
        </w:tc>
      </w:tr>
    </w:tbl>
    <w:p>
      <w:pPr>
        <w:spacing w:after="120"/>
      </w:pPr>
      <w:r>
        <w:rPr>
          <w:b w:val="0"/>
          <w:i/>
          <w:color w:val="595959"/>
          <w:sz w:val="15"/>
        </w:rPr>
        <w:t>Source: analysis/D3_group_decomposition.md §3.</w:t>
      </w:r>
    </w:p>
    <w:p>
      <w:pPr>
        <w:pStyle w:val="Heading2"/>
      </w:pPr>
      <w:r>
        <w:t>9.3 Standalone normalized net income</w:t>
      </w:r>
    </w:p>
    <w:p>
      <w:r>
        <w:rPr>
          <w:b w:val="0"/>
          <w:i w:val="0"/>
        </w:rPr>
        <w:t xml:space="preserve">Assumptions (D3 §4): FY25 non-recurring adjustments of $40m added back </w:t>
      </w:r>
      <w:r>
        <w:rPr>
          <w:b/>
          <w:color w:val="2E548C"/>
          <w:sz w:val="16"/>
        </w:rPr>
        <w:t>[D-deck]</w:t>
      </w:r>
      <w:r>
        <w:rPr>
          <w:b w:val="0"/>
          <w:i w:val="0"/>
        </w:rPr>
        <w:t xml:space="preserve">; standalone increment 150bp × FY25 revenue = $26.3m </w:t>
      </w:r>
      <w:r>
        <w:rPr>
          <w:b/>
          <w:color w:val="2E548C"/>
          <w:sz w:val="16"/>
        </w:rPr>
        <w:t>[IR→C]</w:t>
      </w:r>
      <w:r>
        <w:rPr>
          <w:b w:val="0"/>
          <w:i w:val="0"/>
        </w:rPr>
        <w:t xml:space="preserve">; SBC held at $22m in the base case; interest $110m run-rate; tax 29.5% (FY26 guide midpoint) </w:t>
      </w:r>
      <w:r>
        <w:rPr>
          <w:b/>
          <w:color w:val="2E548C"/>
          <w:sz w:val="16"/>
        </w:rPr>
        <w:t>[IR]</w:t>
      </w:r>
      <w:r>
        <w:rPr>
          <w:b w:val="0"/>
          <w:i w:val="0"/>
        </w:rPr>
        <w:t>; acquired-intangible amortization of ~$296m stays in GAAP NI.</w:t>
      </w:r>
    </w:p>
    <w:p>
      <w:pPr>
        <w:keepNext/>
        <w:spacing w:before="80" w:after="40"/>
      </w:pPr>
      <w:r>
        <w:rPr>
          <w:b/>
          <w:i w:val="0"/>
          <w:color w:val="1F3864"/>
          <w:sz w:val="17"/>
        </w:rPr>
        <w:t>Exhibit 9.7 — Carve-out NI → standalone normalized NI, FY25 base ($m)</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4320"/>
        <w:gridCol w:w="1728"/>
        <w:gridCol w:w="3744"/>
      </w:tblGrid>
      <w:tr>
        <w:trPr>
          <w:cantSplit/>
          <w:tblHeader/>
        </w:trPr>
        <w:tc>
          <w:tcPr>
            <w:tcW w:type="dxa" w:w="4320"/>
            <w:shd w:val="clear" w:color="auto" w:fill="1F3864"/>
          </w:tcPr>
          <w:p>
            <w:pPr>
              <w:spacing w:after="0" w:line="240" w:lineRule="auto"/>
            </w:pPr>
            <w:r>
              <w:rPr>
                <w:b/>
                <w:i w:val="0"/>
                <w:color w:val="FFFFFF"/>
                <w:sz w:val="16"/>
              </w:rPr>
              <w:t>Step</w:t>
            </w:r>
          </w:p>
        </w:tc>
        <w:tc>
          <w:tcPr>
            <w:tcW w:type="dxa" w:w="1728"/>
            <w:shd w:val="clear" w:color="auto" w:fill="1F3864"/>
          </w:tcPr>
          <w:p>
            <w:pPr>
              <w:spacing w:after="0" w:line="240" w:lineRule="auto"/>
              <w:jc w:val="right"/>
            </w:pPr>
            <w:r>
              <w:rPr>
                <w:b/>
                <w:i w:val="0"/>
                <w:color w:val="FFFFFF"/>
                <w:sz w:val="16"/>
              </w:rPr>
              <w:t>FY25 base</w:t>
            </w:r>
          </w:p>
        </w:tc>
        <w:tc>
          <w:tcPr>
            <w:tcW w:type="dxa" w:w="3744"/>
            <w:shd w:val="clear" w:color="auto" w:fill="1F3864"/>
          </w:tcPr>
          <w:p>
            <w:pPr>
              <w:spacing w:after="0" w:line="240" w:lineRule="auto"/>
            </w:pPr>
            <w:r>
              <w:rPr>
                <w:b/>
                <w:i w:val="0"/>
                <w:color w:val="FFFFFF"/>
                <w:sz w:val="16"/>
              </w:rPr>
              <w:t>Source / tier</w:t>
            </w:r>
          </w:p>
        </w:tc>
      </w:tr>
      <w:tr>
        <w:trPr>
          <w:cantSplit/>
        </w:trPr>
        <w:tc>
          <w:tcPr>
            <w:tcW w:type="dxa" w:w="4320"/>
          </w:tcPr>
          <w:p>
            <w:pPr>
              <w:spacing w:after="0" w:line="240" w:lineRule="auto"/>
            </w:pPr>
            <w:r>
              <w:rPr>
                <w:b w:val="0"/>
                <w:i w:val="0"/>
                <w:sz w:val="16"/>
              </w:rPr>
              <w:t>Carve-out net income</w:t>
            </w:r>
          </w:p>
        </w:tc>
        <w:tc>
          <w:tcPr>
            <w:tcW w:type="dxa" w:w="1728"/>
          </w:tcPr>
          <w:p>
            <w:pPr>
              <w:spacing w:after="0" w:line="240" w:lineRule="auto"/>
              <w:jc w:val="right"/>
            </w:pPr>
            <w:r>
              <w:rPr>
                <w:b w:val="0"/>
                <w:i w:val="0"/>
                <w:sz w:val="16"/>
              </w:rPr>
              <w:t>220</w:t>
            </w:r>
          </w:p>
        </w:tc>
        <w:tc>
          <w:tcPr>
            <w:tcW w:type="dxa" w:w="3744"/>
          </w:tcPr>
          <w:p>
            <w:pPr>
              <w:spacing w:after="0" w:line="240" w:lineRule="auto"/>
            </w:pPr>
            <w:r>
              <w:rPr>
                <w:b/>
                <w:color w:val="2E548C"/>
                <w:sz w:val="13"/>
              </w:rPr>
              <w:t>[D]</w:t>
            </w:r>
            <w:r>
              <w:rPr>
                <w:b w:val="0"/>
                <w:i w:val="0"/>
                <w:sz w:val="16"/>
              </w:rPr>
              <w:t xml:space="preserve"> 10A p.440</w:t>
            </w:r>
          </w:p>
        </w:tc>
      </w:tr>
      <w:tr>
        <w:trPr>
          <w:cantSplit/>
        </w:trPr>
        <w:tc>
          <w:tcPr>
            <w:tcW w:type="dxa" w:w="4320"/>
            <w:shd w:val="clear" w:color="auto" w:fill="D9E1F2"/>
          </w:tcPr>
          <w:p>
            <w:pPr>
              <w:spacing w:after="0" w:line="240" w:lineRule="auto"/>
            </w:pPr>
            <w:r>
              <w:rPr>
                <w:b w:val="0"/>
                <w:i w:val="0"/>
                <w:sz w:val="16"/>
              </w:rPr>
              <w:t>+ Tax</w:t>
            </w:r>
          </w:p>
        </w:tc>
        <w:tc>
          <w:tcPr>
            <w:tcW w:type="dxa" w:w="1728"/>
            <w:shd w:val="clear" w:color="auto" w:fill="D9E1F2"/>
          </w:tcPr>
          <w:p>
            <w:pPr>
              <w:spacing w:after="0" w:line="240" w:lineRule="auto"/>
              <w:jc w:val="right"/>
            </w:pPr>
            <w:r>
              <w:rPr>
                <w:b w:val="0"/>
                <w:i w:val="0"/>
                <w:sz w:val="16"/>
              </w:rPr>
              <w:t>106</w:t>
            </w:r>
          </w:p>
        </w:tc>
        <w:tc>
          <w:tcPr>
            <w:tcW w:type="dxa" w:w="3744"/>
            <w:shd w:val="clear" w:color="auto" w:fill="D9E1F2"/>
          </w:tcPr>
          <w:p>
            <w:pPr>
              <w:spacing w:after="0" w:line="240" w:lineRule="auto"/>
            </w:pPr>
            <w:r>
              <w:rPr>
                <w:b/>
                <w:color w:val="2E548C"/>
                <w:sz w:val="13"/>
              </w:rPr>
              <w:t>[D]</w:t>
            </w:r>
          </w:p>
        </w:tc>
      </w:tr>
      <w:tr>
        <w:trPr>
          <w:cantSplit/>
        </w:trPr>
        <w:tc>
          <w:tcPr>
            <w:tcW w:type="dxa" w:w="4320"/>
          </w:tcPr>
          <w:p>
            <w:pPr>
              <w:spacing w:after="0" w:line="240" w:lineRule="auto"/>
            </w:pPr>
            <w:r>
              <w:rPr>
                <w:b w:val="0"/>
                <w:i w:val="0"/>
                <w:sz w:val="16"/>
              </w:rPr>
              <w:t>+ Interest, net (carve-out, incl. Canada loan)</w:t>
            </w:r>
          </w:p>
        </w:tc>
        <w:tc>
          <w:tcPr>
            <w:tcW w:type="dxa" w:w="1728"/>
          </w:tcPr>
          <w:p>
            <w:pPr>
              <w:spacing w:after="0" w:line="240" w:lineRule="auto"/>
              <w:jc w:val="right"/>
            </w:pPr>
            <w:r>
              <w:rPr>
                <w:b w:val="0"/>
                <w:i w:val="0"/>
                <w:sz w:val="16"/>
              </w:rPr>
              <w:t>13</w:t>
            </w:r>
          </w:p>
        </w:tc>
        <w:tc>
          <w:tcPr>
            <w:tcW w:type="dxa" w:w="3744"/>
          </w:tcPr>
          <w:p>
            <w:pPr>
              <w:spacing w:after="0" w:line="240" w:lineRule="auto"/>
            </w:pPr>
            <w:r>
              <w:rPr>
                <w:b/>
                <w:color w:val="2E548C"/>
                <w:sz w:val="13"/>
              </w:rPr>
              <w:t>[D]</w:t>
            </w:r>
          </w:p>
        </w:tc>
      </w:tr>
      <w:tr>
        <w:trPr>
          <w:cantSplit/>
        </w:trPr>
        <w:tc>
          <w:tcPr>
            <w:tcW w:type="dxa" w:w="4320"/>
            <w:shd w:val="clear" w:color="auto" w:fill="D9E1F2"/>
          </w:tcPr>
          <w:p>
            <w:pPr>
              <w:spacing w:after="0" w:line="240" w:lineRule="auto"/>
            </w:pPr>
            <w:r>
              <w:rPr>
                <w:b w:val="0"/>
                <w:i w:val="0"/>
                <w:sz w:val="16"/>
              </w:rPr>
              <w:t>− Other income</w:t>
            </w:r>
          </w:p>
        </w:tc>
        <w:tc>
          <w:tcPr>
            <w:tcW w:type="dxa" w:w="1728"/>
            <w:shd w:val="clear" w:color="auto" w:fill="D9E1F2"/>
          </w:tcPr>
          <w:p>
            <w:pPr>
              <w:spacing w:after="0" w:line="240" w:lineRule="auto"/>
              <w:jc w:val="right"/>
            </w:pPr>
            <w:r>
              <w:rPr>
                <w:b w:val="0"/>
                <w:i w:val="0"/>
                <w:sz w:val="16"/>
              </w:rPr>
              <w:t>0</w:t>
            </w:r>
          </w:p>
        </w:tc>
        <w:tc>
          <w:tcPr>
            <w:tcW w:type="dxa" w:w="3744"/>
            <w:shd w:val="clear" w:color="auto" w:fill="D9E1F2"/>
          </w:tcPr>
          <w:p>
            <w:pPr>
              <w:spacing w:after="0" w:line="240" w:lineRule="auto"/>
            </w:pPr>
            <w:r>
              <w:rPr>
                <w:b/>
                <w:color w:val="2E548C"/>
                <w:sz w:val="13"/>
              </w:rPr>
              <w:t>[D]</w:t>
            </w:r>
          </w:p>
        </w:tc>
      </w:tr>
      <w:tr>
        <w:trPr>
          <w:cantSplit/>
        </w:trPr>
        <w:tc>
          <w:tcPr>
            <w:tcW w:type="dxa" w:w="4320"/>
          </w:tcPr>
          <w:p>
            <w:pPr>
              <w:spacing w:after="0" w:line="240" w:lineRule="auto"/>
            </w:pPr>
            <w:r>
              <w:rPr>
                <w:b w:val="0"/>
                <w:i w:val="0"/>
                <w:sz w:val="16"/>
              </w:rPr>
              <w:t>= Operating profit</w:t>
            </w:r>
          </w:p>
        </w:tc>
        <w:tc>
          <w:tcPr>
            <w:tcW w:type="dxa" w:w="1728"/>
          </w:tcPr>
          <w:p>
            <w:pPr>
              <w:spacing w:after="0" w:line="240" w:lineRule="auto"/>
              <w:jc w:val="right"/>
            </w:pPr>
            <w:r>
              <w:rPr>
                <w:b w:val="0"/>
                <w:i w:val="0"/>
                <w:sz w:val="16"/>
              </w:rPr>
              <w:t>339</w:t>
            </w:r>
          </w:p>
        </w:tc>
        <w:tc>
          <w:tcPr>
            <w:tcW w:type="dxa" w:w="3744"/>
          </w:tcPr>
          <w:p>
            <w:pPr>
              <w:spacing w:after="0" w:line="240" w:lineRule="auto"/>
            </w:pPr>
            <w:r>
              <w:rPr>
                <w:b/>
                <w:color w:val="2E548C"/>
                <w:sz w:val="13"/>
              </w:rPr>
              <w:t>[D]</w:t>
            </w:r>
          </w:p>
        </w:tc>
      </w:tr>
      <w:tr>
        <w:trPr>
          <w:cantSplit/>
        </w:trPr>
        <w:tc>
          <w:tcPr>
            <w:tcW w:type="dxa" w:w="4320"/>
            <w:shd w:val="clear" w:color="auto" w:fill="D9E1F2"/>
          </w:tcPr>
          <w:p>
            <w:pPr>
              <w:spacing w:after="0" w:line="240" w:lineRule="auto"/>
            </w:pPr>
            <w:r>
              <w:rPr>
                <w:b w:val="0"/>
                <w:i w:val="0"/>
                <w:sz w:val="16"/>
              </w:rPr>
              <w:t>+ One-time items (A1)</w:t>
            </w:r>
          </w:p>
        </w:tc>
        <w:tc>
          <w:tcPr>
            <w:tcW w:type="dxa" w:w="1728"/>
            <w:shd w:val="clear" w:color="auto" w:fill="D9E1F2"/>
          </w:tcPr>
          <w:p>
            <w:pPr>
              <w:spacing w:after="0" w:line="240" w:lineRule="auto"/>
              <w:jc w:val="right"/>
            </w:pPr>
            <w:r>
              <w:rPr>
                <w:b w:val="0"/>
                <w:i w:val="0"/>
                <w:sz w:val="16"/>
              </w:rPr>
              <w:t>40</w:t>
            </w:r>
          </w:p>
        </w:tc>
        <w:tc>
          <w:tcPr>
            <w:tcW w:type="dxa" w:w="3744"/>
            <w:shd w:val="clear" w:color="auto" w:fill="D9E1F2"/>
          </w:tcPr>
          <w:p>
            <w:pPr>
              <w:spacing w:after="0" w:line="240" w:lineRule="auto"/>
            </w:pPr>
            <w:r>
              <w:rPr>
                <w:b/>
                <w:color w:val="2E548C"/>
                <w:sz w:val="13"/>
              </w:rPr>
              <w:t>[D-deck]</w:t>
            </w:r>
          </w:p>
        </w:tc>
      </w:tr>
      <w:tr>
        <w:trPr>
          <w:cantSplit/>
        </w:trPr>
        <w:tc>
          <w:tcPr>
            <w:tcW w:type="dxa" w:w="4320"/>
          </w:tcPr>
          <w:p>
            <w:pPr>
              <w:spacing w:after="0" w:line="240" w:lineRule="auto"/>
            </w:pPr>
            <w:r>
              <w:rPr>
                <w:b w:val="0"/>
                <w:i w:val="0"/>
                <w:sz w:val="16"/>
              </w:rPr>
              <w:t>= Normalized carve-out OP</w:t>
            </w:r>
          </w:p>
        </w:tc>
        <w:tc>
          <w:tcPr>
            <w:tcW w:type="dxa" w:w="1728"/>
          </w:tcPr>
          <w:p>
            <w:pPr>
              <w:spacing w:after="0" w:line="240" w:lineRule="auto"/>
              <w:jc w:val="right"/>
            </w:pPr>
            <w:r>
              <w:rPr>
                <w:b w:val="0"/>
                <w:i w:val="0"/>
                <w:sz w:val="16"/>
              </w:rPr>
              <w:t>379</w:t>
            </w:r>
          </w:p>
        </w:tc>
        <w:tc>
          <w:tcPr>
            <w:tcW w:type="dxa" w:w="3744"/>
          </w:tcPr>
          <w:p>
            <w:pPr>
              <w:spacing w:after="0" w:line="240" w:lineRule="auto"/>
            </w:pPr>
            <w:r>
              <w:rPr>
                <w:b/>
                <w:color w:val="2E548C"/>
                <w:sz w:val="13"/>
              </w:rPr>
              <w:t>[C]</w:t>
            </w:r>
          </w:p>
        </w:tc>
      </w:tr>
      <w:tr>
        <w:trPr>
          <w:cantSplit/>
        </w:trPr>
        <w:tc>
          <w:tcPr>
            <w:tcW w:type="dxa" w:w="4320"/>
            <w:shd w:val="clear" w:color="auto" w:fill="D9E1F2"/>
          </w:tcPr>
          <w:p>
            <w:pPr>
              <w:spacing w:after="0" w:line="240" w:lineRule="auto"/>
            </w:pPr>
            <w:r>
              <w:rPr>
                <w:b w:val="0"/>
                <w:i w:val="0"/>
                <w:sz w:val="16"/>
              </w:rPr>
              <w:t>− Standalone increment (A2)</w:t>
            </w:r>
          </w:p>
        </w:tc>
        <w:tc>
          <w:tcPr>
            <w:tcW w:type="dxa" w:w="1728"/>
            <w:shd w:val="clear" w:color="auto" w:fill="D9E1F2"/>
          </w:tcPr>
          <w:p>
            <w:pPr>
              <w:spacing w:after="0" w:line="240" w:lineRule="auto"/>
              <w:jc w:val="right"/>
            </w:pPr>
            <w:r>
              <w:rPr>
                <w:b w:val="0"/>
                <w:i w:val="0"/>
                <w:sz w:val="16"/>
              </w:rPr>
              <w:t>(26)</w:t>
            </w:r>
          </w:p>
        </w:tc>
        <w:tc>
          <w:tcPr>
            <w:tcW w:type="dxa" w:w="3744"/>
            <w:shd w:val="clear" w:color="auto" w:fill="D9E1F2"/>
          </w:tcPr>
          <w:p>
            <w:pPr>
              <w:spacing w:after="0" w:line="240" w:lineRule="auto"/>
            </w:pPr>
            <w:r>
              <w:rPr>
                <w:b/>
                <w:color w:val="2E548C"/>
                <w:sz w:val="13"/>
              </w:rPr>
              <w:t>[IR→C]</w:t>
            </w:r>
          </w:p>
        </w:tc>
      </w:tr>
      <w:tr>
        <w:trPr>
          <w:cantSplit/>
        </w:trPr>
        <w:tc>
          <w:tcPr>
            <w:tcW w:type="dxa" w:w="4320"/>
          </w:tcPr>
          <w:p>
            <w:pPr>
              <w:spacing w:after="0" w:line="240" w:lineRule="auto"/>
            </w:pPr>
            <w:r>
              <w:rPr>
                <w:b w:val="0"/>
                <w:i w:val="0"/>
                <w:sz w:val="16"/>
              </w:rPr>
              <w:t xml:space="preserve">= </w:t>
            </w:r>
            <w:r>
              <w:rPr>
                <w:b/>
                <w:i w:val="0"/>
                <w:sz w:val="16"/>
              </w:rPr>
              <w:t>Standalone normalized OP</w:t>
            </w:r>
          </w:p>
        </w:tc>
        <w:tc>
          <w:tcPr>
            <w:tcW w:type="dxa" w:w="1728"/>
          </w:tcPr>
          <w:p>
            <w:pPr>
              <w:spacing w:after="0" w:line="240" w:lineRule="auto"/>
              <w:jc w:val="right"/>
            </w:pPr>
            <w:r>
              <w:rPr>
                <w:b/>
                <w:i w:val="0"/>
                <w:sz w:val="16"/>
              </w:rPr>
              <w:t>353</w:t>
            </w:r>
          </w:p>
        </w:tc>
        <w:tc>
          <w:tcPr>
            <w:tcW w:type="dxa" w:w="3744"/>
          </w:tcPr>
          <w:p>
            <w:pPr>
              <w:spacing w:after="0" w:line="240" w:lineRule="auto"/>
            </w:pPr>
            <w:r>
              <w:rPr>
                <w:b/>
                <w:color w:val="2E548C"/>
                <w:sz w:val="13"/>
              </w:rPr>
              <w:t>[C]</w:t>
            </w:r>
          </w:p>
        </w:tc>
      </w:tr>
      <w:tr>
        <w:trPr>
          <w:cantSplit/>
        </w:trPr>
        <w:tc>
          <w:tcPr>
            <w:tcW w:type="dxa" w:w="4320"/>
            <w:shd w:val="clear" w:color="auto" w:fill="D9E1F2"/>
          </w:tcPr>
          <w:p>
            <w:pPr>
              <w:spacing w:after="0" w:line="240" w:lineRule="auto"/>
            </w:pPr>
            <w:r>
              <w:rPr>
                <w:b w:val="0"/>
                <w:i w:val="0"/>
                <w:sz w:val="16"/>
              </w:rPr>
              <w:t>− Run-rate interest (A4)</w:t>
            </w:r>
          </w:p>
        </w:tc>
        <w:tc>
          <w:tcPr>
            <w:tcW w:type="dxa" w:w="1728"/>
            <w:shd w:val="clear" w:color="auto" w:fill="D9E1F2"/>
          </w:tcPr>
          <w:p>
            <w:pPr>
              <w:spacing w:after="0" w:line="240" w:lineRule="auto"/>
              <w:jc w:val="right"/>
            </w:pPr>
            <w:r>
              <w:rPr>
                <w:b w:val="0"/>
                <w:i w:val="0"/>
                <w:sz w:val="16"/>
              </w:rPr>
              <w:t>(110)</w:t>
            </w:r>
          </w:p>
        </w:tc>
        <w:tc>
          <w:tcPr>
            <w:tcW w:type="dxa" w:w="3744"/>
            <w:shd w:val="clear" w:color="auto" w:fill="D9E1F2"/>
          </w:tcPr>
          <w:p>
            <w:pPr>
              <w:spacing w:after="0" w:line="240" w:lineRule="auto"/>
            </w:pPr>
            <w:r>
              <w:rPr>
                <w:b/>
                <w:color w:val="2E548C"/>
                <w:sz w:val="13"/>
              </w:rPr>
              <w:t>[C/E]</w:t>
            </w:r>
          </w:p>
        </w:tc>
      </w:tr>
      <w:tr>
        <w:trPr>
          <w:cantSplit/>
        </w:trPr>
        <w:tc>
          <w:tcPr>
            <w:tcW w:type="dxa" w:w="4320"/>
          </w:tcPr>
          <w:p>
            <w:pPr>
              <w:spacing w:after="0" w:line="240" w:lineRule="auto"/>
            </w:pPr>
            <w:r>
              <w:rPr>
                <w:b w:val="0"/>
                <w:i w:val="0"/>
                <w:sz w:val="16"/>
              </w:rPr>
              <w:t>= Pre-tax</w:t>
            </w:r>
          </w:p>
        </w:tc>
        <w:tc>
          <w:tcPr>
            <w:tcW w:type="dxa" w:w="1728"/>
          </w:tcPr>
          <w:p>
            <w:pPr>
              <w:spacing w:after="0" w:line="240" w:lineRule="auto"/>
              <w:jc w:val="right"/>
            </w:pPr>
            <w:r>
              <w:rPr>
                <w:b w:val="0"/>
                <w:i w:val="0"/>
                <w:sz w:val="16"/>
              </w:rPr>
              <w:t>243</w:t>
            </w:r>
          </w:p>
        </w:tc>
        <w:tc>
          <w:tcPr>
            <w:tcW w:type="dxa" w:w="3744"/>
          </w:tcPr>
          <w:p>
            <w:pPr>
              <w:spacing w:after="0" w:line="240" w:lineRule="auto"/>
            </w:pPr>
            <w:r>
              <w:rPr>
                <w:b/>
                <w:color w:val="2E548C"/>
                <w:sz w:val="13"/>
              </w:rPr>
              <w:t>[C]</w:t>
            </w:r>
          </w:p>
        </w:tc>
      </w:tr>
      <w:tr>
        <w:trPr>
          <w:cantSplit/>
        </w:trPr>
        <w:tc>
          <w:tcPr>
            <w:tcW w:type="dxa" w:w="4320"/>
            <w:shd w:val="clear" w:color="auto" w:fill="D9E1F2"/>
          </w:tcPr>
          <w:p>
            <w:pPr>
              <w:spacing w:after="0" w:line="240" w:lineRule="auto"/>
            </w:pPr>
            <w:r>
              <w:rPr>
                <w:b w:val="0"/>
                <w:i w:val="0"/>
                <w:sz w:val="16"/>
              </w:rPr>
              <w:t>− Tax @ 29.5% (A5)</w:t>
            </w:r>
          </w:p>
        </w:tc>
        <w:tc>
          <w:tcPr>
            <w:tcW w:type="dxa" w:w="1728"/>
            <w:shd w:val="clear" w:color="auto" w:fill="D9E1F2"/>
          </w:tcPr>
          <w:p>
            <w:pPr>
              <w:spacing w:after="0" w:line="240" w:lineRule="auto"/>
              <w:jc w:val="right"/>
            </w:pPr>
            <w:r>
              <w:rPr>
                <w:b w:val="0"/>
                <w:i w:val="0"/>
                <w:sz w:val="16"/>
              </w:rPr>
              <w:t>(72)</w:t>
            </w:r>
          </w:p>
        </w:tc>
        <w:tc>
          <w:tcPr>
            <w:tcW w:type="dxa" w:w="3744"/>
            <w:shd w:val="clear" w:color="auto" w:fill="D9E1F2"/>
          </w:tcPr>
          <w:p>
            <w:pPr>
              <w:spacing w:after="0" w:line="240" w:lineRule="auto"/>
            </w:pPr>
            <w:r>
              <w:rPr>
                <w:b/>
                <w:color w:val="2E548C"/>
                <w:sz w:val="13"/>
              </w:rPr>
              <w:t>[E]</w:t>
            </w:r>
          </w:p>
        </w:tc>
      </w:tr>
      <w:tr>
        <w:trPr>
          <w:cantSplit/>
        </w:trPr>
        <w:tc>
          <w:tcPr>
            <w:tcW w:type="dxa" w:w="4320"/>
          </w:tcPr>
          <w:p>
            <w:pPr>
              <w:spacing w:after="0" w:line="240" w:lineRule="auto"/>
            </w:pPr>
            <w:r>
              <w:rPr>
                <w:b w:val="0"/>
                <w:i w:val="0"/>
                <w:sz w:val="16"/>
              </w:rPr>
              <w:t xml:space="preserve">= </w:t>
            </w:r>
            <w:r>
              <w:rPr>
                <w:b/>
                <w:i w:val="0"/>
                <w:sz w:val="16"/>
              </w:rPr>
              <w:t>Standalone normalized NI, FY25 base</w:t>
            </w:r>
          </w:p>
        </w:tc>
        <w:tc>
          <w:tcPr>
            <w:tcW w:type="dxa" w:w="1728"/>
          </w:tcPr>
          <w:p>
            <w:pPr>
              <w:spacing w:after="0" w:line="240" w:lineRule="auto"/>
              <w:jc w:val="right"/>
            </w:pPr>
            <w:r>
              <w:rPr>
                <w:b/>
                <w:i w:val="0"/>
                <w:sz w:val="16"/>
              </w:rPr>
              <w:t>~171</w:t>
            </w:r>
          </w:p>
        </w:tc>
        <w:tc>
          <w:tcPr>
            <w:tcW w:type="dxa" w:w="3744"/>
          </w:tcPr>
          <w:p>
            <w:pPr>
              <w:spacing w:after="0" w:line="240" w:lineRule="auto"/>
            </w:pPr>
            <w:r>
              <w:rPr>
                <w:b/>
                <w:color w:val="2E548C"/>
                <w:sz w:val="13"/>
              </w:rPr>
              <w:t>[C]</w:t>
            </w:r>
          </w:p>
        </w:tc>
      </w:tr>
    </w:tbl>
    <w:p>
      <w:pPr>
        <w:spacing w:after="120"/>
      </w:pPr>
      <w:r>
        <w:rPr>
          <w:b w:val="0"/>
          <w:i/>
          <w:color w:val="595959"/>
          <w:sz w:val="15"/>
        </w:rPr>
        <w:t>Source: analysis/D3_group_decomposition.md §4.</w:t>
      </w:r>
    </w:p>
    <w:p>
      <w:pPr>
        <w:keepNext/>
        <w:spacing w:before="80" w:after="40"/>
      </w:pPr>
      <w:r>
        <w:rPr>
          <w:b/>
          <w:i w:val="0"/>
          <w:color w:val="1F3864"/>
          <w:sz w:val="17"/>
        </w:rPr>
        <w:t xml:space="preserve">Exhibit 9.8 — Sensitivity of normalized NI ($m) and dividend payout </w:t>
      </w:r>
      <w:r>
        <w:rPr>
          <w:b/>
          <w:color w:val="2E548C"/>
          <w:sz w:val="14"/>
        </w:rPr>
        <w:t>[C]</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448"/>
        <w:gridCol w:w="2448"/>
        <w:gridCol w:w="2448"/>
        <w:gridCol w:w="2448"/>
      </w:tblGrid>
      <w:tr>
        <w:trPr>
          <w:cantSplit/>
          <w:tblHeader/>
        </w:trPr>
        <w:tc>
          <w:tcPr>
            <w:tcW w:type="dxa" w:w="2448"/>
            <w:shd w:val="clear" w:color="auto" w:fill="1F3864"/>
          </w:tcPr>
          <w:p>
            <w:pPr>
              <w:spacing w:after="0" w:line="240" w:lineRule="auto"/>
            </w:pPr>
            <w:r>
              <w:rPr>
                <w:b/>
                <w:i w:val="0"/>
                <w:color w:val="FFFFFF"/>
                <w:sz w:val="16"/>
              </w:rPr>
              <w:t>NI (payout)</w:t>
            </w:r>
          </w:p>
        </w:tc>
        <w:tc>
          <w:tcPr>
            <w:tcW w:type="dxa" w:w="2448"/>
            <w:shd w:val="clear" w:color="auto" w:fill="1F3864"/>
          </w:tcPr>
          <w:p>
            <w:pPr>
              <w:spacing w:after="0" w:line="240" w:lineRule="auto"/>
              <w:jc w:val="right"/>
            </w:pPr>
            <w:r>
              <w:rPr>
                <w:b/>
                <w:i w:val="0"/>
                <w:color w:val="FFFFFF"/>
                <w:sz w:val="16"/>
              </w:rPr>
              <w:t>Tax 26%</w:t>
            </w:r>
          </w:p>
        </w:tc>
        <w:tc>
          <w:tcPr>
            <w:tcW w:type="dxa" w:w="2448"/>
            <w:shd w:val="clear" w:color="auto" w:fill="1F3864"/>
          </w:tcPr>
          <w:p>
            <w:pPr>
              <w:spacing w:after="0" w:line="240" w:lineRule="auto"/>
              <w:jc w:val="right"/>
            </w:pPr>
            <w:r>
              <w:rPr>
                <w:b/>
                <w:i w:val="0"/>
                <w:color w:val="FFFFFF"/>
                <w:sz w:val="16"/>
              </w:rPr>
              <w:t>Tax 29.5%</w:t>
            </w:r>
          </w:p>
        </w:tc>
        <w:tc>
          <w:tcPr>
            <w:tcW w:type="dxa" w:w="2448"/>
            <w:shd w:val="clear" w:color="auto" w:fill="1F3864"/>
          </w:tcPr>
          <w:p>
            <w:pPr>
              <w:spacing w:after="0" w:line="240" w:lineRule="auto"/>
              <w:jc w:val="right"/>
            </w:pPr>
            <w:r>
              <w:rPr>
                <w:b/>
                <w:i w:val="0"/>
                <w:color w:val="FFFFFF"/>
                <w:sz w:val="16"/>
              </w:rPr>
              <w:t>Tax 32.5%</w:t>
            </w:r>
          </w:p>
        </w:tc>
      </w:tr>
      <w:tr>
        <w:trPr>
          <w:cantSplit/>
        </w:trPr>
        <w:tc>
          <w:tcPr>
            <w:tcW w:type="dxa" w:w="2448"/>
          </w:tcPr>
          <w:p>
            <w:pPr>
              <w:spacing w:after="0" w:line="240" w:lineRule="auto"/>
            </w:pPr>
            <w:r>
              <w:rPr>
                <w:b w:val="0"/>
                <w:i w:val="0"/>
                <w:sz w:val="16"/>
              </w:rPr>
              <w:t>Interest 107</w:t>
            </w:r>
          </w:p>
        </w:tc>
        <w:tc>
          <w:tcPr>
            <w:tcW w:type="dxa" w:w="2448"/>
          </w:tcPr>
          <w:p>
            <w:pPr>
              <w:spacing w:after="0" w:line="240" w:lineRule="auto"/>
              <w:jc w:val="right"/>
            </w:pPr>
            <w:r>
              <w:rPr>
                <w:b w:val="0"/>
                <w:i w:val="0"/>
                <w:sz w:val="16"/>
              </w:rPr>
              <w:t>182 (39%)</w:t>
            </w:r>
          </w:p>
        </w:tc>
        <w:tc>
          <w:tcPr>
            <w:tcW w:type="dxa" w:w="2448"/>
          </w:tcPr>
          <w:p>
            <w:pPr>
              <w:spacing w:after="0" w:line="240" w:lineRule="auto"/>
              <w:jc w:val="right"/>
            </w:pPr>
            <w:r>
              <w:rPr>
                <w:b w:val="0"/>
                <w:i w:val="0"/>
                <w:sz w:val="16"/>
              </w:rPr>
              <w:t>173 (41%)</w:t>
            </w:r>
          </w:p>
        </w:tc>
        <w:tc>
          <w:tcPr>
            <w:tcW w:type="dxa" w:w="2448"/>
          </w:tcPr>
          <w:p>
            <w:pPr>
              <w:spacing w:after="0" w:line="240" w:lineRule="auto"/>
              <w:jc w:val="right"/>
            </w:pPr>
            <w:r>
              <w:rPr>
                <w:b w:val="0"/>
                <w:i w:val="0"/>
                <w:sz w:val="16"/>
              </w:rPr>
              <w:t>166 (43%)</w:t>
            </w:r>
          </w:p>
        </w:tc>
      </w:tr>
      <w:tr>
        <w:trPr>
          <w:cantSplit/>
        </w:trPr>
        <w:tc>
          <w:tcPr>
            <w:tcW w:type="dxa" w:w="2448"/>
            <w:shd w:val="clear" w:color="auto" w:fill="D9E1F2"/>
          </w:tcPr>
          <w:p>
            <w:pPr>
              <w:spacing w:after="0" w:line="240" w:lineRule="auto"/>
            </w:pPr>
            <w:r>
              <w:rPr>
                <w:b w:val="0"/>
                <w:i w:val="0"/>
                <w:sz w:val="16"/>
              </w:rPr>
              <w:t>Interest 110</w:t>
            </w:r>
          </w:p>
        </w:tc>
        <w:tc>
          <w:tcPr>
            <w:tcW w:type="dxa" w:w="2448"/>
            <w:shd w:val="clear" w:color="auto" w:fill="D9E1F2"/>
          </w:tcPr>
          <w:p>
            <w:pPr>
              <w:spacing w:after="0" w:line="240" w:lineRule="auto"/>
              <w:jc w:val="right"/>
            </w:pPr>
            <w:r>
              <w:rPr>
                <w:b w:val="0"/>
                <w:i w:val="0"/>
                <w:sz w:val="16"/>
              </w:rPr>
              <w:t>180 (39%)</w:t>
            </w:r>
          </w:p>
        </w:tc>
        <w:tc>
          <w:tcPr>
            <w:tcW w:type="dxa" w:w="2448"/>
            <w:shd w:val="clear" w:color="auto" w:fill="D9E1F2"/>
          </w:tcPr>
          <w:p>
            <w:pPr>
              <w:spacing w:after="0" w:line="240" w:lineRule="auto"/>
              <w:jc w:val="right"/>
            </w:pPr>
            <w:r>
              <w:rPr>
                <w:b/>
                <w:i w:val="0"/>
                <w:sz w:val="16"/>
              </w:rPr>
              <w:t>171 (41%)</w:t>
            </w:r>
          </w:p>
        </w:tc>
        <w:tc>
          <w:tcPr>
            <w:tcW w:type="dxa" w:w="2448"/>
            <w:shd w:val="clear" w:color="auto" w:fill="D9E1F2"/>
          </w:tcPr>
          <w:p>
            <w:pPr>
              <w:spacing w:after="0" w:line="240" w:lineRule="auto"/>
              <w:jc w:val="right"/>
            </w:pPr>
            <w:r>
              <w:rPr>
                <w:b w:val="0"/>
                <w:i w:val="0"/>
                <w:sz w:val="16"/>
              </w:rPr>
              <w:t>164 (43%)</w:t>
            </w:r>
          </w:p>
        </w:tc>
      </w:tr>
      <w:tr>
        <w:trPr>
          <w:cantSplit/>
        </w:trPr>
        <w:tc>
          <w:tcPr>
            <w:tcW w:type="dxa" w:w="2448"/>
          </w:tcPr>
          <w:p>
            <w:pPr>
              <w:spacing w:after="0" w:line="240" w:lineRule="auto"/>
            </w:pPr>
            <w:r>
              <w:rPr>
                <w:b w:val="0"/>
                <w:i w:val="0"/>
                <w:sz w:val="16"/>
              </w:rPr>
              <w:t>Interest 114</w:t>
            </w:r>
          </w:p>
        </w:tc>
        <w:tc>
          <w:tcPr>
            <w:tcW w:type="dxa" w:w="2448"/>
          </w:tcPr>
          <w:p>
            <w:pPr>
              <w:spacing w:after="0" w:line="240" w:lineRule="auto"/>
              <w:jc w:val="right"/>
            </w:pPr>
            <w:r>
              <w:rPr>
                <w:b w:val="0"/>
                <w:i w:val="0"/>
                <w:sz w:val="16"/>
              </w:rPr>
              <w:t>177 (40%)</w:t>
            </w:r>
          </w:p>
        </w:tc>
        <w:tc>
          <w:tcPr>
            <w:tcW w:type="dxa" w:w="2448"/>
          </w:tcPr>
          <w:p>
            <w:pPr>
              <w:spacing w:after="0" w:line="240" w:lineRule="auto"/>
              <w:jc w:val="right"/>
            </w:pPr>
            <w:r>
              <w:rPr>
                <w:b w:val="0"/>
                <w:i w:val="0"/>
                <w:sz w:val="16"/>
              </w:rPr>
              <w:t>168 (42%)</w:t>
            </w:r>
          </w:p>
        </w:tc>
        <w:tc>
          <w:tcPr>
            <w:tcW w:type="dxa" w:w="2448"/>
          </w:tcPr>
          <w:p>
            <w:pPr>
              <w:spacing w:after="0" w:line="240" w:lineRule="auto"/>
              <w:jc w:val="right"/>
            </w:pPr>
            <w:r>
              <w:rPr>
                <w:b w:val="0"/>
                <w:i w:val="0"/>
                <w:sz w:val="16"/>
              </w:rPr>
              <w:t>161 (44%)</w:t>
            </w:r>
          </w:p>
        </w:tc>
      </w:tr>
    </w:tbl>
    <w:p>
      <w:pPr>
        <w:spacing w:after="120"/>
      </w:pPr>
      <w:r>
        <w:rPr>
          <w:b w:val="0"/>
          <w:i/>
          <w:color w:val="595959"/>
          <w:sz w:val="15"/>
        </w:rPr>
        <w:t xml:space="preserve">Further cases </w:t>
      </w:r>
      <w:r>
        <w:rPr>
          <w:b/>
          <w:color w:val="2E548C"/>
          <w:sz w:val="12"/>
        </w:rPr>
        <w:t>[C/E]</w:t>
      </w:r>
      <w:r>
        <w:rPr>
          <w:b w:val="0"/>
          <w:i/>
          <w:color w:val="595959"/>
          <w:sz w:val="15"/>
        </w:rPr>
        <w:t xml:space="preserve">: SBC at 3% of revenue → NI ≈ 150 (payout 47%); FY26 run-rate NI ≈ 209 (34%); FY27 illustrative ≈ 234 (30%) </w:t>
      </w:r>
      <w:r>
        <w:rPr>
          <w:b/>
          <w:color w:val="2E548C"/>
          <w:sz w:val="12"/>
        </w:rPr>
        <w:t>[E]</w:t>
      </w:r>
      <w:r>
        <w:rPr>
          <w:b w:val="0"/>
          <w:i/>
          <w:color w:val="595959"/>
          <w:sz w:val="15"/>
        </w:rPr>
        <w:t xml:space="preserve">; NI ex after-tax amortization ≈ 390 (18%). The Form 10/A pro forma FY25 NI is 139 </w:t>
      </w:r>
      <w:r>
        <w:rPr>
          <w:b/>
          <w:color w:val="2E548C"/>
          <w:sz w:val="12"/>
        </w:rPr>
        <w:t>[D]</w:t>
      </w:r>
      <w:r>
        <w:rPr>
          <w:b w:val="0"/>
          <w:i/>
          <w:color w:val="595959"/>
          <w:sz w:val="15"/>
        </w:rPr>
        <w:t>.</w:t>
      </w:r>
    </w:p>
    <w:p>
      <w:pPr>
        <w:pStyle w:val="Heading2"/>
      </w:pPr>
      <w:r>
        <w:t>9.4 Testing the “25% of normalized net income” dividend</w:t>
      </w:r>
    </w:p>
    <w:p>
      <w:pPr>
        <w:keepNext/>
        <w:spacing w:before="80" w:after="40"/>
      </w:pPr>
      <w:r>
        <w:rPr>
          <w:b/>
          <w:i w:val="0"/>
          <w:color w:val="1F3864"/>
          <w:sz w:val="17"/>
        </w:rPr>
        <w:t xml:space="preserve">Exhibit 9.9 — Payout ratio by NI definition ($0.06 × 4 × 294.8m = $70.8m) </w:t>
      </w:r>
      <w:r>
        <w:rPr>
          <w:b/>
          <w:color w:val="2E548C"/>
          <w:sz w:val="14"/>
        </w:rPr>
        <w:t>[C]</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5183"/>
        <w:gridCol w:w="2304"/>
        <w:gridCol w:w="2304"/>
      </w:tblGrid>
      <w:tr>
        <w:trPr>
          <w:cantSplit/>
          <w:tblHeader/>
        </w:trPr>
        <w:tc>
          <w:tcPr>
            <w:tcW w:type="dxa" w:w="5184"/>
            <w:shd w:val="clear" w:color="auto" w:fill="1F3864"/>
          </w:tcPr>
          <w:p>
            <w:pPr>
              <w:spacing w:after="0" w:line="240" w:lineRule="auto"/>
            </w:pPr>
            <w:r>
              <w:rPr>
                <w:b/>
                <w:i w:val="0"/>
                <w:color w:val="FFFFFF"/>
                <w:sz w:val="16"/>
              </w:rPr>
              <w:t>NI definition</w:t>
            </w:r>
          </w:p>
        </w:tc>
        <w:tc>
          <w:tcPr>
            <w:tcW w:type="dxa" w:w="2304"/>
            <w:shd w:val="clear" w:color="auto" w:fill="1F3864"/>
          </w:tcPr>
          <w:p>
            <w:pPr>
              <w:spacing w:after="0" w:line="240" w:lineRule="auto"/>
            </w:pPr>
            <w:r>
              <w:rPr>
                <w:b/>
                <w:i w:val="0"/>
                <w:color w:val="FFFFFF"/>
                <w:sz w:val="16"/>
              </w:rPr>
              <w:t>NI</w:t>
            </w:r>
          </w:p>
        </w:tc>
        <w:tc>
          <w:tcPr>
            <w:tcW w:type="dxa" w:w="2304"/>
            <w:shd w:val="clear" w:color="auto" w:fill="1F3864"/>
          </w:tcPr>
          <w:p>
            <w:pPr>
              <w:spacing w:after="0" w:line="240" w:lineRule="auto"/>
              <w:jc w:val="right"/>
            </w:pPr>
            <w:r>
              <w:rPr>
                <w:b/>
                <w:i w:val="0"/>
                <w:color w:val="FFFFFF"/>
                <w:sz w:val="16"/>
              </w:rPr>
              <w:t>Payout</w:t>
            </w:r>
          </w:p>
        </w:tc>
      </w:tr>
      <w:tr>
        <w:trPr>
          <w:cantSplit/>
        </w:trPr>
        <w:tc>
          <w:tcPr>
            <w:tcW w:type="dxa" w:w="5184"/>
          </w:tcPr>
          <w:p>
            <w:pPr>
              <w:spacing w:after="0" w:line="240" w:lineRule="auto"/>
            </w:pPr>
            <w:r>
              <w:rPr>
                <w:b w:val="0"/>
                <w:i w:val="0"/>
                <w:sz w:val="16"/>
              </w:rPr>
              <w:t>FY25 carve-out GAAP NI (pre-debt, pre-standalone)</w:t>
            </w:r>
          </w:p>
        </w:tc>
        <w:tc>
          <w:tcPr>
            <w:tcW w:type="dxa" w:w="2304"/>
          </w:tcPr>
          <w:p>
            <w:pPr>
              <w:spacing w:after="0" w:line="240" w:lineRule="auto"/>
            </w:pPr>
            <w:r>
              <w:rPr>
                <w:b w:val="0"/>
                <w:i w:val="0"/>
                <w:sz w:val="16"/>
              </w:rPr>
              <w:t xml:space="preserve">220 </w:t>
            </w:r>
            <w:r>
              <w:rPr>
                <w:b/>
                <w:color w:val="2E548C"/>
                <w:sz w:val="13"/>
              </w:rPr>
              <w:t>[D]</w:t>
            </w:r>
          </w:p>
        </w:tc>
        <w:tc>
          <w:tcPr>
            <w:tcW w:type="dxa" w:w="2304"/>
          </w:tcPr>
          <w:p>
            <w:pPr>
              <w:spacing w:after="0" w:line="240" w:lineRule="auto"/>
              <w:jc w:val="right"/>
            </w:pPr>
            <w:r>
              <w:rPr>
                <w:b w:val="0"/>
                <w:i w:val="0"/>
                <w:sz w:val="16"/>
              </w:rPr>
              <w:t>32%</w:t>
            </w:r>
          </w:p>
        </w:tc>
      </w:tr>
      <w:tr>
        <w:trPr>
          <w:cantSplit/>
        </w:trPr>
        <w:tc>
          <w:tcPr>
            <w:tcW w:type="dxa" w:w="5184"/>
            <w:shd w:val="clear" w:color="auto" w:fill="D9E1F2"/>
          </w:tcPr>
          <w:p>
            <w:pPr>
              <w:spacing w:after="0" w:line="240" w:lineRule="auto"/>
            </w:pPr>
            <w:r>
              <w:rPr>
                <w:b w:val="0"/>
                <w:i w:val="0"/>
                <w:sz w:val="16"/>
              </w:rPr>
              <w:t>Form 10/A pro forma FY25 NI</w:t>
            </w:r>
          </w:p>
        </w:tc>
        <w:tc>
          <w:tcPr>
            <w:tcW w:type="dxa" w:w="2304"/>
            <w:shd w:val="clear" w:color="auto" w:fill="D9E1F2"/>
          </w:tcPr>
          <w:p>
            <w:pPr>
              <w:spacing w:after="0" w:line="240" w:lineRule="auto"/>
            </w:pPr>
            <w:r>
              <w:rPr>
                <w:b w:val="0"/>
                <w:i w:val="0"/>
                <w:sz w:val="16"/>
              </w:rPr>
              <w:t xml:space="preserve">139 </w:t>
            </w:r>
            <w:r>
              <w:rPr>
                <w:b/>
                <w:color w:val="2E548C"/>
                <w:sz w:val="13"/>
              </w:rPr>
              <w:t>[D]</w:t>
            </w:r>
          </w:p>
        </w:tc>
        <w:tc>
          <w:tcPr>
            <w:tcW w:type="dxa" w:w="2304"/>
            <w:shd w:val="clear" w:color="auto" w:fill="D9E1F2"/>
          </w:tcPr>
          <w:p>
            <w:pPr>
              <w:spacing w:after="0" w:line="240" w:lineRule="auto"/>
              <w:jc w:val="right"/>
            </w:pPr>
            <w:r>
              <w:rPr>
                <w:b w:val="0"/>
                <w:i w:val="0"/>
                <w:sz w:val="16"/>
              </w:rPr>
              <w:t>51%</w:t>
            </w:r>
          </w:p>
        </w:tc>
      </w:tr>
      <w:tr>
        <w:trPr>
          <w:cantSplit/>
        </w:trPr>
        <w:tc>
          <w:tcPr>
            <w:tcW w:type="dxa" w:w="5184"/>
          </w:tcPr>
          <w:p>
            <w:pPr>
              <w:spacing w:after="0" w:line="240" w:lineRule="auto"/>
            </w:pPr>
            <w:r>
              <w:rPr>
                <w:b w:val="0"/>
                <w:i w:val="0"/>
                <w:sz w:val="16"/>
              </w:rPr>
              <w:t>Standalone normalized, FY25 base (this file)</w:t>
            </w:r>
          </w:p>
        </w:tc>
        <w:tc>
          <w:tcPr>
            <w:tcW w:type="dxa" w:w="2304"/>
          </w:tcPr>
          <w:p>
            <w:pPr>
              <w:spacing w:after="0" w:line="240" w:lineRule="auto"/>
            </w:pPr>
            <w:r>
              <w:rPr>
                <w:b w:val="0"/>
                <w:i w:val="0"/>
                <w:sz w:val="16"/>
              </w:rPr>
              <w:t xml:space="preserve">~171 (161-182) </w:t>
            </w:r>
            <w:r>
              <w:rPr>
                <w:b/>
                <w:color w:val="2E548C"/>
                <w:sz w:val="13"/>
              </w:rPr>
              <w:t>[C]</w:t>
            </w:r>
          </w:p>
        </w:tc>
        <w:tc>
          <w:tcPr>
            <w:tcW w:type="dxa" w:w="2304"/>
          </w:tcPr>
          <w:p>
            <w:pPr>
              <w:spacing w:after="0" w:line="240" w:lineRule="auto"/>
              <w:jc w:val="right"/>
            </w:pPr>
            <w:r>
              <w:rPr>
                <w:b w:val="0"/>
                <w:i w:val="0"/>
                <w:sz w:val="16"/>
              </w:rPr>
              <w:t>39-44%</w:t>
            </w:r>
          </w:p>
        </w:tc>
      </w:tr>
      <w:tr>
        <w:trPr>
          <w:cantSplit/>
        </w:trPr>
        <w:tc>
          <w:tcPr>
            <w:tcW w:type="dxa" w:w="5184"/>
            <w:shd w:val="clear" w:color="auto" w:fill="D9E1F2"/>
          </w:tcPr>
          <w:p>
            <w:pPr>
              <w:spacing w:after="0" w:line="240" w:lineRule="auto"/>
            </w:pPr>
            <w:r>
              <w:rPr>
                <w:b w:val="0"/>
                <w:i w:val="0"/>
                <w:sz w:val="16"/>
              </w:rPr>
              <w:t>Standalone normalized, FY26 run-rate</w:t>
            </w:r>
          </w:p>
        </w:tc>
        <w:tc>
          <w:tcPr>
            <w:tcW w:type="dxa" w:w="2304"/>
            <w:shd w:val="clear" w:color="auto" w:fill="D9E1F2"/>
          </w:tcPr>
          <w:p>
            <w:pPr>
              <w:spacing w:after="0" w:line="240" w:lineRule="auto"/>
            </w:pPr>
            <w:r>
              <w:rPr>
                <w:b w:val="0"/>
                <w:i w:val="0"/>
                <w:sz w:val="16"/>
              </w:rPr>
              <w:t xml:space="preserve">~209 </w:t>
            </w:r>
            <w:r>
              <w:rPr>
                <w:b/>
                <w:color w:val="2E548C"/>
                <w:sz w:val="13"/>
              </w:rPr>
              <w:t>[C/E]</w:t>
            </w:r>
          </w:p>
        </w:tc>
        <w:tc>
          <w:tcPr>
            <w:tcW w:type="dxa" w:w="2304"/>
            <w:shd w:val="clear" w:color="auto" w:fill="D9E1F2"/>
          </w:tcPr>
          <w:p>
            <w:pPr>
              <w:spacing w:after="0" w:line="240" w:lineRule="auto"/>
              <w:jc w:val="right"/>
            </w:pPr>
            <w:r>
              <w:rPr>
                <w:b w:val="0"/>
                <w:i w:val="0"/>
                <w:sz w:val="16"/>
              </w:rPr>
              <w:t>34%</w:t>
            </w:r>
          </w:p>
        </w:tc>
      </w:tr>
      <w:tr>
        <w:trPr>
          <w:cantSplit/>
        </w:trPr>
        <w:tc>
          <w:tcPr>
            <w:tcW w:type="dxa" w:w="5184"/>
          </w:tcPr>
          <w:p>
            <w:pPr>
              <w:spacing w:after="0" w:line="240" w:lineRule="auto"/>
            </w:pPr>
            <w:r>
              <w:rPr>
                <w:b w:val="0"/>
                <w:i w:val="0"/>
                <w:sz w:val="16"/>
              </w:rPr>
              <w:t>FY27 illustrative</w:t>
            </w:r>
          </w:p>
        </w:tc>
        <w:tc>
          <w:tcPr>
            <w:tcW w:type="dxa" w:w="2304"/>
          </w:tcPr>
          <w:p>
            <w:pPr>
              <w:spacing w:after="0" w:line="240" w:lineRule="auto"/>
            </w:pPr>
            <w:r>
              <w:rPr>
                <w:b w:val="0"/>
                <w:i w:val="0"/>
                <w:sz w:val="16"/>
              </w:rPr>
              <w:t xml:space="preserve">~234 </w:t>
            </w:r>
            <w:r>
              <w:rPr>
                <w:b/>
                <w:color w:val="2E548C"/>
                <w:sz w:val="13"/>
              </w:rPr>
              <w:t>[E]</w:t>
            </w:r>
          </w:p>
        </w:tc>
        <w:tc>
          <w:tcPr>
            <w:tcW w:type="dxa" w:w="2304"/>
          </w:tcPr>
          <w:p>
            <w:pPr>
              <w:spacing w:after="0" w:line="240" w:lineRule="auto"/>
              <w:jc w:val="right"/>
            </w:pPr>
            <w:r>
              <w:rPr>
                <w:b w:val="0"/>
                <w:i w:val="0"/>
                <w:sz w:val="16"/>
              </w:rPr>
              <w:t>30%</w:t>
            </w:r>
          </w:p>
        </w:tc>
      </w:tr>
      <w:tr>
        <w:trPr>
          <w:cantSplit/>
        </w:trPr>
        <w:tc>
          <w:tcPr>
            <w:tcW w:type="dxa" w:w="5184"/>
            <w:shd w:val="clear" w:color="auto" w:fill="D9E1F2"/>
          </w:tcPr>
          <w:p>
            <w:pPr>
              <w:spacing w:after="0" w:line="240" w:lineRule="auto"/>
            </w:pPr>
            <w:r>
              <w:rPr>
                <w:b w:val="0"/>
                <w:i w:val="0"/>
                <w:sz w:val="16"/>
              </w:rPr>
              <w:t>NI ex after-tax acquired amortization</w:t>
            </w:r>
          </w:p>
        </w:tc>
        <w:tc>
          <w:tcPr>
            <w:tcW w:type="dxa" w:w="2304"/>
            <w:shd w:val="clear" w:color="auto" w:fill="D9E1F2"/>
          </w:tcPr>
          <w:p>
            <w:pPr>
              <w:spacing w:after="0" w:line="240" w:lineRule="auto"/>
            </w:pPr>
            <w:r>
              <w:rPr>
                <w:b w:val="0"/>
                <w:i w:val="0"/>
                <w:sz w:val="16"/>
              </w:rPr>
              <w:t xml:space="preserve">~390 </w:t>
            </w:r>
            <w:r>
              <w:rPr>
                <w:b/>
                <w:color w:val="2E548C"/>
                <w:sz w:val="13"/>
              </w:rPr>
              <w:t>[C]</w:t>
            </w:r>
          </w:p>
        </w:tc>
        <w:tc>
          <w:tcPr>
            <w:tcW w:type="dxa" w:w="2304"/>
            <w:shd w:val="clear" w:color="auto" w:fill="D9E1F2"/>
          </w:tcPr>
          <w:p>
            <w:pPr>
              <w:spacing w:after="0" w:line="240" w:lineRule="auto"/>
              <w:jc w:val="right"/>
            </w:pPr>
            <w:r>
              <w:rPr>
                <w:b w:val="0"/>
                <w:i w:val="0"/>
                <w:sz w:val="16"/>
              </w:rPr>
              <w:t>18%</w:t>
            </w:r>
          </w:p>
        </w:tc>
      </w:tr>
    </w:tbl>
    <w:p>
      <w:pPr>
        <w:spacing w:after="120"/>
      </w:pPr>
      <w:r>
        <w:rPr>
          <w:b w:val="0"/>
          <w:i/>
          <w:color w:val="595959"/>
          <w:sz w:val="15"/>
        </w:rPr>
        <w:t xml:space="preserve">Source: analysis/D3_group_decomposition.md §5. A 25% payout requires normalized NI of ~$283m </w:t>
      </w:r>
      <w:r>
        <w:rPr>
          <w:b/>
          <w:color w:val="2E548C"/>
          <w:sz w:val="12"/>
        </w:rPr>
        <w:t>[C]</w:t>
      </w:r>
      <w:r>
        <w:rPr>
          <w:b w:val="0"/>
          <w:i/>
          <w:color w:val="595959"/>
          <w:sz w:val="15"/>
        </w:rPr>
        <w:t>.</w:t>
      </w:r>
    </w:p>
    <w:tbl>
      <w:tblPr>
        <w:tblW w:type="auto" w:w="0"/>
        <w:jc w:val="center"/>
        <w:tblLook w:firstColumn="1" w:firstRow="1" w:lastColumn="0" w:lastRow="0" w:noHBand="0" w:noVBand="1" w:val="04A0"/>
        <w:tblBorders>
          <w:top w:val="nil" w:sz="0" w:space="0" w:color="auto"/>
          <w:left w:val="single" w:sz="24" w:space="0" w:color="1F3864"/>
          <w:bottom w:val="nil" w:sz="0" w:space="0" w:color="auto"/>
          <w:right w:val="nil" w:sz="0" w:space="0" w:color="auto"/>
          <w:insideH w:val="nil" w:sz="0" w:space="0" w:color="auto"/>
          <w:insideV w:val="nil" w:sz="0" w:space="0" w:color="auto"/>
        </w:tblBorders>
        <w:tblCellMar>
          <w:top w:w="90" w:type="dxa"/>
          <w:left w:w="160" w:type="dxa"/>
          <w:bottom w:w="90" w:type="dxa"/>
          <w:right w:w="120" w:type="dxa"/>
        </w:tblCellMar>
      </w:tblPr>
      <w:tblGrid>
        <w:gridCol w:w="8928"/>
      </w:tblGrid>
      <w:tr>
        <w:trPr>
          <w:cantSplit/>
        </w:trPr>
        <w:tc>
          <w:tcPr>
            <w:tcW w:type="dxa" w:w="8928"/>
            <w:shd w:val="clear" w:color="auto" w:fill="EEF2F9"/>
          </w:tcPr>
          <w:p>
            <w:pPr>
              <w:spacing w:after="60"/>
            </w:pPr>
            <w:r>
              <w:rPr>
                <w:i/>
                <w:color w:val="262626"/>
                <w:sz w:val="19"/>
              </w:rPr>
              <w:t>“We pegged at 25% of GAAP net income.”</w:t>
            </w:r>
          </w:p>
          <w:p>
            <w:pPr>
              <w:spacing w:after="0"/>
            </w:pPr>
            <w:r>
              <w:rPr>
                <w:b w:val="0"/>
                <w:i w:val="0"/>
                <w:color w:val="1F3864"/>
                <w:sz w:val="15"/>
              </w:rPr>
              <w:t xml:space="preserve">— Matt Calderone (CFO), Goldman Sachs Communacopia + Technology Conference 2026, 2026-09-10 · Quartr t=1917.37s </w:t>
            </w:r>
            <w:r>
              <w:rPr>
                <w:b/>
                <w:color w:val="2E548C"/>
                <w:sz w:val="12"/>
              </w:rPr>
              <w:t>[IR]</w:t>
            </w:r>
          </w:p>
        </w:tc>
      </w:tr>
    </w:tbl>
    <w:p>
      <w:pPr>
        <w:spacing w:after="40"/>
      </w:pPr>
    </w:p>
    <w:tbl>
      <w:tblPr>
        <w:tblW w:type="auto" w:w="0"/>
        <w:jc w:val="center"/>
        <w:tblLook w:firstColumn="1" w:firstRow="1" w:lastColumn="0" w:lastRow="0" w:noHBand="0" w:noVBand="1" w:val="04A0"/>
        <w:tblBorders>
          <w:top w:val="nil" w:sz="0" w:space="0" w:color="auto"/>
          <w:left w:val="single" w:sz="24" w:space="0" w:color="1F3864"/>
          <w:bottom w:val="nil" w:sz="0" w:space="0" w:color="auto"/>
          <w:right w:val="nil" w:sz="0" w:space="0" w:color="auto"/>
          <w:insideH w:val="nil" w:sz="0" w:space="0" w:color="auto"/>
          <w:insideV w:val="nil" w:sz="0" w:space="0" w:color="auto"/>
        </w:tblBorders>
        <w:tblCellMar>
          <w:top w:w="90" w:type="dxa"/>
          <w:left w:w="160" w:type="dxa"/>
          <w:bottom w:w="90" w:type="dxa"/>
          <w:right w:w="120" w:type="dxa"/>
        </w:tblCellMar>
      </w:tblPr>
      <w:tblGrid>
        <w:gridCol w:w="8928"/>
      </w:tblGrid>
      <w:tr>
        <w:trPr>
          <w:cantSplit/>
        </w:trPr>
        <w:tc>
          <w:tcPr>
            <w:tcW w:type="dxa" w:w="8928"/>
            <w:shd w:val="clear" w:color="auto" w:fill="EEF2F9"/>
          </w:tcPr>
          <w:p>
            <w:pPr>
              <w:spacing w:after="60"/>
            </w:pPr>
            <w:r>
              <w:rPr>
                <w:i/>
                <w:color w:val="262626"/>
                <w:sz w:val="19"/>
              </w:rPr>
              <w:t>“You would peg the dividend, and we call it a normalized GAAP net income.”</w:t>
            </w:r>
          </w:p>
          <w:p>
            <w:pPr>
              <w:spacing w:after="0"/>
            </w:pPr>
            <w:r>
              <w:rPr>
                <w:b w:val="0"/>
                <w:i w:val="0"/>
                <w:color w:val="1F3864"/>
                <w:sz w:val="15"/>
              </w:rPr>
              <w:t xml:space="preserve">— Matt Calderone (CFO), Goldman Sachs Communacopia + Technology Conference 2026, 2026-09-10 · Quartr t=1966.97s </w:t>
            </w:r>
            <w:r>
              <w:rPr>
                <w:b/>
                <w:color w:val="2E548C"/>
                <w:sz w:val="12"/>
              </w:rPr>
              <w:t>[IR]</w:t>
            </w:r>
          </w:p>
        </w:tc>
      </w:tr>
    </w:tbl>
    <w:p>
      <w:pPr>
        <w:spacing w:after="40"/>
      </w:pPr>
    </w:p>
    <w:p>
      <w:r>
        <w:rPr>
          <w:b/>
          <w:i w:val="0"/>
        </w:rPr>
        <w:t>Verdict (D3 §5).</w:t>
      </w:r>
      <w:r>
        <w:rPr>
          <w:b w:val="0"/>
          <w:i w:val="0"/>
        </w:rPr>
        <w:t xml:space="preserve"> On every GAAP-consistent construction available, $0.06 a quarter is 30–51% of standalone NI, not 25% </w:t>
      </w:r>
      <w:r>
        <w:rPr>
          <w:b/>
          <w:color w:val="2E548C"/>
          <w:sz w:val="16"/>
        </w:rPr>
        <w:t>[C]</w:t>
      </w:r>
      <w:r>
        <w:rPr>
          <w:b w:val="0"/>
          <w:i w:val="0"/>
        </w:rPr>
        <w:t xml:space="preserve">. The 25% fits only if “normalized” adds back roughly half of the after-tax amortization, or if management is pegging to a year near FY28 [Inference]. Affordability is not the issue: standalone FCF ≈ $365m </w:t>
      </w:r>
      <w:r>
        <w:rPr>
          <w:b/>
          <w:color w:val="2E548C"/>
          <w:sz w:val="16"/>
        </w:rPr>
        <w:t>[C]</w:t>
      </w:r>
      <w:r>
        <w:rPr>
          <w:b w:val="0"/>
          <w:i w:val="0"/>
        </w:rPr>
        <w:t xml:space="preserve">, dividend ≈ 19% of it, and the ≥75% FCF return target implies ~$200m+ a year of buybacks from 2027 </w:t>
      </w:r>
      <w:r>
        <w:rPr>
          <w:b/>
          <w:color w:val="2E548C"/>
          <w:sz w:val="16"/>
        </w:rPr>
        <w:t>[C]</w:t>
      </w:r>
      <w:r>
        <w:rPr>
          <w:b w:val="0"/>
          <w:i w:val="0"/>
        </w:rPr>
        <w:t xml:space="preserve">. </w:t>
      </w:r>
      <w:r>
        <w:rPr>
          <w:b/>
          <w:color w:val="E36C09"/>
        </w:rPr>
        <w:t>[TO COLLECT #51: management's definition and reconciliation of “normalized GAAP net income” (first adjusted NI print due with Q3-26)]</w:t>
      </w:r>
      <w:r>
        <w:rPr>
          <w:b w:val="0"/>
          <w:i w:val="0"/>
        </w:rPr>
        <w:t>.</w:t>
      </w:r>
    </w:p>
    <w:p>
      <w:pPr>
        <w:pStyle w:val="Heading1"/>
        <w:pageBreakBefore/>
      </w:pPr>
      <w:r>
        <w:t>10 Guidance vs execution &amp; targets timeline</w:t>
      </w:r>
    </w:p>
    <w:p>
      <w:r>
        <w:rPr>
          <w:b w:val="0"/>
          <w:i w:val="0"/>
        </w:rPr>
        <w:t>Verdict scale (D10), judged against the *initial* guide: Beat = above the top of the initial range; Met = inside it; Missed-lowered = below the initial but inside a later, lowered range; Missed = below every range.</w:t>
      </w:r>
    </w:p>
    <w:p>
      <w:pPr>
        <w:keepNext/>
        <w:spacing w:before="80" w:after="40"/>
      </w:pPr>
      <w:r>
        <w:rPr>
          <w:b/>
          <w:i w:val="0"/>
          <w:color w:val="1F3864"/>
          <w:sz w:val="17"/>
        </w:rPr>
        <w:t>Exhibit 10.1 — Guidance scorecard, S&amp;P Global era and MBGL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304"/>
        <w:gridCol w:w="1728"/>
        <w:gridCol w:w="2448"/>
        <w:gridCol w:w="1728"/>
        <w:gridCol w:w="1584"/>
      </w:tblGrid>
      <w:tr>
        <w:trPr>
          <w:cantSplit/>
          <w:tblHeader/>
        </w:trPr>
        <w:tc>
          <w:tcPr>
            <w:tcW w:type="dxa" w:w="2304"/>
            <w:shd w:val="clear" w:color="auto" w:fill="1F3864"/>
          </w:tcPr>
          <w:p>
            <w:pPr>
              <w:spacing w:after="0" w:line="240" w:lineRule="auto"/>
            </w:pPr>
            <w:r>
              <w:rPr>
                <w:b/>
                <w:i w:val="0"/>
                <w:color w:val="FFFFFF"/>
                <w:sz w:val="15"/>
              </w:rPr>
              <w:t>Year / item</w:t>
            </w:r>
          </w:p>
        </w:tc>
        <w:tc>
          <w:tcPr>
            <w:tcW w:type="dxa" w:w="1728"/>
            <w:shd w:val="clear" w:color="auto" w:fill="1F3864"/>
          </w:tcPr>
          <w:p>
            <w:pPr>
              <w:spacing w:after="0" w:line="240" w:lineRule="auto"/>
            </w:pPr>
            <w:r>
              <w:rPr>
                <w:b/>
                <w:i w:val="0"/>
                <w:color w:val="FFFFFF"/>
                <w:sz w:val="15"/>
              </w:rPr>
              <w:t>Initial</w:t>
            </w:r>
          </w:p>
        </w:tc>
        <w:tc>
          <w:tcPr>
            <w:tcW w:type="dxa" w:w="2448"/>
            <w:shd w:val="clear" w:color="auto" w:fill="1F3864"/>
          </w:tcPr>
          <w:p>
            <w:pPr>
              <w:spacing w:after="0" w:line="240" w:lineRule="auto"/>
            </w:pPr>
            <w:r>
              <w:rPr>
                <w:b/>
                <w:i w:val="0"/>
                <w:color w:val="FFFFFF"/>
                <w:sz w:val="15"/>
              </w:rPr>
              <w:t>Revisions</w:t>
            </w:r>
          </w:p>
        </w:tc>
        <w:tc>
          <w:tcPr>
            <w:tcW w:type="dxa" w:w="1728"/>
            <w:shd w:val="clear" w:color="auto" w:fill="1F3864"/>
          </w:tcPr>
          <w:p>
            <w:pPr>
              <w:spacing w:after="0" w:line="240" w:lineRule="auto"/>
            </w:pPr>
            <w:r>
              <w:rPr>
                <w:b/>
                <w:i w:val="0"/>
                <w:color w:val="FFFFFF"/>
                <w:sz w:val="15"/>
              </w:rPr>
              <w:t>Actual</w:t>
            </w:r>
          </w:p>
        </w:tc>
        <w:tc>
          <w:tcPr>
            <w:tcW w:type="dxa" w:w="1584"/>
            <w:shd w:val="clear" w:color="auto" w:fill="1F3864"/>
          </w:tcPr>
          <w:p>
            <w:pPr>
              <w:spacing w:after="0" w:line="240" w:lineRule="auto"/>
            </w:pPr>
            <w:r>
              <w:rPr>
                <w:b/>
                <w:i w:val="0"/>
                <w:color w:val="FFFFFF"/>
                <w:sz w:val="15"/>
              </w:rPr>
              <w:t>Verdict</w:t>
            </w:r>
          </w:p>
        </w:tc>
      </w:tr>
      <w:tr>
        <w:trPr>
          <w:cantSplit/>
        </w:trPr>
        <w:tc>
          <w:tcPr>
            <w:tcW w:type="dxa" w:w="2304"/>
          </w:tcPr>
          <w:p>
            <w:pPr>
              <w:spacing w:after="0" w:line="240" w:lineRule="auto"/>
            </w:pPr>
            <w:r>
              <w:rPr>
                <w:b w:val="0"/>
                <w:i w:val="0"/>
                <w:sz w:val="15"/>
              </w:rPr>
              <w:t>FY23 revenue growth (SPGI, vs PF 2022)</w:t>
            </w:r>
          </w:p>
        </w:tc>
        <w:tc>
          <w:tcPr>
            <w:tcW w:type="dxa" w:w="1728"/>
          </w:tcPr>
          <w:p>
            <w:pPr>
              <w:spacing w:after="0" w:line="240" w:lineRule="auto"/>
            </w:pPr>
            <w:r>
              <w:rPr>
                <w:b w:val="0"/>
                <w:i w:val="0"/>
                <w:sz w:val="15"/>
              </w:rPr>
              <w:t>6.5–8.5% (Feb-23)</w:t>
            </w:r>
          </w:p>
        </w:tc>
        <w:tc>
          <w:tcPr>
            <w:tcW w:type="dxa" w:w="2448"/>
          </w:tcPr>
          <w:p>
            <w:pPr>
              <w:spacing w:after="0" w:line="240" w:lineRule="auto"/>
            </w:pPr>
            <w:r>
              <w:rPr>
                <w:b w:val="0"/>
                <w:i w:val="0"/>
                <w:sz w:val="15"/>
              </w:rPr>
              <w:t>↑ 8.5–10.5% (Q1-23); held (Q2-23); narrowed 9.0–10.0% (Q3-23)</w:t>
            </w:r>
          </w:p>
        </w:tc>
        <w:tc>
          <w:tcPr>
            <w:tcW w:type="dxa" w:w="1728"/>
          </w:tcPr>
          <w:p>
            <w:pPr>
              <w:spacing w:after="0" w:line="240" w:lineRule="auto"/>
            </w:pPr>
            <w:r>
              <w:rPr>
                <w:b/>
                <w:i w:val="0"/>
                <w:sz w:val="15"/>
              </w:rPr>
              <w:t>+10%</w:t>
            </w:r>
            <w:r>
              <w:rPr>
                <w:b w:val="0"/>
                <w:i w:val="0"/>
                <w:sz w:val="15"/>
              </w:rPr>
              <w:t xml:space="preserve"> </w:t>
            </w:r>
            <w:r>
              <w:rPr>
                <w:b/>
                <w:color w:val="2E548C"/>
                <w:sz w:val="12"/>
              </w:rPr>
              <w:t>[D]</w:t>
            </w:r>
          </w:p>
        </w:tc>
        <w:tc>
          <w:tcPr>
            <w:tcW w:type="dxa" w:w="1584"/>
          </w:tcPr>
          <w:p>
            <w:pPr>
              <w:spacing w:after="0" w:line="240" w:lineRule="auto"/>
            </w:pPr>
            <w:r>
              <w:rPr>
                <w:b/>
                <w:i w:val="0"/>
                <w:sz w:val="15"/>
              </w:rPr>
              <w:t>Beat</w:t>
            </w:r>
          </w:p>
        </w:tc>
      </w:tr>
      <w:tr>
        <w:trPr>
          <w:cantSplit/>
        </w:trPr>
        <w:tc>
          <w:tcPr>
            <w:tcW w:type="dxa" w:w="2304"/>
            <w:shd w:val="clear" w:color="auto" w:fill="D9E1F2"/>
          </w:tcPr>
          <w:p>
            <w:pPr>
              <w:spacing w:after="0" w:line="240" w:lineRule="auto"/>
            </w:pPr>
            <w:r>
              <w:rPr>
                <w:b w:val="0"/>
                <w:i w:val="0"/>
                <w:sz w:val="15"/>
              </w:rPr>
              <w:t>FY23 adj. operating margin (SPGI)</w:t>
            </w:r>
          </w:p>
        </w:tc>
        <w:tc>
          <w:tcPr>
            <w:tcW w:type="dxa" w:w="1728"/>
            <w:shd w:val="clear" w:color="auto" w:fill="D9E1F2"/>
          </w:tcPr>
          <w:p>
            <w:pPr>
              <w:spacing w:after="0" w:line="240" w:lineRule="auto"/>
            </w:pPr>
            <w:r>
              <w:rPr>
                <w:b w:val="0"/>
                <w:i w:val="0"/>
                <w:sz w:val="15"/>
              </w:rPr>
              <w:t>39–40%</w:t>
            </w:r>
          </w:p>
        </w:tc>
        <w:tc>
          <w:tcPr>
            <w:tcW w:type="dxa" w:w="2448"/>
            <w:shd w:val="clear" w:color="auto" w:fill="D9E1F2"/>
          </w:tcPr>
          <w:p>
            <w:pPr>
              <w:spacing w:after="0" w:line="240" w:lineRule="auto"/>
            </w:pPr>
            <w:r>
              <w:rPr>
                <w:b w:val="0"/>
                <w:i w:val="0"/>
                <w:sz w:val="15"/>
              </w:rPr>
              <w:t>↓ 38.5–39.5% (Q1-23); held through Q3</w:t>
            </w:r>
          </w:p>
        </w:tc>
        <w:tc>
          <w:tcPr>
            <w:tcW w:type="dxa" w:w="1728"/>
            <w:shd w:val="clear" w:color="auto" w:fill="D9E1F2"/>
          </w:tcPr>
          <w:p>
            <w:pPr>
              <w:spacing w:after="0" w:line="240" w:lineRule="auto"/>
            </w:pPr>
            <w:r>
              <w:rPr>
                <w:b/>
                <w:i w:val="0"/>
                <w:sz w:val="15"/>
              </w:rPr>
              <w:t>38.8%</w:t>
            </w:r>
            <w:r>
              <w:rPr>
                <w:b w:val="0"/>
                <w:i w:val="0"/>
                <w:sz w:val="15"/>
              </w:rPr>
              <w:t xml:space="preserve"> </w:t>
            </w:r>
            <w:r>
              <w:rPr>
                <w:b/>
                <w:color w:val="2E548C"/>
                <w:sz w:val="12"/>
              </w:rPr>
              <w:t>[D]</w:t>
            </w:r>
          </w:p>
        </w:tc>
        <w:tc>
          <w:tcPr>
            <w:tcW w:type="dxa" w:w="1584"/>
            <w:shd w:val="clear" w:color="auto" w:fill="D9E1F2"/>
          </w:tcPr>
          <w:p>
            <w:pPr>
              <w:spacing w:after="0" w:line="240" w:lineRule="auto"/>
            </w:pPr>
            <w:r>
              <w:rPr>
                <w:b/>
                <w:i w:val="0"/>
                <w:sz w:val="15"/>
              </w:rPr>
              <w:t>Missed-lowered</w:t>
            </w:r>
          </w:p>
        </w:tc>
      </w:tr>
      <w:tr>
        <w:trPr>
          <w:cantSplit/>
        </w:trPr>
        <w:tc>
          <w:tcPr>
            <w:tcW w:type="dxa" w:w="2304"/>
          </w:tcPr>
          <w:p>
            <w:pPr>
              <w:spacing w:after="0" w:line="240" w:lineRule="auto"/>
            </w:pPr>
            <w:r>
              <w:rPr>
                <w:b w:val="0"/>
                <w:i w:val="0"/>
                <w:sz w:val="15"/>
              </w:rPr>
              <w:t>FY24 revenue growth</w:t>
            </w:r>
          </w:p>
        </w:tc>
        <w:tc>
          <w:tcPr>
            <w:tcW w:type="dxa" w:w="1728"/>
          </w:tcPr>
          <w:p>
            <w:pPr>
              <w:spacing w:after="0" w:line="240" w:lineRule="auto"/>
            </w:pPr>
            <w:r>
              <w:rPr>
                <w:b w:val="0"/>
                <w:i w:val="0"/>
                <w:sz w:val="15"/>
              </w:rPr>
              <w:t>8.5–10.0% (Feb-24)</w:t>
            </w:r>
          </w:p>
        </w:tc>
        <w:tc>
          <w:tcPr>
            <w:tcW w:type="dxa" w:w="2448"/>
          </w:tcPr>
          <w:p>
            <w:pPr>
              <w:spacing w:after="0" w:line="240" w:lineRule="auto"/>
            </w:pPr>
            <w:r>
              <w:rPr>
                <w:b w:val="0"/>
                <w:i w:val="0"/>
                <w:sz w:val="15"/>
              </w:rPr>
              <w:t>held (Q1-24); ↓ 8.0–9.0% (Q2-24); ↓ 8.0–8.5% (Q3-24, pos.)</w:t>
            </w:r>
          </w:p>
        </w:tc>
        <w:tc>
          <w:tcPr>
            <w:tcW w:type="dxa" w:w="1728"/>
          </w:tcPr>
          <w:p>
            <w:pPr>
              <w:spacing w:after="0" w:line="240" w:lineRule="auto"/>
            </w:pPr>
            <w:r>
              <w:rPr>
                <w:b/>
                <w:i w:val="0"/>
                <w:sz w:val="15"/>
              </w:rPr>
              <w:t>8%</w:t>
            </w:r>
            <w:r>
              <w:rPr>
                <w:b w:val="0"/>
                <w:i w:val="0"/>
                <w:sz w:val="15"/>
              </w:rPr>
              <w:t xml:space="preserve"> </w:t>
            </w:r>
            <w:r>
              <w:rPr>
                <w:b/>
                <w:color w:val="2E548C"/>
                <w:sz w:val="12"/>
              </w:rPr>
              <w:t>[D]</w:t>
            </w:r>
            <w:r>
              <w:rPr>
                <w:b w:val="0"/>
                <w:i w:val="0"/>
                <w:sz w:val="15"/>
              </w:rPr>
              <w:t xml:space="preserve"> (8.4% </w:t>
            </w:r>
            <w:r>
              <w:rPr>
                <w:b/>
                <w:color w:val="2E548C"/>
                <w:sz w:val="12"/>
              </w:rPr>
              <w:t>[C]</w:t>
            </w:r>
            <w:r>
              <w:rPr>
                <w:b w:val="0"/>
                <w:i w:val="0"/>
                <w:sz w:val="15"/>
              </w:rPr>
              <w:t>)</w:t>
            </w:r>
          </w:p>
        </w:tc>
        <w:tc>
          <w:tcPr>
            <w:tcW w:type="dxa" w:w="1584"/>
          </w:tcPr>
          <w:p>
            <w:pPr>
              <w:spacing w:after="0" w:line="240" w:lineRule="auto"/>
            </w:pPr>
            <w:r>
              <w:rPr>
                <w:b/>
                <w:i w:val="0"/>
                <w:sz w:val="15"/>
              </w:rPr>
              <w:t>Missed-lowered</w:t>
            </w:r>
          </w:p>
        </w:tc>
      </w:tr>
      <w:tr>
        <w:trPr>
          <w:cantSplit/>
        </w:trPr>
        <w:tc>
          <w:tcPr>
            <w:tcW w:type="dxa" w:w="2304"/>
            <w:shd w:val="clear" w:color="auto" w:fill="D9E1F2"/>
          </w:tcPr>
          <w:p>
            <w:pPr>
              <w:spacing w:after="0" w:line="240" w:lineRule="auto"/>
            </w:pPr>
            <w:r>
              <w:rPr>
                <w:b w:val="0"/>
                <w:i w:val="0"/>
                <w:sz w:val="15"/>
              </w:rPr>
              <w:t>FY24 adj. operating margin</w:t>
            </w:r>
          </w:p>
        </w:tc>
        <w:tc>
          <w:tcPr>
            <w:tcW w:type="dxa" w:w="1728"/>
            <w:shd w:val="clear" w:color="auto" w:fill="D9E1F2"/>
          </w:tcPr>
          <w:p>
            <w:pPr>
              <w:spacing w:after="0" w:line="240" w:lineRule="auto"/>
            </w:pPr>
            <w:r>
              <w:rPr>
                <w:b w:val="0"/>
                <w:i w:val="0"/>
                <w:sz w:val="15"/>
              </w:rPr>
              <w:t>39.0–40.0%</w:t>
            </w:r>
          </w:p>
        </w:tc>
        <w:tc>
          <w:tcPr>
            <w:tcW w:type="dxa" w:w="2448"/>
            <w:shd w:val="clear" w:color="auto" w:fill="D9E1F2"/>
          </w:tcPr>
          <w:p>
            <w:pPr>
              <w:spacing w:after="0" w:line="240" w:lineRule="auto"/>
            </w:pPr>
            <w:r>
              <w:rPr>
                <w:b w:val="0"/>
                <w:i w:val="0"/>
                <w:sz w:val="15"/>
              </w:rPr>
              <w:t>held (Q1); ↓ 38.5–39.5% (Q2-24, recall); ↓ 38.5–39.0% (Q3-24)</w:t>
            </w:r>
          </w:p>
        </w:tc>
        <w:tc>
          <w:tcPr>
            <w:tcW w:type="dxa" w:w="1728"/>
            <w:shd w:val="clear" w:color="auto" w:fill="D9E1F2"/>
          </w:tcPr>
          <w:p>
            <w:pPr>
              <w:spacing w:after="0" w:line="240" w:lineRule="auto"/>
            </w:pPr>
            <w:r>
              <w:rPr>
                <w:b/>
                <w:i w:val="0"/>
                <w:sz w:val="15"/>
              </w:rPr>
              <w:t>39.0%</w:t>
            </w:r>
            <w:r>
              <w:rPr>
                <w:b w:val="0"/>
                <w:i w:val="0"/>
                <w:sz w:val="15"/>
              </w:rPr>
              <w:t xml:space="preserve"> </w:t>
            </w:r>
            <w:r>
              <w:rPr>
                <w:b/>
                <w:color w:val="2E548C"/>
                <w:sz w:val="12"/>
              </w:rPr>
              <w:t>[D]</w:t>
            </w:r>
          </w:p>
        </w:tc>
        <w:tc>
          <w:tcPr>
            <w:tcW w:type="dxa" w:w="1584"/>
            <w:shd w:val="clear" w:color="auto" w:fill="D9E1F2"/>
          </w:tcPr>
          <w:p>
            <w:pPr>
              <w:spacing w:after="0" w:line="240" w:lineRule="auto"/>
            </w:pPr>
            <w:r>
              <w:rPr>
                <w:b/>
                <w:i w:val="0"/>
                <w:sz w:val="15"/>
              </w:rPr>
              <w:t>Missed-lowered</w:t>
            </w:r>
          </w:p>
        </w:tc>
      </w:tr>
      <w:tr>
        <w:trPr>
          <w:cantSplit/>
        </w:trPr>
        <w:tc>
          <w:tcPr>
            <w:tcW w:type="dxa" w:w="2304"/>
          </w:tcPr>
          <w:p>
            <w:pPr>
              <w:spacing w:after="0" w:line="240" w:lineRule="auto"/>
            </w:pPr>
            <w:r>
              <w:rPr>
                <w:b w:val="0"/>
                <w:i w:val="0"/>
                <w:sz w:val="15"/>
              </w:rPr>
              <w:t>FY25 revenue growth</w:t>
            </w:r>
          </w:p>
        </w:tc>
        <w:tc>
          <w:tcPr>
            <w:tcW w:type="dxa" w:w="1728"/>
          </w:tcPr>
          <w:p>
            <w:pPr>
              <w:spacing w:after="0" w:line="240" w:lineRule="auto"/>
            </w:pPr>
            <w:r>
              <w:rPr>
                <w:b w:val="0"/>
                <w:i w:val="0"/>
                <w:sz w:val="15"/>
              </w:rPr>
              <w:t>7.0–8.5% (Feb-25)</w:t>
            </w:r>
          </w:p>
        </w:tc>
        <w:tc>
          <w:tcPr>
            <w:tcW w:type="dxa" w:w="2448"/>
          </w:tcPr>
          <w:p>
            <w:pPr>
              <w:spacing w:after="0" w:line="240" w:lineRule="auto"/>
            </w:pPr>
            <w:r>
              <w:rPr>
                <w:b w:val="0"/>
                <w:i w:val="0"/>
                <w:sz w:val="15"/>
              </w:rPr>
              <w:t>held (Q1-25); ↑ 7.5–9% (Q2-25); ↑ 8–9% (Q3-25)</w:t>
            </w:r>
          </w:p>
        </w:tc>
        <w:tc>
          <w:tcPr>
            <w:tcW w:type="dxa" w:w="1728"/>
          </w:tcPr>
          <w:p>
            <w:pPr>
              <w:spacing w:after="0" w:line="240" w:lineRule="auto"/>
            </w:pPr>
            <w:r>
              <w:rPr>
                <w:b/>
                <w:i w:val="0"/>
                <w:sz w:val="15"/>
              </w:rPr>
              <w:t>8.6%</w:t>
            </w:r>
            <w:r>
              <w:rPr>
                <w:b w:val="0"/>
                <w:i w:val="0"/>
                <w:sz w:val="15"/>
              </w:rPr>
              <w:t xml:space="preserve"> </w:t>
            </w:r>
            <w:r>
              <w:rPr>
                <w:b/>
                <w:color w:val="2E548C"/>
                <w:sz w:val="12"/>
              </w:rPr>
              <w:t>[D]</w:t>
            </w:r>
          </w:p>
        </w:tc>
        <w:tc>
          <w:tcPr>
            <w:tcW w:type="dxa" w:w="1584"/>
          </w:tcPr>
          <w:p>
            <w:pPr>
              <w:spacing w:after="0" w:line="240" w:lineRule="auto"/>
            </w:pPr>
            <w:r>
              <w:rPr>
                <w:b/>
                <w:i w:val="0"/>
                <w:sz w:val="15"/>
              </w:rPr>
              <w:t>Beat</w:t>
            </w:r>
            <w:r>
              <w:rPr>
                <w:b w:val="0"/>
                <w:i w:val="0"/>
                <w:sz w:val="15"/>
              </w:rPr>
              <w:t xml:space="preserve"> (above the initial top of 8.5%)</w:t>
            </w:r>
          </w:p>
        </w:tc>
      </w:tr>
      <w:tr>
        <w:trPr>
          <w:cantSplit/>
        </w:trPr>
        <w:tc>
          <w:tcPr>
            <w:tcW w:type="dxa" w:w="2304"/>
            <w:shd w:val="clear" w:color="auto" w:fill="D9E1F2"/>
          </w:tcPr>
          <w:p>
            <w:pPr>
              <w:spacing w:after="0" w:line="240" w:lineRule="auto"/>
            </w:pPr>
            <w:r>
              <w:rPr>
                <w:b w:val="0"/>
                <w:i w:val="0"/>
                <w:sz w:val="15"/>
              </w:rPr>
              <w:t>FY25 adj. operating margin</w:t>
            </w:r>
          </w:p>
        </w:tc>
        <w:tc>
          <w:tcPr>
            <w:tcW w:type="dxa" w:w="1728"/>
            <w:shd w:val="clear" w:color="auto" w:fill="D9E1F2"/>
          </w:tcPr>
          <w:p>
            <w:pPr>
              <w:spacing w:after="0" w:line="240" w:lineRule="auto"/>
            </w:pPr>
            <w:r>
              <w:rPr>
                <w:b w:val="0"/>
                <w:i w:val="0"/>
                <w:sz w:val="15"/>
              </w:rPr>
              <w:t>39–40%</w:t>
            </w:r>
          </w:p>
        </w:tc>
        <w:tc>
          <w:tcPr>
            <w:tcW w:type="dxa" w:w="2448"/>
            <w:shd w:val="clear" w:color="auto" w:fill="D9E1F2"/>
          </w:tcPr>
          <w:p>
            <w:pPr>
              <w:spacing w:after="0" w:line="240" w:lineRule="auto"/>
            </w:pPr>
            <w:r>
              <w:rPr>
                <w:b w:val="0"/>
                <w:i w:val="0"/>
                <w:sz w:val="15"/>
              </w:rPr>
              <w:t>held (Q1/Q2); ↑ 39.5–40% (Q3-25)</w:t>
            </w:r>
          </w:p>
        </w:tc>
        <w:tc>
          <w:tcPr>
            <w:tcW w:type="dxa" w:w="1728"/>
            <w:shd w:val="clear" w:color="auto" w:fill="D9E1F2"/>
          </w:tcPr>
          <w:p>
            <w:pPr>
              <w:spacing w:after="0" w:line="240" w:lineRule="auto"/>
            </w:pPr>
            <w:r>
              <w:rPr>
                <w:b/>
                <w:i w:val="0"/>
                <w:sz w:val="15"/>
              </w:rPr>
              <w:t>39.9%</w:t>
            </w:r>
            <w:r>
              <w:rPr>
                <w:b w:val="0"/>
                <w:i w:val="0"/>
                <w:sz w:val="15"/>
              </w:rPr>
              <w:t xml:space="preserve"> </w:t>
            </w:r>
            <w:r>
              <w:rPr>
                <w:b/>
                <w:color w:val="2E548C"/>
                <w:sz w:val="12"/>
              </w:rPr>
              <w:t>[D]</w:t>
            </w:r>
          </w:p>
        </w:tc>
        <w:tc>
          <w:tcPr>
            <w:tcW w:type="dxa" w:w="1584"/>
            <w:shd w:val="clear" w:color="auto" w:fill="D9E1F2"/>
          </w:tcPr>
          <w:p>
            <w:pPr>
              <w:spacing w:after="0" w:line="240" w:lineRule="auto"/>
            </w:pPr>
            <w:r>
              <w:rPr>
                <w:b/>
                <w:i w:val="0"/>
                <w:sz w:val="15"/>
              </w:rPr>
              <w:t>Met</w:t>
            </w:r>
          </w:p>
        </w:tc>
      </w:tr>
      <w:tr>
        <w:trPr>
          <w:cantSplit/>
        </w:trPr>
        <w:tc>
          <w:tcPr>
            <w:tcW w:type="dxa" w:w="2304"/>
          </w:tcPr>
          <w:p>
            <w:pPr>
              <w:spacing w:after="0" w:line="240" w:lineRule="auto"/>
            </w:pPr>
            <w:r>
              <w:rPr>
                <w:b w:val="0"/>
                <w:i w:val="0"/>
                <w:sz w:val="15"/>
              </w:rPr>
              <w:t>2025/26 target model (SPGI Investor Day 2022-12-01)</w:t>
            </w:r>
          </w:p>
        </w:tc>
        <w:tc>
          <w:tcPr>
            <w:tcW w:type="dxa" w:w="1728"/>
          </w:tcPr>
          <w:p>
            <w:pPr>
              <w:spacing w:after="0" w:line="240" w:lineRule="auto"/>
            </w:pPr>
            <w:r>
              <w:rPr>
                <w:b w:val="0"/>
                <w:i w:val="0"/>
                <w:sz w:val="15"/>
              </w:rPr>
              <w:t xml:space="preserve">7–9% organic growth; </w:t>
            </w:r>
            <w:r>
              <w:rPr>
                <w:b/>
                <w:i w:val="0"/>
                <w:sz w:val="15"/>
              </w:rPr>
              <w:t>41–43%</w:t>
            </w:r>
            <w:r>
              <w:rPr>
                <w:b w:val="0"/>
                <w:i w:val="0"/>
                <w:sz w:val="15"/>
              </w:rPr>
              <w:t xml:space="preserve"> adj. OP margin</w:t>
            </w:r>
          </w:p>
        </w:tc>
        <w:tc>
          <w:tcPr>
            <w:tcW w:type="dxa" w:w="2448"/>
          </w:tcPr>
          <w:p>
            <w:pPr>
              <w:spacing w:after="0" w:line="240" w:lineRule="auto"/>
            </w:pPr>
            <w:r>
              <w:rPr>
                <w:b w:val="0"/>
                <w:i w:val="0"/>
                <w:sz w:val="15"/>
              </w:rPr>
              <w:t>never formally withdrawn; superseded by MBGL framework</w:t>
            </w:r>
          </w:p>
        </w:tc>
        <w:tc>
          <w:tcPr>
            <w:tcW w:type="dxa" w:w="1728"/>
          </w:tcPr>
          <w:p>
            <w:pPr>
              <w:spacing w:after="0" w:line="240" w:lineRule="auto"/>
            </w:pPr>
            <w:r>
              <w:rPr>
                <w:b w:val="0"/>
                <w:i w:val="0"/>
                <w:sz w:val="15"/>
              </w:rPr>
              <w:t xml:space="preserve">FY25: 8.6% growth, </w:t>
            </w:r>
            <w:r>
              <w:rPr>
                <w:b/>
                <w:i w:val="0"/>
                <w:sz w:val="15"/>
              </w:rPr>
              <w:t>39.9%</w:t>
            </w:r>
            <w:r>
              <w:rPr>
                <w:b w:val="0"/>
                <w:i w:val="0"/>
                <w:sz w:val="15"/>
              </w:rPr>
              <w:t xml:space="preserve"> margin</w:t>
            </w:r>
          </w:p>
        </w:tc>
        <w:tc>
          <w:tcPr>
            <w:tcW w:type="dxa" w:w="1584"/>
          </w:tcPr>
          <w:p>
            <w:pPr>
              <w:spacing w:after="0" w:line="240" w:lineRule="auto"/>
            </w:pPr>
            <w:r>
              <w:rPr>
                <w:b w:val="0"/>
                <w:i w:val="0"/>
                <w:sz w:val="15"/>
              </w:rPr>
              <w:t xml:space="preserve">Growth </w:t>
            </w:r>
            <w:r>
              <w:rPr>
                <w:b/>
                <w:i w:val="0"/>
                <w:sz w:val="15"/>
              </w:rPr>
              <w:t>met</w:t>
            </w:r>
            <w:r>
              <w:rPr>
                <w:b w:val="0"/>
                <w:i w:val="0"/>
                <w:sz w:val="15"/>
              </w:rPr>
              <w:t xml:space="preserve">; margin </w:t>
            </w:r>
            <w:r>
              <w:rPr>
                <w:b/>
                <w:i w:val="0"/>
                <w:sz w:val="15"/>
              </w:rPr>
              <w:t>missed by 110–310 bp</w:t>
            </w:r>
            <w:r>
              <w:rPr>
                <w:b w:val="0"/>
                <w:i w:val="0"/>
                <w:sz w:val="15"/>
              </w:rPr>
              <w:t xml:space="preserve"> </w:t>
            </w:r>
            <w:r>
              <w:rPr>
                <w:b/>
                <w:color w:val="2E548C"/>
                <w:sz w:val="12"/>
              </w:rPr>
              <w:t>[C]</w:t>
            </w:r>
          </w:p>
        </w:tc>
      </w:tr>
      <w:tr>
        <w:trPr>
          <w:cantSplit/>
        </w:trPr>
        <w:tc>
          <w:tcPr>
            <w:tcW w:type="dxa" w:w="2304"/>
            <w:shd w:val="clear" w:color="auto" w:fill="D9E1F2"/>
          </w:tcPr>
          <w:p>
            <w:pPr>
              <w:spacing w:after="0" w:line="240" w:lineRule="auto"/>
            </w:pPr>
            <w:r>
              <w:rPr>
                <w:b w:val="0"/>
                <w:i w:val="0"/>
                <w:sz w:val="15"/>
              </w:rPr>
              <w:t>FY26 revenue growth</w:t>
            </w:r>
          </w:p>
        </w:tc>
        <w:tc>
          <w:tcPr>
            <w:tcW w:type="dxa" w:w="1728"/>
            <w:shd w:val="clear" w:color="auto" w:fill="D9E1F2"/>
          </w:tcPr>
          <w:p>
            <w:pPr>
              <w:spacing w:after="0" w:line="240" w:lineRule="auto"/>
            </w:pPr>
            <w:r>
              <w:rPr>
                <w:b w:val="0"/>
                <w:i w:val="0"/>
                <w:sz w:val="15"/>
              </w:rPr>
              <w:t>7.5–9% OCC (SPGI, Feb-26)</w:t>
            </w:r>
          </w:p>
        </w:tc>
        <w:tc>
          <w:tcPr>
            <w:tcW w:type="dxa" w:w="2448"/>
            <w:shd w:val="clear" w:color="auto" w:fill="D9E1F2"/>
          </w:tcPr>
          <w:p>
            <w:pPr>
              <w:spacing w:after="0" w:line="240" w:lineRule="auto"/>
            </w:pPr>
            <w:r>
              <w:rPr>
                <w:b w:val="0"/>
                <w:i w:val="0"/>
                <w:sz w:val="15"/>
              </w:rPr>
              <w:t xml:space="preserve">reaffirmed (SPGI Q1-26, Apr-28; MBGL ID, May-12); </w:t>
            </w:r>
            <w:r>
              <w:rPr>
                <w:b/>
                <w:i w:val="0"/>
                <w:sz w:val="15"/>
              </w:rPr>
              <w:t>↓ 6.9–7.7% reported</w:t>
            </w:r>
            <w:r>
              <w:rPr>
                <w:b w:val="0"/>
                <w:i w:val="0"/>
                <w:sz w:val="15"/>
              </w:rPr>
              <w:t xml:space="preserve"> (Aug-7)</w:t>
            </w:r>
          </w:p>
        </w:tc>
        <w:tc>
          <w:tcPr>
            <w:tcW w:type="dxa" w:w="1728"/>
            <w:shd w:val="clear" w:color="auto" w:fill="D9E1F2"/>
          </w:tcPr>
          <w:p>
            <w:pPr>
              <w:spacing w:after="0" w:line="240" w:lineRule="auto"/>
            </w:pPr>
            <w:r>
              <w:rPr>
                <w:b w:val="0"/>
                <w:i w:val="0"/>
                <w:sz w:val="15"/>
              </w:rPr>
              <w:t xml:space="preserve">1H: 7.4% reported </w:t>
            </w:r>
            <w:r>
              <w:rPr>
                <w:b/>
                <w:color w:val="2E548C"/>
                <w:sz w:val="12"/>
              </w:rPr>
              <w:t>[C]</w:t>
            </w:r>
            <w:r>
              <w:rPr>
                <w:b w:val="0"/>
                <w:i w:val="0"/>
                <w:sz w:val="15"/>
              </w:rPr>
              <w:t xml:space="preserve">, ~6.9% ex-FX </w:t>
            </w:r>
            <w:r>
              <w:rPr>
                <w:b/>
                <w:color w:val="2E548C"/>
                <w:sz w:val="12"/>
              </w:rPr>
              <w:t>[C]</w:t>
            </w:r>
          </w:p>
        </w:tc>
        <w:tc>
          <w:tcPr>
            <w:tcW w:type="dxa" w:w="1584"/>
            <w:shd w:val="clear" w:color="auto" w:fill="D9E1F2"/>
          </w:tcPr>
          <w:p>
            <w:pPr>
              <w:spacing w:after="0" w:line="240" w:lineRule="auto"/>
            </w:pPr>
            <w:r>
              <w:rPr>
                <w:b/>
                <w:i w:val="0"/>
                <w:sz w:val="15"/>
              </w:rPr>
              <w:t>Cut. 1H running below the original OCC floor.</w:t>
            </w:r>
          </w:p>
        </w:tc>
      </w:tr>
      <w:tr>
        <w:trPr>
          <w:cantSplit/>
        </w:trPr>
        <w:tc>
          <w:tcPr>
            <w:tcW w:type="dxa" w:w="2304"/>
          </w:tcPr>
          <w:p>
            <w:pPr>
              <w:spacing w:after="0" w:line="240" w:lineRule="auto"/>
            </w:pPr>
            <w:r>
              <w:rPr>
                <w:b w:val="0"/>
                <w:i w:val="0"/>
                <w:sz w:val="15"/>
              </w:rPr>
              <w:t>FY26 Adj. EBITDA</w:t>
            </w:r>
          </w:p>
        </w:tc>
        <w:tc>
          <w:tcPr>
            <w:tcW w:type="dxa" w:w="1728"/>
          </w:tcPr>
          <w:p>
            <w:pPr>
              <w:spacing w:after="0" w:line="240" w:lineRule="auto"/>
            </w:pPr>
            <w:r>
              <w:rPr>
                <w:b w:val="0"/>
                <w:i w:val="0"/>
                <w:sz w:val="15"/>
              </w:rPr>
              <w:t>none before Aug-7</w:t>
            </w:r>
          </w:p>
        </w:tc>
        <w:tc>
          <w:tcPr>
            <w:tcW w:type="dxa" w:w="2448"/>
          </w:tcPr>
          <w:p>
            <w:pPr>
              <w:spacing w:after="0" w:line="240" w:lineRule="auto"/>
            </w:pPr>
            <w:r>
              <w:rPr>
                <w:b w:val="0"/>
                <w:i w:val="0"/>
                <w:sz w:val="15"/>
              </w:rPr>
              <w:t>$745–760m, ~40% (Aug-7)</w:t>
            </w:r>
          </w:p>
        </w:tc>
        <w:tc>
          <w:tcPr>
            <w:tcW w:type="dxa" w:w="1728"/>
          </w:tcPr>
          <w:p>
            <w:pPr>
              <w:spacing w:after="0" w:line="240" w:lineRule="auto"/>
            </w:pPr>
            <w:r>
              <w:rPr>
                <w:b w:val="0"/>
                <w:i w:val="0"/>
                <w:sz w:val="15"/>
              </w:rPr>
              <w:t xml:space="preserve">1H $386m </w:t>
            </w:r>
            <w:r>
              <w:rPr>
                <w:b/>
                <w:color w:val="2E548C"/>
                <w:sz w:val="12"/>
              </w:rPr>
              <w:t>[D]</w:t>
            </w:r>
          </w:p>
        </w:tc>
        <w:tc>
          <w:tcPr>
            <w:tcW w:type="dxa" w:w="1584"/>
          </w:tcPr>
          <w:p>
            <w:pPr>
              <w:spacing w:after="0" w:line="240" w:lineRule="auto"/>
            </w:pPr>
            <w:r>
              <w:rPr>
                <w:b w:val="0"/>
                <w:i w:val="0"/>
                <w:sz w:val="15"/>
              </w:rPr>
              <w:t>Pending; 2H implied is soft (§3)</w:t>
            </w:r>
          </w:p>
        </w:tc>
      </w:tr>
      <w:tr>
        <w:trPr>
          <w:cantSplit/>
        </w:trPr>
        <w:tc>
          <w:tcPr>
            <w:tcW w:type="dxa" w:w="2304"/>
            <w:shd w:val="clear" w:color="auto" w:fill="D9E1F2"/>
          </w:tcPr>
          <w:p>
            <w:pPr>
              <w:spacing w:after="0" w:line="240" w:lineRule="auto"/>
            </w:pPr>
            <w:r>
              <w:rPr>
                <w:b w:val="0"/>
                <w:i w:val="0"/>
                <w:sz w:val="15"/>
              </w:rPr>
              <w:t>One-time stand-up cost</w:t>
            </w:r>
          </w:p>
        </w:tc>
        <w:tc>
          <w:tcPr>
            <w:tcW w:type="dxa" w:w="1728"/>
            <w:shd w:val="clear" w:color="auto" w:fill="D9E1F2"/>
          </w:tcPr>
          <w:p>
            <w:pPr>
              <w:spacing w:after="0" w:line="240" w:lineRule="auto"/>
            </w:pPr>
            <w:r>
              <w:rPr>
                <w:b w:val="0"/>
                <w:i w:val="0"/>
                <w:sz w:val="15"/>
              </w:rPr>
              <w:t>$75–100m (ID)</w:t>
            </w:r>
          </w:p>
        </w:tc>
        <w:tc>
          <w:tcPr>
            <w:tcW w:type="dxa" w:w="2448"/>
            <w:shd w:val="clear" w:color="auto" w:fill="D9E1F2"/>
          </w:tcPr>
          <w:p>
            <w:pPr>
              <w:spacing w:after="0" w:line="240" w:lineRule="auto"/>
            </w:pPr>
            <w:r>
              <w:rPr>
                <w:b w:val="0"/>
                <w:i w:val="0"/>
                <w:sz w:val="15"/>
              </w:rPr>
              <w:t>~$100m (call) / $75–110m (10Q) (Aug-7)</w:t>
            </w:r>
          </w:p>
        </w:tc>
        <w:tc>
          <w:tcPr>
            <w:tcW w:type="dxa" w:w="1728"/>
            <w:shd w:val="clear" w:color="auto" w:fill="D9E1F2"/>
          </w:tcPr>
          <w:p>
            <w:pPr>
              <w:spacing w:after="0" w:line="240" w:lineRule="auto"/>
            </w:pPr>
            <w:r>
              <w:rPr>
                <w:b w:val="0"/>
                <w:i w:val="0"/>
                <w:sz w:val="15"/>
              </w:rPr>
              <w:t xml:space="preserve">$78m transaction costs expensed FY25–1H26 </w:t>
            </w:r>
            <w:r>
              <w:rPr>
                <w:b/>
                <w:color w:val="2E548C"/>
                <w:sz w:val="12"/>
              </w:rPr>
              <w:t>[D]</w:t>
            </w:r>
            <w:r>
              <w:rPr>
                <w:b w:val="0"/>
                <w:i w:val="0"/>
                <w:sz w:val="15"/>
              </w:rPr>
              <w:t>; scope overlap unclear</w:t>
            </w:r>
          </w:p>
        </w:tc>
        <w:tc>
          <w:tcPr>
            <w:tcW w:type="dxa" w:w="1584"/>
            <w:shd w:val="clear" w:color="auto" w:fill="D9E1F2"/>
          </w:tcPr>
          <w:p>
            <w:pPr>
              <w:spacing w:after="0" w:line="240" w:lineRule="auto"/>
            </w:pPr>
            <w:r>
              <w:rPr>
                <w:b/>
                <w:i w:val="0"/>
                <w:sz w:val="15"/>
              </w:rPr>
              <w:t>Drifting up</w:t>
            </w:r>
          </w:p>
        </w:tc>
      </w:tr>
      <w:tr>
        <w:trPr>
          <w:cantSplit/>
        </w:trPr>
        <w:tc>
          <w:tcPr>
            <w:tcW w:type="dxa" w:w="2304"/>
          </w:tcPr>
          <w:p>
            <w:pPr>
              <w:spacing w:after="0" w:line="240" w:lineRule="auto"/>
            </w:pPr>
            <w:r>
              <w:rPr>
                <w:b w:val="0"/>
                <w:i w:val="0"/>
                <w:sz w:val="15"/>
              </w:rPr>
              <w:t>Standalone run-rate cost</w:t>
            </w:r>
          </w:p>
        </w:tc>
        <w:tc>
          <w:tcPr>
            <w:tcW w:type="dxa" w:w="1728"/>
          </w:tcPr>
          <w:p>
            <w:pPr>
              <w:spacing w:after="0" w:line="240" w:lineRule="auto"/>
            </w:pPr>
            <w:r>
              <w:rPr>
                <w:b w:val="0"/>
                <w:i w:val="0"/>
                <w:sz w:val="15"/>
              </w:rPr>
              <w:t>$20–25m (ID)</w:t>
            </w:r>
          </w:p>
        </w:tc>
        <w:tc>
          <w:tcPr>
            <w:tcW w:type="dxa" w:w="2448"/>
          </w:tcPr>
          <w:p>
            <w:pPr>
              <w:spacing w:after="0" w:line="240" w:lineRule="auto"/>
            </w:pPr>
            <w:r>
              <w:rPr>
                <w:b w:val="0"/>
                <w:i w:val="0"/>
                <w:sz w:val="15"/>
              </w:rPr>
              <w:t xml:space="preserve">"high end" = ~150 bp vs FY25 (Aug-7) ≈ $26m </w:t>
            </w:r>
            <w:r>
              <w:rPr>
                <w:b/>
                <w:color w:val="2E548C"/>
                <w:sz w:val="12"/>
              </w:rPr>
              <w:t>[C]</w:t>
            </w:r>
          </w:p>
        </w:tc>
        <w:tc>
          <w:tcPr>
            <w:tcW w:type="dxa" w:w="1728"/>
          </w:tcPr>
          <w:p>
            <w:pPr>
              <w:spacing w:after="0" w:line="240" w:lineRule="auto"/>
            </w:pPr>
            <w:r>
              <w:rPr>
                <w:b w:val="0"/>
                <w:i w:val="0"/>
                <w:sz w:val="15"/>
              </w:rPr>
              <w:t>n/a</w:t>
            </w:r>
          </w:p>
        </w:tc>
        <w:tc>
          <w:tcPr>
            <w:tcW w:type="dxa" w:w="1584"/>
          </w:tcPr>
          <w:p>
            <w:pPr>
              <w:spacing w:after="0" w:line="240" w:lineRule="auto"/>
            </w:pPr>
            <w:r>
              <w:rPr>
                <w:b/>
                <w:i w:val="0"/>
                <w:sz w:val="15"/>
              </w:rPr>
              <w:t>Drifting up</w:t>
            </w:r>
          </w:p>
        </w:tc>
      </w:tr>
      <w:tr>
        <w:trPr>
          <w:cantSplit/>
        </w:trPr>
        <w:tc>
          <w:tcPr>
            <w:tcW w:type="dxa" w:w="2304"/>
            <w:shd w:val="clear" w:color="auto" w:fill="D9E1F2"/>
          </w:tcPr>
          <w:p>
            <w:pPr>
              <w:spacing w:after="0" w:line="240" w:lineRule="auto"/>
            </w:pPr>
            <w:r>
              <w:rPr>
                <w:b w:val="0"/>
                <w:i w:val="0"/>
                <w:sz w:val="15"/>
              </w:rPr>
              <w:t>Margin expansion timing</w:t>
            </w:r>
          </w:p>
        </w:tc>
        <w:tc>
          <w:tcPr>
            <w:tcW w:type="dxa" w:w="1728"/>
            <w:shd w:val="clear" w:color="auto" w:fill="D9E1F2"/>
          </w:tcPr>
          <w:p>
            <w:pPr>
              <w:spacing w:after="0" w:line="240" w:lineRule="auto"/>
            </w:pPr>
            <w:r>
              <w:rPr>
                <w:b w:val="0"/>
                <w:i w:val="0"/>
                <w:sz w:val="15"/>
              </w:rPr>
              <w:t>≥50 bp/yr "medium term" after a 12–18-month reset (ID)</w:t>
            </w:r>
          </w:p>
        </w:tc>
        <w:tc>
          <w:tcPr>
            <w:tcW w:type="dxa" w:w="2448"/>
            <w:shd w:val="clear" w:color="auto" w:fill="D9E1F2"/>
          </w:tcPr>
          <w:p>
            <w:pPr>
              <w:spacing w:after="0" w:line="240" w:lineRule="auto"/>
            </w:pPr>
            <w:r>
              <w:rPr>
                <w:b w:val="0"/>
                <w:i w:val="0"/>
                <w:sz w:val="15"/>
              </w:rPr>
              <w:t>"full 50 bp … not until 2028" (GS, Sep-10)</w:t>
            </w:r>
          </w:p>
        </w:tc>
        <w:tc>
          <w:tcPr>
            <w:tcW w:type="dxa" w:w="1728"/>
            <w:shd w:val="clear" w:color="auto" w:fill="D9E1F2"/>
          </w:tcPr>
          <w:p>
            <w:pPr>
              <w:spacing w:after="0" w:line="240" w:lineRule="auto"/>
            </w:pPr>
            <w:r>
              <w:rPr>
                <w:b w:val="0"/>
                <w:i w:val="0"/>
                <w:sz w:val="15"/>
              </w:rPr>
              <w:t>n/a</w:t>
            </w:r>
          </w:p>
        </w:tc>
        <w:tc>
          <w:tcPr>
            <w:tcW w:type="dxa" w:w="1584"/>
            <w:shd w:val="clear" w:color="auto" w:fill="D9E1F2"/>
          </w:tcPr>
          <w:p>
            <w:pPr>
              <w:spacing w:after="0" w:line="240" w:lineRule="auto"/>
            </w:pPr>
            <w:r>
              <w:rPr>
                <w:b/>
                <w:i w:val="0"/>
                <w:sz w:val="15"/>
              </w:rPr>
              <w:t>Pushed out</w:t>
            </w:r>
          </w:p>
        </w:tc>
      </w:tr>
      <w:tr>
        <w:trPr>
          <w:cantSplit/>
        </w:trPr>
        <w:tc>
          <w:tcPr>
            <w:tcW w:type="dxa" w:w="2304"/>
          </w:tcPr>
          <w:p>
            <w:pPr>
              <w:spacing w:after="0" w:line="240" w:lineRule="auto"/>
            </w:pPr>
            <w:r>
              <w:rPr>
                <w:b w:val="0"/>
                <w:i w:val="0"/>
                <w:sz w:val="15"/>
              </w:rPr>
              <w:t>CARFAX Germany</w:t>
            </w:r>
          </w:p>
        </w:tc>
        <w:tc>
          <w:tcPr>
            <w:tcW w:type="dxa" w:w="1728"/>
          </w:tcPr>
          <w:p>
            <w:pPr>
              <w:spacing w:after="0" w:line="240" w:lineRule="auto"/>
            </w:pPr>
            <w:r>
              <w:rPr>
                <w:b w:val="0"/>
                <w:i w:val="0"/>
                <w:sz w:val="15"/>
              </w:rPr>
              <w:t>"later this year" (ID)</w:t>
            </w:r>
          </w:p>
        </w:tc>
        <w:tc>
          <w:tcPr>
            <w:tcW w:type="dxa" w:w="2448"/>
          </w:tcPr>
          <w:p>
            <w:pPr>
              <w:spacing w:after="0" w:line="240" w:lineRule="auto"/>
            </w:pPr>
            <w:r>
              <w:rPr>
                <w:b w:val="0"/>
                <w:i w:val="0"/>
                <w:sz w:val="15"/>
              </w:rPr>
              <w:t>launched early July (Q2)</w:t>
            </w:r>
          </w:p>
        </w:tc>
        <w:tc>
          <w:tcPr>
            <w:tcW w:type="dxa" w:w="1728"/>
          </w:tcPr>
          <w:p>
            <w:pPr>
              <w:spacing w:after="0" w:line="240" w:lineRule="auto"/>
            </w:pPr>
            <w:r>
              <w:rPr>
                <w:b w:val="0"/>
                <w:i w:val="0"/>
                <w:sz w:val="15"/>
              </w:rPr>
              <w:t>delivered; plan had been start-2027</w:t>
            </w:r>
          </w:p>
        </w:tc>
        <w:tc>
          <w:tcPr>
            <w:tcW w:type="dxa" w:w="1584"/>
          </w:tcPr>
          <w:p>
            <w:pPr>
              <w:spacing w:after="0" w:line="240" w:lineRule="auto"/>
            </w:pPr>
            <w:r>
              <w:rPr>
                <w:b/>
                <w:i w:val="0"/>
                <w:sz w:val="15"/>
              </w:rPr>
              <w:t>Beat</w:t>
            </w:r>
          </w:p>
        </w:tc>
      </w:tr>
      <w:tr>
        <w:trPr>
          <w:cantSplit/>
        </w:trPr>
        <w:tc>
          <w:tcPr>
            <w:tcW w:type="dxa" w:w="2304"/>
            <w:shd w:val="clear" w:color="auto" w:fill="D9E1F2"/>
          </w:tcPr>
          <w:p>
            <w:pPr>
              <w:spacing w:after="0" w:line="240" w:lineRule="auto"/>
            </w:pPr>
            <w:r>
              <w:rPr>
                <w:b w:val="0"/>
                <w:i w:val="0"/>
                <w:sz w:val="15"/>
              </w:rPr>
              <w:t>Cash at launch</w:t>
            </w:r>
          </w:p>
        </w:tc>
        <w:tc>
          <w:tcPr>
            <w:tcW w:type="dxa" w:w="1728"/>
            <w:shd w:val="clear" w:color="auto" w:fill="D9E1F2"/>
          </w:tcPr>
          <w:p>
            <w:pPr>
              <w:spacing w:after="0" w:line="240" w:lineRule="auto"/>
            </w:pPr>
            <w:r>
              <w:rPr>
                <w:b w:val="0"/>
                <w:i w:val="0"/>
                <w:sz w:val="15"/>
              </w:rPr>
              <w:t>≥$150m (ID)</w:t>
            </w:r>
          </w:p>
        </w:tc>
        <w:tc>
          <w:tcPr>
            <w:tcW w:type="dxa" w:w="2448"/>
            <w:shd w:val="clear" w:color="auto" w:fill="D9E1F2"/>
          </w:tcPr>
          <w:p>
            <w:pPr>
              <w:spacing w:after="0" w:line="240" w:lineRule="auto"/>
            </w:pPr>
            <w:r>
              <w:rPr>
                <w:b w:val="0"/>
                <w:i w:val="0"/>
                <w:sz w:val="15"/>
              </w:rPr>
              <w:t xml:space="preserve">$186m at Q2 end </w:t>
            </w:r>
            <w:r>
              <w:rPr>
                <w:b/>
                <w:color w:val="2E548C"/>
                <w:sz w:val="12"/>
              </w:rPr>
              <w:t>[IR]</w:t>
            </w:r>
            <w:r>
              <w:rPr>
                <w:b w:val="0"/>
                <w:i w:val="0"/>
                <w:sz w:val="15"/>
              </w:rPr>
              <w:t>; "almost $200M" (GS)</w:t>
            </w:r>
          </w:p>
        </w:tc>
        <w:tc>
          <w:tcPr>
            <w:tcW w:type="dxa" w:w="1728"/>
            <w:shd w:val="clear" w:color="auto" w:fill="D9E1F2"/>
          </w:tcPr>
          <w:p>
            <w:pPr>
              <w:spacing w:after="0" w:line="240" w:lineRule="auto"/>
            </w:pPr>
            <w:r>
              <w:rPr>
                <w:b w:val="0"/>
                <w:i w:val="0"/>
                <w:sz w:val="15"/>
              </w:rPr>
              <w:t>delivered</w:t>
            </w:r>
          </w:p>
        </w:tc>
        <w:tc>
          <w:tcPr>
            <w:tcW w:type="dxa" w:w="1584"/>
            <w:shd w:val="clear" w:color="auto" w:fill="D9E1F2"/>
          </w:tcPr>
          <w:p>
            <w:pPr>
              <w:spacing w:after="0" w:line="240" w:lineRule="auto"/>
            </w:pPr>
            <w:r>
              <w:rPr>
                <w:b/>
                <w:i w:val="0"/>
                <w:sz w:val="15"/>
              </w:rPr>
              <w:t>Beat</w:t>
            </w:r>
          </w:p>
        </w:tc>
      </w:tr>
      <w:tr>
        <w:trPr>
          <w:cantSplit/>
        </w:trPr>
        <w:tc>
          <w:tcPr>
            <w:tcW w:type="dxa" w:w="2304"/>
          </w:tcPr>
          <w:p>
            <w:pPr>
              <w:spacing w:after="0" w:line="240" w:lineRule="auto"/>
            </w:pPr>
            <w:r>
              <w:rPr>
                <w:b w:val="0"/>
                <w:i w:val="0"/>
                <w:sz w:val="15"/>
              </w:rPr>
              <w:t>Gross leverage</w:t>
            </w:r>
          </w:p>
        </w:tc>
        <w:tc>
          <w:tcPr>
            <w:tcW w:type="dxa" w:w="1728"/>
          </w:tcPr>
          <w:p>
            <w:pPr>
              <w:spacing w:after="0" w:line="240" w:lineRule="auto"/>
            </w:pPr>
            <w:r>
              <w:rPr>
                <w:b w:val="0"/>
                <w:i w:val="0"/>
                <w:sz w:val="15"/>
              </w:rPr>
              <w:t>≤2.5x target, starting above (ID)</w:t>
            </w:r>
          </w:p>
        </w:tc>
        <w:tc>
          <w:tcPr>
            <w:tcW w:type="dxa" w:w="2448"/>
          </w:tcPr>
          <w:p>
            <w:pPr>
              <w:spacing w:after="0" w:line="240" w:lineRule="auto"/>
            </w:pPr>
            <w:r>
              <w:rPr>
                <w:b w:val="0"/>
                <w:i w:val="0"/>
                <w:sz w:val="15"/>
              </w:rPr>
              <w:t>2.7x gross, "2.5x-ish" (GS)</w:t>
            </w:r>
          </w:p>
        </w:tc>
        <w:tc>
          <w:tcPr>
            <w:tcW w:type="dxa" w:w="1728"/>
          </w:tcPr>
          <w:p>
            <w:pPr>
              <w:spacing w:after="0" w:line="240" w:lineRule="auto"/>
            </w:pPr>
            <w:r>
              <w:rPr>
                <w:b w:val="0"/>
                <w:i w:val="0"/>
                <w:sz w:val="15"/>
              </w:rPr>
              <w:t xml:space="preserve">2.7x </w:t>
            </w:r>
            <w:r>
              <w:rPr>
                <w:b/>
                <w:color w:val="2E548C"/>
                <w:sz w:val="12"/>
              </w:rPr>
              <w:t>[IR]</w:t>
            </w:r>
          </w:p>
        </w:tc>
        <w:tc>
          <w:tcPr>
            <w:tcW w:type="dxa" w:w="1584"/>
          </w:tcPr>
          <w:p>
            <w:pPr>
              <w:spacing w:after="0" w:line="240" w:lineRule="auto"/>
            </w:pPr>
            <w:r>
              <w:rPr>
                <w:b/>
                <w:i w:val="0"/>
                <w:sz w:val="15"/>
              </w:rPr>
              <w:t>Above target</w:t>
            </w:r>
            <w:r>
              <w:rPr>
                <w:b w:val="0"/>
                <w:i w:val="0"/>
                <w:sz w:val="15"/>
              </w:rPr>
              <w:t xml:space="preserve"> (as flagged)</w:t>
            </w:r>
          </w:p>
        </w:tc>
      </w:tr>
    </w:tbl>
    <w:p>
      <w:pPr>
        <w:spacing w:after="120"/>
      </w:pPr>
      <w:r>
        <w:rPr>
          <w:b w:val="0"/>
          <w:i/>
          <w:color w:val="595959"/>
          <w:sz w:val="15"/>
        </w:rPr>
        <w:t>Source: analysis/D10_guidance_vs_execution.md §1 (SPGI guidance slides; MBGL Q2 deck; transcripts). (pos.) = slide cell mapped by position.</w:t>
      </w:r>
    </w:p>
    <w:p>
      <w:pPr>
        <w:pStyle w:val="ListBullet"/>
      </w:pPr>
      <w:r>
        <w:rPr>
          <w:b/>
          <w:i w:val="0"/>
        </w:rPr>
        <w:t>SPGI era, revenue:</w:t>
      </w:r>
      <w:r>
        <w:rPr>
          <w:b w:val="0"/>
          <w:i w:val="0"/>
        </w:rPr>
        <w:t xml:space="preserve"> 2 beats and 1 missed-lowered over three years. </w:t>
      </w:r>
      <w:r>
        <w:rPr>
          <w:b/>
          <w:i w:val="0"/>
        </w:rPr>
        <w:t>Margin:</w:t>
      </w:r>
      <w:r>
        <w:rPr>
          <w:b w:val="0"/>
          <w:i w:val="0"/>
        </w:rPr>
        <w:t xml:space="preserve"> 1 met and 2 missed-lowered, plus the 41–43% multi-year target missed by 110–310bp </w:t>
      </w:r>
      <w:r>
        <w:rPr>
          <w:b/>
          <w:color w:val="2E548C"/>
          <w:sz w:val="16"/>
        </w:rPr>
        <w:t>[C]</w:t>
      </w:r>
      <w:r>
        <w:rPr>
          <w:b w:val="0"/>
          <w:i w:val="0"/>
        </w:rPr>
        <w:t>.</w:t>
      </w:r>
    </w:p>
    <w:p>
      <w:pPr>
        <w:pStyle w:val="ListBullet"/>
      </w:pPr>
      <w:r>
        <w:rPr>
          <w:b/>
          <w:i w:val="0"/>
        </w:rPr>
        <w:t>MBGL era:</w:t>
      </w:r>
      <w:r>
        <w:rPr>
          <w:b w:val="0"/>
          <w:i w:val="0"/>
        </w:rPr>
        <w:t xml:space="preserve"> one revenue cut within 3 months of reaffirming the guide.</w:t>
      </w:r>
    </w:p>
    <w:p>
      <w:pPr>
        <w:pStyle w:val="ListBullet"/>
      </w:pPr>
      <w:r>
        <w:rPr>
          <w:b/>
          <w:i w:val="0"/>
        </w:rPr>
        <w:t>Pattern [Inference]:</w:t>
      </w:r>
      <w:r>
        <w:rPr>
          <w:b w:val="0"/>
          <w:i w:val="0"/>
        </w:rPr>
        <w:t xml:space="preserve"> revenue guides were roughly reliable; margin guides and targets were repeatedly too high. Misses came from recall/transactional revenue (2024) and go-to-market (2026), not core subscription.</w:t>
      </w:r>
    </w:p>
    <w:p>
      <w:pPr>
        <w:pStyle w:val="Heading2"/>
      </w:pPr>
      <w:r>
        <w:t>10.1 FY2026: reaffirmed, then cut</w:t>
      </w:r>
    </w:p>
    <w:tbl>
      <w:tblPr>
        <w:tblW w:type="auto" w:w="0"/>
        <w:jc w:val="center"/>
        <w:tblLook w:firstColumn="1" w:firstRow="1" w:lastColumn="0" w:lastRow="0" w:noHBand="0" w:noVBand="1" w:val="04A0"/>
        <w:tblBorders>
          <w:top w:val="nil" w:sz="0" w:space="0" w:color="auto"/>
          <w:left w:val="single" w:sz="24" w:space="0" w:color="1F3864"/>
          <w:bottom w:val="nil" w:sz="0" w:space="0" w:color="auto"/>
          <w:right w:val="nil" w:sz="0" w:space="0" w:color="auto"/>
          <w:insideH w:val="nil" w:sz="0" w:space="0" w:color="auto"/>
          <w:insideV w:val="nil" w:sz="0" w:space="0" w:color="auto"/>
        </w:tblBorders>
        <w:tblCellMar>
          <w:top w:w="90" w:type="dxa"/>
          <w:left w:w="160" w:type="dxa"/>
          <w:bottom w:w="90" w:type="dxa"/>
          <w:right w:w="120" w:type="dxa"/>
        </w:tblCellMar>
      </w:tblPr>
      <w:tblGrid>
        <w:gridCol w:w="8928"/>
      </w:tblGrid>
      <w:tr>
        <w:trPr>
          <w:cantSplit/>
        </w:trPr>
        <w:tc>
          <w:tcPr>
            <w:tcW w:type="dxa" w:w="8928"/>
            <w:shd w:val="clear" w:color="auto" w:fill="EEF2F9"/>
          </w:tcPr>
          <w:p>
            <w:pPr>
              <w:spacing w:after="60"/>
            </w:pPr>
            <w:r>
              <w:rPr>
                <w:i/>
                <w:color w:val="262626"/>
                <w:sz w:val="19"/>
              </w:rPr>
              <w:t>“You saw we just reaffirmed guidance for 2026 at 7.5%-9%.”</w:t>
            </w:r>
          </w:p>
          <w:p>
            <w:pPr>
              <w:spacing w:after="0"/>
            </w:pPr>
            <w:r>
              <w:rPr>
                <w:b w:val="0"/>
                <w:i w:val="0"/>
                <w:color w:val="1F3864"/>
                <w:sz w:val="15"/>
              </w:rPr>
              <w:t xml:space="preserve">— Matt Calderone (CFO), Investor Day 2026, 2026-05-12 · Quartr t=8007.2s </w:t>
            </w:r>
            <w:r>
              <w:rPr>
                <w:b/>
                <w:color w:val="2E548C"/>
                <w:sz w:val="12"/>
              </w:rPr>
              <w:t>[IR]</w:t>
            </w:r>
          </w:p>
        </w:tc>
      </w:tr>
    </w:tbl>
    <w:p>
      <w:pPr>
        <w:spacing w:after="40"/>
      </w:pPr>
    </w:p>
    <w:p>
      <w:r>
        <w:rPr>
          <w:b w:val="0"/>
          <w:i w:val="0"/>
        </w:rPr>
        <w:t xml:space="preserve">At reaffirmation, Q1-26 organic constant-currency growth was ≈ (455 − 4)/420 − 1 ≈ 7.4% </w:t>
      </w:r>
      <w:r>
        <w:rPr>
          <w:b/>
          <w:color w:val="2E548C"/>
          <w:sz w:val="16"/>
        </w:rPr>
        <w:t>[C]</w:t>
      </w:r>
      <w:r>
        <w:rPr>
          <w:b w:val="0"/>
          <w:i w:val="0"/>
        </w:rPr>
        <w:t xml:space="preserve"> — below the 7.5% floor (rounded inputs, ±0.3pt), and the Q1 numbers had been public in the Form 10 five days earlier. Q2-26 grew 6.6% reported, ≈6.4% ex-FX </w:t>
      </w:r>
      <w:r>
        <w:rPr>
          <w:b/>
          <w:color w:val="2E548C"/>
          <w:sz w:val="16"/>
        </w:rPr>
        <w:t>[C]</w:t>
      </w:r>
      <w:r>
        <w:rPr>
          <w:b w:val="0"/>
          <w:i w:val="0"/>
        </w:rPr>
        <w:t xml:space="preserve">; 1H-26 7.45% reported, ≈6.9% ex-FX </w:t>
      </w:r>
      <w:r>
        <w:rPr>
          <w:b/>
          <w:color w:val="2E548C"/>
          <w:sz w:val="16"/>
        </w:rPr>
        <w:t>[C]</w:t>
      </w:r>
      <w:r>
        <w:rPr>
          <w:b w:val="0"/>
          <w:i w:val="0"/>
        </w:rPr>
        <w:t xml:space="preserve">. On a like-for-like OCC basis the cut is ~0.9–1.6pt </w:t>
      </w:r>
      <w:r>
        <w:rPr>
          <w:b/>
          <w:color w:val="2E548C"/>
          <w:sz w:val="16"/>
        </w:rPr>
        <w:t>[C]</w:t>
      </w:r>
      <w:r>
        <w:rPr>
          <w:b w:val="0"/>
          <w:i w:val="0"/>
        </w:rPr>
        <w:t>, not the 0.6–1.3pt the headline implies (D4 §4).</w:t>
      </w:r>
    </w:p>
    <w:tbl>
      <w:tblPr>
        <w:tblW w:type="auto" w:w="0"/>
        <w:jc w:val="center"/>
        <w:tblLook w:firstColumn="1" w:firstRow="1" w:lastColumn="0" w:lastRow="0" w:noHBand="0" w:noVBand="1" w:val="04A0"/>
        <w:tblBorders>
          <w:top w:val="nil" w:sz="0" w:space="0" w:color="auto"/>
          <w:left w:val="single" w:sz="24" w:space="0" w:color="1F3864"/>
          <w:bottom w:val="nil" w:sz="0" w:space="0" w:color="auto"/>
          <w:right w:val="nil" w:sz="0" w:space="0" w:color="auto"/>
          <w:insideH w:val="nil" w:sz="0" w:space="0" w:color="auto"/>
          <w:insideV w:val="nil" w:sz="0" w:space="0" w:color="auto"/>
        </w:tblBorders>
        <w:tblCellMar>
          <w:top w:w="90" w:type="dxa"/>
          <w:left w:w="160" w:type="dxa"/>
          <w:bottom w:w="90" w:type="dxa"/>
          <w:right w:w="120" w:type="dxa"/>
        </w:tblCellMar>
      </w:tblPr>
      <w:tblGrid>
        <w:gridCol w:w="8928"/>
      </w:tblGrid>
      <w:tr>
        <w:trPr>
          <w:cantSplit/>
        </w:trPr>
        <w:tc>
          <w:tcPr>
            <w:tcW w:type="dxa" w:w="8928"/>
            <w:shd w:val="clear" w:color="auto" w:fill="EEF2F9"/>
          </w:tcPr>
          <w:p>
            <w:pPr>
              <w:spacing w:after="60"/>
            </w:pPr>
            <w:r>
              <w:rPr>
                <w:i/>
                <w:color w:val="262626"/>
                <w:sz w:val="19"/>
              </w:rPr>
              <w:t>“Given our first half top-line performance, we are lowering our full year revenue guidance to 6.9%-7.7% growth for the year.”</w:t>
            </w:r>
          </w:p>
          <w:p>
            <w:pPr>
              <w:spacing w:after="0"/>
            </w:pPr>
            <w:r>
              <w:rPr>
                <w:b w:val="0"/>
                <w:i w:val="0"/>
                <w:color w:val="1F3864"/>
                <w:sz w:val="15"/>
              </w:rPr>
              <w:t xml:space="preserve">— Bill Eager (CEO), Q2 2026 Earnings Call, 2026-08-07 · Quartr t=243.34s </w:t>
            </w:r>
            <w:r>
              <w:rPr>
                <w:b/>
                <w:color w:val="2E548C"/>
                <w:sz w:val="12"/>
              </w:rPr>
              <w:t>[IR]</w:t>
            </w:r>
          </w:p>
        </w:tc>
      </w:tr>
    </w:tbl>
    <w:p>
      <w:pPr>
        <w:spacing w:after="40"/>
      </w:pPr>
    </w:p>
    <w:p>
      <w:pPr>
        <w:keepNext/>
        <w:spacing w:before="80" w:after="40"/>
      </w:pPr>
      <w:r>
        <w:rPr>
          <w:b/>
          <w:i w:val="0"/>
          <w:color w:val="1F3864"/>
          <w:sz w:val="17"/>
        </w:rPr>
        <w:t xml:space="preserve">Exhibit 10.2 — What the new FY26 guide implies for 2H-26 </w:t>
      </w:r>
      <w:r>
        <w:rPr>
          <w:b/>
          <w:color w:val="2E548C"/>
          <w:sz w:val="14"/>
        </w:rPr>
        <w:t>[C]</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4896"/>
        <w:gridCol w:w="2448"/>
        <w:gridCol w:w="2448"/>
      </w:tblGrid>
      <w:tr>
        <w:trPr>
          <w:cantSplit/>
          <w:tblHeader/>
        </w:trPr>
        <w:tc>
          <w:tcPr>
            <w:tcW w:type="dxa" w:w="4896"/>
            <w:shd w:val="clear" w:color="auto" w:fill="1F3864"/>
          </w:tcPr>
          <w:p>
            <w:pPr>
              <w:spacing w:after="0" w:line="240" w:lineRule="auto"/>
            </w:pPr>
            <w:r>
              <w:rPr>
                <w:b/>
                <w:i w:val="0"/>
                <w:color w:val="FFFFFF"/>
                <w:sz w:val="16"/>
              </w:rPr>
              <w:t>$m</w:t>
            </w:r>
          </w:p>
        </w:tc>
        <w:tc>
          <w:tcPr>
            <w:tcW w:type="dxa" w:w="2448"/>
            <w:shd w:val="clear" w:color="auto" w:fill="1F3864"/>
          </w:tcPr>
          <w:p>
            <w:pPr>
              <w:spacing w:after="0" w:line="240" w:lineRule="auto"/>
              <w:jc w:val="right"/>
            </w:pPr>
            <w:r>
              <w:rPr>
                <w:b/>
                <w:i w:val="0"/>
                <w:color w:val="FFFFFF"/>
                <w:sz w:val="16"/>
              </w:rPr>
              <w:t>Low</w:t>
            </w:r>
          </w:p>
        </w:tc>
        <w:tc>
          <w:tcPr>
            <w:tcW w:type="dxa" w:w="2448"/>
            <w:shd w:val="clear" w:color="auto" w:fill="1F3864"/>
          </w:tcPr>
          <w:p>
            <w:pPr>
              <w:spacing w:after="0" w:line="240" w:lineRule="auto"/>
              <w:jc w:val="right"/>
            </w:pPr>
            <w:r>
              <w:rPr>
                <w:b/>
                <w:i w:val="0"/>
                <w:color w:val="FFFFFF"/>
                <w:sz w:val="16"/>
              </w:rPr>
              <w:t>High</w:t>
            </w:r>
          </w:p>
        </w:tc>
      </w:tr>
      <w:tr>
        <w:trPr>
          <w:cantSplit/>
        </w:trPr>
        <w:tc>
          <w:tcPr>
            <w:tcW w:type="dxa" w:w="4896"/>
          </w:tcPr>
          <w:p>
            <w:pPr>
              <w:spacing w:after="0" w:line="240" w:lineRule="auto"/>
            </w:pPr>
            <w:r>
              <w:rPr>
                <w:b w:val="0"/>
                <w:i w:val="0"/>
                <w:sz w:val="16"/>
              </w:rPr>
              <w:t>FY26 revenue</w:t>
            </w:r>
          </w:p>
        </w:tc>
        <w:tc>
          <w:tcPr>
            <w:tcW w:type="dxa" w:w="2448"/>
          </w:tcPr>
          <w:p>
            <w:pPr>
              <w:spacing w:after="0" w:line="240" w:lineRule="auto"/>
              <w:jc w:val="right"/>
            </w:pPr>
            <w:r>
              <w:rPr>
                <w:b w:val="0"/>
                <w:i w:val="0"/>
                <w:sz w:val="16"/>
              </w:rPr>
              <w:t>1,870</w:t>
            </w:r>
          </w:p>
        </w:tc>
        <w:tc>
          <w:tcPr>
            <w:tcW w:type="dxa" w:w="2448"/>
          </w:tcPr>
          <w:p>
            <w:pPr>
              <w:spacing w:after="0" w:line="240" w:lineRule="auto"/>
              <w:jc w:val="right"/>
            </w:pPr>
            <w:r>
              <w:rPr>
                <w:b w:val="0"/>
                <w:i w:val="0"/>
                <w:sz w:val="16"/>
              </w:rPr>
              <w:t>1,885</w:t>
            </w:r>
          </w:p>
        </w:tc>
      </w:tr>
      <w:tr>
        <w:trPr>
          <w:cantSplit/>
        </w:trPr>
        <w:tc>
          <w:tcPr>
            <w:tcW w:type="dxa" w:w="4896"/>
            <w:shd w:val="clear" w:color="auto" w:fill="D9E1F2"/>
          </w:tcPr>
          <w:p>
            <w:pPr>
              <w:spacing w:after="0" w:line="240" w:lineRule="auto"/>
            </w:pPr>
            <w:r>
              <w:rPr>
                <w:b w:val="0"/>
                <w:i w:val="0"/>
                <w:sz w:val="16"/>
              </w:rPr>
              <w:t xml:space="preserve">less 1H-26 actual 923 </w:t>
            </w:r>
            <w:r>
              <w:rPr>
                <w:b/>
                <w:color w:val="2E548C"/>
                <w:sz w:val="13"/>
              </w:rPr>
              <w:t>[D]</w:t>
            </w:r>
            <w:r>
              <w:rPr>
                <w:b w:val="0"/>
                <w:i w:val="0"/>
                <w:sz w:val="16"/>
              </w:rPr>
              <w:t xml:space="preserve"> → 2H-26</w:t>
            </w:r>
          </w:p>
        </w:tc>
        <w:tc>
          <w:tcPr>
            <w:tcW w:type="dxa" w:w="2448"/>
            <w:shd w:val="clear" w:color="auto" w:fill="D9E1F2"/>
          </w:tcPr>
          <w:p>
            <w:pPr>
              <w:spacing w:after="0" w:line="240" w:lineRule="auto"/>
              <w:jc w:val="right"/>
            </w:pPr>
            <w:r>
              <w:rPr>
                <w:b w:val="0"/>
                <w:i w:val="0"/>
                <w:sz w:val="16"/>
              </w:rPr>
              <w:t>947</w:t>
            </w:r>
          </w:p>
        </w:tc>
        <w:tc>
          <w:tcPr>
            <w:tcW w:type="dxa" w:w="2448"/>
            <w:shd w:val="clear" w:color="auto" w:fill="D9E1F2"/>
          </w:tcPr>
          <w:p>
            <w:pPr>
              <w:spacing w:after="0" w:line="240" w:lineRule="auto"/>
              <w:jc w:val="right"/>
            </w:pPr>
            <w:r>
              <w:rPr>
                <w:b w:val="0"/>
                <w:i w:val="0"/>
                <w:sz w:val="16"/>
              </w:rPr>
              <w:t>962</w:t>
            </w:r>
          </w:p>
        </w:tc>
      </w:tr>
      <w:tr>
        <w:trPr>
          <w:cantSplit/>
        </w:trPr>
        <w:tc>
          <w:tcPr>
            <w:tcW w:type="dxa" w:w="4896"/>
          </w:tcPr>
          <w:p>
            <w:pPr>
              <w:spacing w:after="0" w:line="240" w:lineRule="auto"/>
            </w:pPr>
            <w:r>
              <w:rPr>
                <w:b w:val="0"/>
                <w:i w:val="0"/>
                <w:sz w:val="16"/>
              </w:rPr>
              <w:t>2H growth vs 891</w:t>
            </w:r>
          </w:p>
        </w:tc>
        <w:tc>
          <w:tcPr>
            <w:tcW w:type="dxa" w:w="2448"/>
          </w:tcPr>
          <w:p>
            <w:pPr>
              <w:spacing w:after="0" w:line="240" w:lineRule="auto"/>
              <w:jc w:val="right"/>
            </w:pPr>
            <w:r>
              <w:rPr>
                <w:b/>
                <w:i w:val="0"/>
                <w:sz w:val="16"/>
              </w:rPr>
              <w:t>+6.3%</w:t>
            </w:r>
          </w:p>
        </w:tc>
        <w:tc>
          <w:tcPr>
            <w:tcW w:type="dxa" w:w="2448"/>
          </w:tcPr>
          <w:p>
            <w:pPr>
              <w:spacing w:after="0" w:line="240" w:lineRule="auto"/>
              <w:jc w:val="right"/>
            </w:pPr>
            <w:r>
              <w:rPr>
                <w:b/>
                <w:i w:val="0"/>
                <w:sz w:val="16"/>
              </w:rPr>
              <w:t>+8.0%</w:t>
            </w:r>
          </w:p>
        </w:tc>
      </w:tr>
      <w:tr>
        <w:trPr>
          <w:cantSplit/>
        </w:trPr>
        <w:tc>
          <w:tcPr>
            <w:tcW w:type="dxa" w:w="4896"/>
            <w:shd w:val="clear" w:color="auto" w:fill="D9E1F2"/>
          </w:tcPr>
          <w:p>
            <w:pPr>
              <w:spacing w:after="0" w:line="240" w:lineRule="auto"/>
            </w:pPr>
            <w:r>
              <w:rPr>
                <w:b w:val="0"/>
                <w:i w:val="0"/>
                <w:sz w:val="16"/>
              </w:rPr>
              <w:t>FY26 Adj. EBITDA</w:t>
            </w:r>
          </w:p>
        </w:tc>
        <w:tc>
          <w:tcPr>
            <w:tcW w:type="dxa" w:w="2448"/>
            <w:shd w:val="clear" w:color="auto" w:fill="D9E1F2"/>
          </w:tcPr>
          <w:p>
            <w:pPr>
              <w:spacing w:after="0" w:line="240" w:lineRule="auto"/>
              <w:jc w:val="right"/>
            </w:pPr>
            <w:r>
              <w:rPr>
                <w:b w:val="0"/>
                <w:i w:val="0"/>
                <w:sz w:val="16"/>
              </w:rPr>
              <w:t>745</w:t>
            </w:r>
          </w:p>
        </w:tc>
        <w:tc>
          <w:tcPr>
            <w:tcW w:type="dxa" w:w="2448"/>
            <w:shd w:val="clear" w:color="auto" w:fill="D9E1F2"/>
          </w:tcPr>
          <w:p>
            <w:pPr>
              <w:spacing w:after="0" w:line="240" w:lineRule="auto"/>
              <w:jc w:val="right"/>
            </w:pPr>
            <w:r>
              <w:rPr>
                <w:b w:val="0"/>
                <w:i w:val="0"/>
                <w:sz w:val="16"/>
              </w:rPr>
              <w:t>760</w:t>
            </w:r>
          </w:p>
        </w:tc>
      </w:tr>
      <w:tr>
        <w:trPr>
          <w:cantSplit/>
        </w:trPr>
        <w:tc>
          <w:tcPr>
            <w:tcW w:type="dxa" w:w="4896"/>
          </w:tcPr>
          <w:p>
            <w:pPr>
              <w:spacing w:after="0" w:line="240" w:lineRule="auto"/>
            </w:pPr>
            <w:r>
              <w:rPr>
                <w:b w:val="0"/>
                <w:i w:val="0"/>
                <w:sz w:val="16"/>
              </w:rPr>
              <w:t xml:space="preserve">less 1H-26 actual 386 </w:t>
            </w:r>
            <w:r>
              <w:rPr>
                <w:b/>
                <w:color w:val="2E548C"/>
                <w:sz w:val="13"/>
              </w:rPr>
              <w:t>[D]</w:t>
            </w:r>
            <w:r>
              <w:rPr>
                <w:b w:val="0"/>
                <w:i w:val="0"/>
                <w:sz w:val="16"/>
              </w:rPr>
              <w:t xml:space="preserve"> → 2H-26</w:t>
            </w:r>
          </w:p>
        </w:tc>
        <w:tc>
          <w:tcPr>
            <w:tcW w:type="dxa" w:w="2448"/>
          </w:tcPr>
          <w:p>
            <w:pPr>
              <w:spacing w:after="0" w:line="240" w:lineRule="auto"/>
              <w:jc w:val="right"/>
            </w:pPr>
            <w:r>
              <w:rPr>
                <w:b w:val="0"/>
                <w:i w:val="0"/>
                <w:sz w:val="16"/>
              </w:rPr>
              <w:t>359</w:t>
            </w:r>
          </w:p>
        </w:tc>
        <w:tc>
          <w:tcPr>
            <w:tcW w:type="dxa" w:w="2448"/>
          </w:tcPr>
          <w:p>
            <w:pPr>
              <w:spacing w:after="0" w:line="240" w:lineRule="auto"/>
              <w:jc w:val="right"/>
            </w:pPr>
            <w:r>
              <w:rPr>
                <w:b w:val="0"/>
                <w:i w:val="0"/>
                <w:sz w:val="16"/>
              </w:rPr>
              <w:t>374</w:t>
            </w:r>
          </w:p>
        </w:tc>
      </w:tr>
      <w:tr>
        <w:trPr>
          <w:cantSplit/>
        </w:trPr>
        <w:tc>
          <w:tcPr>
            <w:tcW w:type="dxa" w:w="4896"/>
            <w:shd w:val="clear" w:color="auto" w:fill="D9E1F2"/>
          </w:tcPr>
          <w:p>
            <w:pPr>
              <w:spacing w:after="0" w:line="240" w:lineRule="auto"/>
            </w:pPr>
            <w:r>
              <w:rPr>
                <w:b w:val="0"/>
                <w:i w:val="0"/>
                <w:sz w:val="16"/>
              </w:rPr>
              <w:t>2H Adj. EBITDA growth vs ~354</w:t>
            </w:r>
          </w:p>
        </w:tc>
        <w:tc>
          <w:tcPr>
            <w:tcW w:type="dxa" w:w="2448"/>
            <w:shd w:val="clear" w:color="auto" w:fill="D9E1F2"/>
          </w:tcPr>
          <w:p>
            <w:pPr>
              <w:spacing w:after="0" w:line="240" w:lineRule="auto"/>
              <w:jc w:val="right"/>
            </w:pPr>
            <w:r>
              <w:rPr>
                <w:b/>
                <w:i w:val="0"/>
                <w:sz w:val="16"/>
              </w:rPr>
              <w:t>+1.4%</w:t>
            </w:r>
          </w:p>
        </w:tc>
        <w:tc>
          <w:tcPr>
            <w:tcW w:type="dxa" w:w="2448"/>
            <w:shd w:val="clear" w:color="auto" w:fill="D9E1F2"/>
          </w:tcPr>
          <w:p>
            <w:pPr>
              <w:spacing w:after="0" w:line="240" w:lineRule="auto"/>
              <w:jc w:val="right"/>
            </w:pPr>
            <w:r>
              <w:rPr>
                <w:b/>
                <w:i w:val="0"/>
                <w:sz w:val="16"/>
              </w:rPr>
              <w:t>+5.6%</w:t>
            </w:r>
          </w:p>
        </w:tc>
      </w:tr>
      <w:tr>
        <w:trPr>
          <w:cantSplit/>
        </w:trPr>
        <w:tc>
          <w:tcPr>
            <w:tcW w:type="dxa" w:w="4896"/>
          </w:tcPr>
          <w:p>
            <w:pPr>
              <w:spacing w:after="0" w:line="240" w:lineRule="auto"/>
            </w:pPr>
            <w:r>
              <w:rPr>
                <w:b w:val="0"/>
                <w:i w:val="0"/>
                <w:sz w:val="16"/>
              </w:rPr>
              <w:t>2H margin</w:t>
            </w:r>
          </w:p>
        </w:tc>
        <w:tc>
          <w:tcPr>
            <w:tcW w:type="dxa" w:w="2448"/>
          </w:tcPr>
          <w:p>
            <w:pPr>
              <w:spacing w:after="0" w:line="240" w:lineRule="auto"/>
              <w:jc w:val="right"/>
            </w:pPr>
            <w:r>
              <w:rPr>
                <w:b/>
                <w:i w:val="0"/>
                <w:sz w:val="16"/>
              </w:rPr>
              <w:t>37.9%</w:t>
            </w:r>
          </w:p>
        </w:tc>
        <w:tc>
          <w:tcPr>
            <w:tcW w:type="dxa" w:w="2448"/>
          </w:tcPr>
          <w:p>
            <w:pPr>
              <w:spacing w:after="0" w:line="240" w:lineRule="auto"/>
              <w:jc w:val="right"/>
            </w:pPr>
            <w:r>
              <w:rPr>
                <w:b/>
                <w:i w:val="0"/>
                <w:sz w:val="16"/>
              </w:rPr>
              <w:t>38.9%</w:t>
            </w:r>
          </w:p>
        </w:tc>
      </w:tr>
      <w:tr>
        <w:trPr>
          <w:cantSplit/>
        </w:trPr>
        <w:tc>
          <w:tcPr>
            <w:tcW w:type="dxa" w:w="4896"/>
            <w:shd w:val="clear" w:color="auto" w:fill="D9E1F2"/>
          </w:tcPr>
          <w:p>
            <w:pPr>
              <w:spacing w:after="0" w:line="240" w:lineRule="auto"/>
            </w:pPr>
            <w:r>
              <w:rPr>
                <w:b w:val="0"/>
                <w:i w:val="0"/>
                <w:sz w:val="16"/>
              </w:rPr>
              <w:t>2H-25 margin (354/891)</w:t>
            </w:r>
          </w:p>
        </w:tc>
        <w:tc>
          <w:tcPr>
            <w:tcW w:type="dxa" w:w="2448"/>
            <w:shd w:val="clear" w:color="auto" w:fill="D9E1F2"/>
          </w:tcPr>
          <w:p>
            <w:pPr>
              <w:spacing w:after="0" w:line="240" w:lineRule="auto"/>
              <w:jc w:val="right"/>
            </w:pPr>
            <w:r>
              <w:rPr>
                <w:b w:val="0"/>
                <w:i w:val="0"/>
                <w:sz w:val="16"/>
              </w:rPr>
              <w:t>39.7%</w:t>
            </w:r>
          </w:p>
        </w:tc>
        <w:tc>
          <w:tcPr>
            <w:tcW w:type="dxa" w:w="2448"/>
            <w:shd w:val="clear" w:color="auto" w:fill="D9E1F2"/>
          </w:tcPr>
          <w:p>
            <w:pPr>
              <w:spacing w:after="0" w:line="240" w:lineRule="auto"/>
              <w:jc w:val="right"/>
            </w:pPr>
            <w:r>
              <w:rPr>
                <w:b w:val="0"/>
                <w:i w:val="0"/>
                <w:sz w:val="16"/>
              </w:rPr>
              <w:t>39.7%</w:t>
            </w:r>
          </w:p>
        </w:tc>
      </w:tr>
    </w:tbl>
    <w:p>
      <w:pPr>
        <w:spacing w:after="120"/>
      </w:pPr>
      <w:r>
        <w:rPr>
          <w:b w:val="0"/>
          <w:i/>
          <w:color w:val="595959"/>
          <w:sz w:val="15"/>
        </w:rPr>
        <w:t xml:space="preserve">Source: D10 §3. 2H-25 Adj. EBITDA (~354) mixes the 10/A FY definition and the 10-Q 1H recast (D4 §5). FY margin check: 39.8%–40.3% </w:t>
      </w:r>
      <w:r>
        <w:rPr>
          <w:b/>
          <w:color w:val="2E548C"/>
          <w:sz w:val="12"/>
        </w:rPr>
        <w:t>[C]</w:t>
      </w:r>
      <w:r>
        <w:rPr>
          <w:b w:val="0"/>
          <w:i/>
          <w:color w:val="595959"/>
          <w:sz w:val="15"/>
        </w:rPr>
        <w:t>.</w:t>
      </w:r>
    </w:p>
    <w:p>
      <w:pPr>
        <w:keepNext/>
        <w:spacing w:before="80" w:after="40"/>
      </w:pPr>
      <w:r>
        <w:rPr>
          <w:b/>
          <w:i w:val="0"/>
          <w:color w:val="1F3864"/>
          <w:sz w:val="17"/>
        </w:rPr>
        <w:t xml:space="preserve">Exhibit 10.3 — Quarterly actuals vs prior year </w:t>
      </w:r>
      <w:r>
        <w:rPr>
          <w:b/>
          <w:color w:val="2E548C"/>
          <w:sz w:val="14"/>
        </w:rPr>
        <w:t>[D]</w:t>
      </w:r>
      <w:r>
        <w:rPr>
          <w:b/>
          <w:i w:val="0"/>
          <w:color w:val="1F3864"/>
          <w:sz w:val="17"/>
        </w:rPr>
        <w:t>/</w:t>
      </w:r>
      <w:r>
        <w:rPr>
          <w:b/>
          <w:color w:val="2E548C"/>
          <w:sz w:val="14"/>
        </w:rPr>
        <w:t>[C]</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160"/>
        <w:gridCol w:w="1296"/>
        <w:gridCol w:w="1440"/>
        <w:gridCol w:w="1440"/>
        <w:gridCol w:w="1584"/>
        <w:gridCol w:w="1872"/>
      </w:tblGrid>
      <w:tr>
        <w:trPr>
          <w:cantSplit/>
          <w:tblHeader/>
        </w:trPr>
        <w:tc>
          <w:tcPr>
            <w:tcW w:type="dxa" w:w="2160"/>
            <w:shd w:val="clear" w:color="auto" w:fill="1F3864"/>
          </w:tcPr>
          <w:p>
            <w:pPr>
              <w:spacing w:after="0" w:line="240" w:lineRule="auto"/>
            </w:pPr>
          </w:p>
        </w:tc>
        <w:tc>
          <w:tcPr>
            <w:tcW w:type="dxa" w:w="1296"/>
            <w:shd w:val="clear" w:color="auto" w:fill="1F3864"/>
          </w:tcPr>
          <w:p>
            <w:pPr>
              <w:spacing w:after="0" w:line="240" w:lineRule="auto"/>
            </w:pPr>
            <w:r>
              <w:rPr>
                <w:b/>
                <w:i w:val="0"/>
                <w:color w:val="FFFFFF"/>
                <w:sz w:val="15"/>
              </w:rPr>
              <w:t>Q1-25</w:t>
            </w:r>
          </w:p>
        </w:tc>
        <w:tc>
          <w:tcPr>
            <w:tcW w:type="dxa" w:w="1440"/>
            <w:shd w:val="clear" w:color="auto" w:fill="1F3864"/>
          </w:tcPr>
          <w:p>
            <w:pPr>
              <w:spacing w:after="0" w:line="240" w:lineRule="auto"/>
            </w:pPr>
            <w:r>
              <w:rPr>
                <w:b/>
                <w:i w:val="0"/>
                <w:color w:val="FFFFFF"/>
                <w:sz w:val="15"/>
              </w:rPr>
              <w:t>Q2-25</w:t>
            </w:r>
          </w:p>
        </w:tc>
        <w:tc>
          <w:tcPr>
            <w:tcW w:type="dxa" w:w="1440"/>
            <w:shd w:val="clear" w:color="auto" w:fill="1F3864"/>
          </w:tcPr>
          <w:p>
            <w:pPr>
              <w:spacing w:after="0" w:line="240" w:lineRule="auto"/>
            </w:pPr>
            <w:r>
              <w:rPr>
                <w:b/>
                <w:i w:val="0"/>
                <w:color w:val="FFFFFF"/>
                <w:sz w:val="15"/>
              </w:rPr>
              <w:t>Q1-26</w:t>
            </w:r>
          </w:p>
        </w:tc>
        <w:tc>
          <w:tcPr>
            <w:tcW w:type="dxa" w:w="1584"/>
            <w:shd w:val="clear" w:color="auto" w:fill="1F3864"/>
          </w:tcPr>
          <w:p>
            <w:pPr>
              <w:spacing w:after="0" w:line="240" w:lineRule="auto"/>
            </w:pPr>
            <w:r>
              <w:rPr>
                <w:b/>
                <w:i w:val="0"/>
                <w:color w:val="FFFFFF"/>
                <w:sz w:val="15"/>
              </w:rPr>
              <w:t>Q2-26</w:t>
            </w:r>
          </w:p>
        </w:tc>
        <w:tc>
          <w:tcPr>
            <w:tcW w:type="dxa" w:w="1872"/>
            <w:shd w:val="clear" w:color="auto" w:fill="1F3864"/>
          </w:tcPr>
          <w:p>
            <w:pPr>
              <w:spacing w:after="0" w:line="240" w:lineRule="auto"/>
            </w:pPr>
            <w:r>
              <w:rPr>
                <w:b/>
                <w:i w:val="0"/>
                <w:color w:val="FFFFFF"/>
                <w:sz w:val="15"/>
              </w:rPr>
              <w:t>1H-26 vs 1H-25</w:t>
            </w:r>
          </w:p>
        </w:tc>
      </w:tr>
      <w:tr>
        <w:trPr>
          <w:cantSplit/>
        </w:trPr>
        <w:tc>
          <w:tcPr>
            <w:tcW w:type="dxa" w:w="2160"/>
          </w:tcPr>
          <w:p>
            <w:pPr>
              <w:spacing w:after="0" w:line="240" w:lineRule="auto"/>
            </w:pPr>
            <w:r>
              <w:rPr>
                <w:b w:val="0"/>
                <w:i w:val="0"/>
                <w:sz w:val="15"/>
              </w:rPr>
              <w:t>Revenue, $m</w:t>
            </w:r>
          </w:p>
        </w:tc>
        <w:tc>
          <w:tcPr>
            <w:tcW w:type="dxa" w:w="1296"/>
          </w:tcPr>
          <w:p>
            <w:pPr>
              <w:spacing w:after="0" w:line="240" w:lineRule="auto"/>
            </w:pPr>
            <w:r>
              <w:rPr>
                <w:b w:val="0"/>
                <w:i w:val="0"/>
                <w:sz w:val="15"/>
              </w:rPr>
              <w:t xml:space="preserve">420 </w:t>
            </w:r>
            <w:r>
              <w:rPr>
                <w:b/>
                <w:color w:val="2E548C"/>
                <w:sz w:val="12"/>
              </w:rPr>
              <w:t>[D]</w:t>
            </w:r>
          </w:p>
        </w:tc>
        <w:tc>
          <w:tcPr>
            <w:tcW w:type="dxa" w:w="1440"/>
          </w:tcPr>
          <w:p>
            <w:pPr>
              <w:spacing w:after="0" w:line="240" w:lineRule="auto"/>
            </w:pPr>
            <w:r>
              <w:rPr>
                <w:b w:val="0"/>
                <w:i w:val="0"/>
                <w:sz w:val="15"/>
              </w:rPr>
              <w:t xml:space="preserve">439 </w:t>
            </w:r>
            <w:r>
              <w:rPr>
                <w:b/>
                <w:color w:val="2E548C"/>
                <w:sz w:val="12"/>
              </w:rPr>
              <w:t>[D]</w:t>
            </w:r>
          </w:p>
        </w:tc>
        <w:tc>
          <w:tcPr>
            <w:tcW w:type="dxa" w:w="1440"/>
          </w:tcPr>
          <w:p>
            <w:pPr>
              <w:spacing w:after="0" w:line="240" w:lineRule="auto"/>
            </w:pPr>
            <w:r>
              <w:rPr>
                <w:b w:val="0"/>
                <w:i w:val="0"/>
                <w:sz w:val="15"/>
              </w:rPr>
              <w:t xml:space="preserve">455 </w:t>
            </w:r>
            <w:r>
              <w:rPr>
                <w:b/>
                <w:color w:val="2E548C"/>
                <w:sz w:val="12"/>
              </w:rPr>
              <w:t>[D]</w:t>
            </w:r>
          </w:p>
        </w:tc>
        <w:tc>
          <w:tcPr>
            <w:tcW w:type="dxa" w:w="1584"/>
          </w:tcPr>
          <w:p>
            <w:pPr>
              <w:spacing w:after="0" w:line="240" w:lineRule="auto"/>
            </w:pPr>
            <w:r>
              <w:rPr>
                <w:b w:val="0"/>
                <w:i w:val="0"/>
                <w:sz w:val="15"/>
              </w:rPr>
              <w:t xml:space="preserve">468 </w:t>
            </w:r>
            <w:r>
              <w:rPr>
                <w:b/>
                <w:color w:val="2E548C"/>
                <w:sz w:val="12"/>
              </w:rPr>
              <w:t>[D]</w:t>
            </w:r>
          </w:p>
        </w:tc>
        <w:tc>
          <w:tcPr>
            <w:tcW w:type="dxa" w:w="1872"/>
          </w:tcPr>
          <w:p>
            <w:pPr>
              <w:spacing w:after="0" w:line="240" w:lineRule="auto"/>
            </w:pPr>
            <w:r>
              <w:rPr>
                <w:b w:val="0"/>
                <w:i w:val="0"/>
                <w:sz w:val="15"/>
              </w:rPr>
              <w:t xml:space="preserve">923 vs 859, +7.45% </w:t>
            </w:r>
            <w:r>
              <w:rPr>
                <w:b/>
                <w:color w:val="2E548C"/>
                <w:sz w:val="12"/>
              </w:rPr>
              <w:t>[C]</w:t>
            </w:r>
          </w:p>
        </w:tc>
      </w:tr>
      <w:tr>
        <w:trPr>
          <w:cantSplit/>
        </w:trPr>
        <w:tc>
          <w:tcPr>
            <w:tcW w:type="dxa" w:w="2160"/>
            <w:shd w:val="clear" w:color="auto" w:fill="D9E1F2"/>
          </w:tcPr>
          <w:p>
            <w:pPr>
              <w:spacing w:after="0" w:line="240" w:lineRule="auto"/>
            </w:pPr>
            <w:r>
              <w:rPr>
                <w:b w:val="0"/>
                <w:i w:val="0"/>
                <w:sz w:val="15"/>
              </w:rPr>
              <w:t>Reported growth</w:t>
            </w:r>
          </w:p>
        </w:tc>
        <w:tc>
          <w:tcPr>
            <w:tcW w:type="dxa" w:w="1296"/>
            <w:shd w:val="clear" w:color="auto" w:fill="D9E1F2"/>
          </w:tcPr>
          <w:p>
            <w:pPr>
              <w:spacing w:after="0" w:line="240" w:lineRule="auto"/>
            </w:pPr>
            <w:r>
              <w:rPr>
                <w:b w:val="0"/>
                <w:i w:val="0"/>
                <w:sz w:val="15"/>
              </w:rPr>
              <w:t>—</w:t>
            </w:r>
          </w:p>
        </w:tc>
        <w:tc>
          <w:tcPr>
            <w:tcW w:type="dxa" w:w="1440"/>
            <w:shd w:val="clear" w:color="auto" w:fill="D9E1F2"/>
          </w:tcPr>
          <w:p>
            <w:pPr>
              <w:spacing w:after="0" w:line="240" w:lineRule="auto"/>
            </w:pPr>
            <w:r>
              <w:rPr>
                <w:b w:val="0"/>
                <w:i w:val="0"/>
                <w:sz w:val="15"/>
              </w:rPr>
              <w:t>—</w:t>
            </w:r>
          </w:p>
        </w:tc>
        <w:tc>
          <w:tcPr>
            <w:tcW w:type="dxa" w:w="1440"/>
            <w:shd w:val="clear" w:color="auto" w:fill="D9E1F2"/>
          </w:tcPr>
          <w:p>
            <w:pPr>
              <w:spacing w:after="0" w:line="240" w:lineRule="auto"/>
            </w:pPr>
            <w:r>
              <w:rPr>
                <w:b w:val="0"/>
                <w:i w:val="0"/>
                <w:sz w:val="15"/>
              </w:rPr>
              <w:t xml:space="preserve">+8.1% </w:t>
            </w:r>
            <w:r>
              <w:rPr>
                <w:b/>
                <w:color w:val="2E548C"/>
                <w:sz w:val="12"/>
              </w:rPr>
              <w:t>[D]</w:t>
            </w:r>
          </w:p>
        </w:tc>
        <w:tc>
          <w:tcPr>
            <w:tcW w:type="dxa" w:w="1584"/>
            <w:shd w:val="clear" w:color="auto" w:fill="D9E1F2"/>
          </w:tcPr>
          <w:p>
            <w:pPr>
              <w:spacing w:after="0" w:line="240" w:lineRule="auto"/>
            </w:pPr>
            <w:r>
              <w:rPr>
                <w:b w:val="0"/>
                <w:i w:val="0"/>
                <w:sz w:val="15"/>
              </w:rPr>
              <w:t xml:space="preserve">+6.6% </w:t>
            </w:r>
            <w:r>
              <w:rPr>
                <w:b/>
                <w:color w:val="2E548C"/>
                <w:sz w:val="12"/>
              </w:rPr>
              <w:t>[C]</w:t>
            </w:r>
            <w:r>
              <w:rPr>
                <w:b w:val="0"/>
                <w:i w:val="0"/>
                <w:sz w:val="15"/>
              </w:rPr>
              <w:t xml:space="preserve"> ("7%" </w:t>
            </w:r>
            <w:r>
              <w:rPr>
                <w:b/>
                <w:color w:val="2E548C"/>
                <w:sz w:val="12"/>
              </w:rPr>
              <w:t>[IR]</w:t>
            </w:r>
            <w:r>
              <w:rPr>
                <w:b w:val="0"/>
                <w:i w:val="0"/>
                <w:sz w:val="15"/>
              </w:rPr>
              <w:t>)</w:t>
            </w:r>
          </w:p>
        </w:tc>
        <w:tc>
          <w:tcPr>
            <w:tcW w:type="dxa" w:w="1872"/>
            <w:shd w:val="clear" w:color="auto" w:fill="D9E1F2"/>
          </w:tcPr>
          <w:p>
            <w:pPr>
              <w:spacing w:after="0" w:line="240" w:lineRule="auto"/>
            </w:pPr>
          </w:p>
        </w:tc>
      </w:tr>
      <w:tr>
        <w:trPr>
          <w:cantSplit/>
        </w:trPr>
        <w:tc>
          <w:tcPr>
            <w:tcW w:type="dxa" w:w="2160"/>
          </w:tcPr>
          <w:p>
            <w:pPr>
              <w:spacing w:after="0" w:line="240" w:lineRule="auto"/>
            </w:pPr>
            <w:r>
              <w:rPr>
                <w:b w:val="0"/>
                <w:i w:val="0"/>
                <w:sz w:val="15"/>
              </w:rPr>
              <w:t>Adj. EBITDA, $m</w:t>
            </w:r>
          </w:p>
        </w:tc>
        <w:tc>
          <w:tcPr>
            <w:tcW w:type="dxa" w:w="1296"/>
          </w:tcPr>
          <w:p>
            <w:pPr>
              <w:spacing w:after="0" w:line="240" w:lineRule="auto"/>
            </w:pPr>
            <w:r>
              <w:rPr>
                <w:b w:val="0"/>
                <w:i w:val="0"/>
                <w:sz w:val="15"/>
              </w:rPr>
              <w:t xml:space="preserve">169 </w:t>
            </w:r>
            <w:r>
              <w:rPr>
                <w:b/>
                <w:color w:val="2E548C"/>
                <w:sz w:val="12"/>
              </w:rPr>
              <w:t>[C]</w:t>
            </w:r>
            <w:r>
              <w:rPr>
                <w:b w:val="0"/>
                <w:i w:val="0"/>
                <w:sz w:val="15"/>
              </w:rPr>
              <w:t xml:space="preserve"> (10Q basis); 170 (ID)</w:t>
            </w:r>
          </w:p>
        </w:tc>
        <w:tc>
          <w:tcPr>
            <w:tcW w:type="dxa" w:w="1440"/>
          </w:tcPr>
          <w:p>
            <w:pPr>
              <w:spacing w:after="0" w:line="240" w:lineRule="auto"/>
            </w:pPr>
            <w:r>
              <w:rPr>
                <w:b w:val="0"/>
                <w:i w:val="0"/>
                <w:sz w:val="15"/>
              </w:rPr>
              <w:t xml:space="preserve">188 </w:t>
            </w:r>
            <w:r>
              <w:rPr>
                <w:b/>
                <w:color w:val="2E548C"/>
                <w:sz w:val="12"/>
              </w:rPr>
              <w:t>[D]</w:t>
            </w:r>
            <w:r>
              <w:rPr>
                <w:b w:val="0"/>
                <w:i w:val="0"/>
                <w:sz w:val="15"/>
              </w:rPr>
              <w:t xml:space="preserve"> (10Q); 186 (ID)</w:t>
            </w:r>
          </w:p>
        </w:tc>
        <w:tc>
          <w:tcPr>
            <w:tcW w:type="dxa" w:w="1440"/>
          </w:tcPr>
          <w:p>
            <w:pPr>
              <w:spacing w:after="0" w:line="240" w:lineRule="auto"/>
            </w:pPr>
            <w:r>
              <w:rPr>
                <w:b w:val="0"/>
                <w:i w:val="0"/>
                <w:sz w:val="15"/>
              </w:rPr>
              <w:t xml:space="preserve">184 </w:t>
            </w:r>
            <w:r>
              <w:rPr>
                <w:b/>
                <w:color w:val="2E548C"/>
                <w:sz w:val="12"/>
              </w:rPr>
              <w:t>[D]</w:t>
            </w:r>
          </w:p>
        </w:tc>
        <w:tc>
          <w:tcPr>
            <w:tcW w:type="dxa" w:w="1584"/>
          </w:tcPr>
          <w:p>
            <w:pPr>
              <w:spacing w:after="0" w:line="240" w:lineRule="auto"/>
            </w:pPr>
            <w:r>
              <w:rPr>
                <w:b w:val="0"/>
                <w:i w:val="0"/>
                <w:sz w:val="15"/>
              </w:rPr>
              <w:t xml:space="preserve">202 </w:t>
            </w:r>
            <w:r>
              <w:rPr>
                <w:b/>
                <w:color w:val="2E548C"/>
                <w:sz w:val="12"/>
              </w:rPr>
              <w:t>[D]</w:t>
            </w:r>
          </w:p>
        </w:tc>
        <w:tc>
          <w:tcPr>
            <w:tcW w:type="dxa" w:w="1872"/>
          </w:tcPr>
          <w:p>
            <w:pPr>
              <w:spacing w:after="0" w:line="240" w:lineRule="auto"/>
            </w:pPr>
            <w:r>
              <w:rPr>
                <w:b w:val="0"/>
                <w:i w:val="0"/>
                <w:sz w:val="15"/>
              </w:rPr>
              <w:t xml:space="preserve">386 vs 357, +8.1% </w:t>
            </w:r>
            <w:r>
              <w:rPr>
                <w:b/>
                <w:color w:val="2E548C"/>
                <w:sz w:val="12"/>
              </w:rPr>
              <w:t>[C]</w:t>
            </w:r>
          </w:p>
        </w:tc>
      </w:tr>
      <w:tr>
        <w:trPr>
          <w:cantSplit/>
        </w:trPr>
        <w:tc>
          <w:tcPr>
            <w:tcW w:type="dxa" w:w="2160"/>
            <w:shd w:val="clear" w:color="auto" w:fill="D9E1F2"/>
          </w:tcPr>
          <w:p>
            <w:pPr>
              <w:spacing w:after="0" w:line="240" w:lineRule="auto"/>
            </w:pPr>
            <w:r>
              <w:rPr>
                <w:b w:val="0"/>
                <w:i w:val="0"/>
                <w:sz w:val="15"/>
              </w:rPr>
              <w:t>Adj. EBITDA margin</w:t>
            </w:r>
          </w:p>
        </w:tc>
        <w:tc>
          <w:tcPr>
            <w:tcW w:type="dxa" w:w="1296"/>
            <w:shd w:val="clear" w:color="auto" w:fill="D9E1F2"/>
          </w:tcPr>
          <w:p>
            <w:pPr>
              <w:spacing w:after="0" w:line="240" w:lineRule="auto"/>
            </w:pPr>
            <w:r>
              <w:rPr>
                <w:b w:val="0"/>
                <w:i w:val="0"/>
                <w:sz w:val="15"/>
              </w:rPr>
              <w:t xml:space="preserve">40.2% </w:t>
            </w:r>
            <w:r>
              <w:rPr>
                <w:b/>
                <w:color w:val="2E548C"/>
                <w:sz w:val="12"/>
              </w:rPr>
              <w:t>[C]</w:t>
            </w:r>
          </w:p>
        </w:tc>
        <w:tc>
          <w:tcPr>
            <w:tcW w:type="dxa" w:w="1440"/>
            <w:shd w:val="clear" w:color="auto" w:fill="D9E1F2"/>
          </w:tcPr>
          <w:p>
            <w:pPr>
              <w:spacing w:after="0" w:line="240" w:lineRule="auto"/>
            </w:pPr>
            <w:r>
              <w:rPr>
                <w:b w:val="0"/>
                <w:i w:val="0"/>
                <w:sz w:val="15"/>
              </w:rPr>
              <w:t xml:space="preserve">42.8% </w:t>
            </w:r>
            <w:r>
              <w:rPr>
                <w:b/>
                <w:color w:val="2E548C"/>
                <w:sz w:val="12"/>
              </w:rPr>
              <w:t>[C]</w:t>
            </w:r>
          </w:p>
        </w:tc>
        <w:tc>
          <w:tcPr>
            <w:tcW w:type="dxa" w:w="1440"/>
            <w:shd w:val="clear" w:color="auto" w:fill="D9E1F2"/>
          </w:tcPr>
          <w:p>
            <w:pPr>
              <w:spacing w:after="0" w:line="240" w:lineRule="auto"/>
            </w:pPr>
            <w:r>
              <w:rPr>
                <w:b w:val="0"/>
                <w:i w:val="0"/>
                <w:sz w:val="15"/>
              </w:rPr>
              <w:t xml:space="preserve">40.4% </w:t>
            </w:r>
            <w:r>
              <w:rPr>
                <w:b/>
                <w:color w:val="2E548C"/>
                <w:sz w:val="12"/>
              </w:rPr>
              <w:t>[C]</w:t>
            </w:r>
          </w:p>
        </w:tc>
        <w:tc>
          <w:tcPr>
            <w:tcW w:type="dxa" w:w="1584"/>
            <w:shd w:val="clear" w:color="auto" w:fill="D9E1F2"/>
          </w:tcPr>
          <w:p>
            <w:pPr>
              <w:spacing w:after="0" w:line="240" w:lineRule="auto"/>
            </w:pPr>
            <w:r>
              <w:rPr>
                <w:b w:val="0"/>
                <w:i w:val="0"/>
                <w:sz w:val="15"/>
              </w:rPr>
              <w:t xml:space="preserve">43.2% </w:t>
            </w:r>
            <w:r>
              <w:rPr>
                <w:b/>
                <w:color w:val="2E548C"/>
                <w:sz w:val="12"/>
              </w:rPr>
              <w:t>[D]</w:t>
            </w:r>
          </w:p>
        </w:tc>
        <w:tc>
          <w:tcPr>
            <w:tcW w:type="dxa" w:w="1872"/>
            <w:shd w:val="clear" w:color="auto" w:fill="D9E1F2"/>
          </w:tcPr>
          <w:p>
            <w:pPr>
              <w:spacing w:after="0" w:line="240" w:lineRule="auto"/>
            </w:pPr>
            <w:r>
              <w:rPr>
                <w:b w:val="0"/>
                <w:i w:val="0"/>
                <w:sz w:val="15"/>
              </w:rPr>
              <w:t xml:space="preserve">41.8% vs 41.6% </w:t>
            </w:r>
            <w:r>
              <w:rPr>
                <w:b/>
                <w:color w:val="2E548C"/>
                <w:sz w:val="12"/>
              </w:rPr>
              <w:t>[C]</w:t>
            </w:r>
          </w:p>
        </w:tc>
      </w:tr>
      <w:tr>
        <w:trPr>
          <w:cantSplit/>
        </w:trPr>
        <w:tc>
          <w:tcPr>
            <w:tcW w:type="dxa" w:w="2160"/>
          </w:tcPr>
          <w:p>
            <w:pPr>
              <w:spacing w:after="0" w:line="240" w:lineRule="auto"/>
            </w:pPr>
            <w:r>
              <w:rPr>
                <w:b w:val="0"/>
                <w:i w:val="0"/>
                <w:sz w:val="15"/>
              </w:rPr>
              <w:t>CARFAX revenue growth</w:t>
            </w:r>
          </w:p>
        </w:tc>
        <w:tc>
          <w:tcPr>
            <w:tcW w:type="dxa" w:w="1296"/>
          </w:tcPr>
          <w:p>
            <w:pPr>
              <w:spacing w:after="0" w:line="240" w:lineRule="auto"/>
            </w:pPr>
            <w:r>
              <w:rPr>
                <w:b w:val="0"/>
                <w:i w:val="0"/>
                <w:sz w:val="15"/>
              </w:rPr>
              <w:t>—</w:t>
            </w:r>
          </w:p>
        </w:tc>
        <w:tc>
          <w:tcPr>
            <w:tcW w:type="dxa" w:w="1440"/>
          </w:tcPr>
          <w:p>
            <w:pPr>
              <w:spacing w:after="0" w:line="240" w:lineRule="auto"/>
            </w:pPr>
            <w:r>
              <w:rPr>
                <w:b w:val="0"/>
                <w:i w:val="0"/>
                <w:sz w:val="15"/>
              </w:rPr>
              <w:t>—</w:t>
            </w:r>
          </w:p>
        </w:tc>
        <w:tc>
          <w:tcPr>
            <w:tcW w:type="dxa" w:w="1440"/>
          </w:tcPr>
          <w:p>
            <w:pPr>
              <w:spacing w:after="0" w:line="240" w:lineRule="auto"/>
            </w:pPr>
            <w:r>
              <w:rPr>
                <w:b w:val="0"/>
                <w:i w:val="0"/>
                <w:sz w:val="15"/>
              </w:rPr>
              <w:t xml:space="preserve">+8.4% </w:t>
            </w:r>
            <w:r>
              <w:rPr>
                <w:b/>
                <w:color w:val="2E548C"/>
                <w:sz w:val="12"/>
              </w:rPr>
              <w:t>[C]</w:t>
            </w:r>
            <w:r>
              <w:rPr>
                <w:b w:val="0"/>
                <w:i w:val="0"/>
                <w:sz w:val="15"/>
              </w:rPr>
              <w:t xml:space="preserve"> (6M 610 − Q2 312 = 298 vs 564 − 289 = 275)</w:t>
            </w:r>
          </w:p>
        </w:tc>
        <w:tc>
          <w:tcPr>
            <w:tcW w:type="dxa" w:w="1584"/>
          </w:tcPr>
          <w:p>
            <w:pPr>
              <w:spacing w:after="0" w:line="240" w:lineRule="auto"/>
            </w:pPr>
            <w:r>
              <w:rPr>
                <w:b w:val="0"/>
                <w:i w:val="0"/>
                <w:sz w:val="15"/>
              </w:rPr>
              <w:t xml:space="preserve">+8% </w:t>
            </w:r>
            <w:r>
              <w:rPr>
                <w:b/>
                <w:color w:val="2E548C"/>
                <w:sz w:val="12"/>
              </w:rPr>
              <w:t>[D]</w:t>
            </w:r>
          </w:p>
        </w:tc>
        <w:tc>
          <w:tcPr>
            <w:tcW w:type="dxa" w:w="1872"/>
          </w:tcPr>
          <w:p>
            <w:pPr>
              <w:spacing w:after="0" w:line="240" w:lineRule="auto"/>
            </w:pPr>
            <w:r>
              <w:rPr>
                <w:b w:val="0"/>
                <w:i w:val="0"/>
                <w:sz w:val="15"/>
              </w:rPr>
              <w:t xml:space="preserve">+8% </w:t>
            </w:r>
            <w:r>
              <w:rPr>
                <w:b/>
                <w:color w:val="2E548C"/>
                <w:sz w:val="12"/>
              </w:rPr>
              <w:t>[D]</w:t>
            </w:r>
          </w:p>
        </w:tc>
      </w:tr>
      <w:tr>
        <w:trPr>
          <w:cantSplit/>
        </w:trPr>
        <w:tc>
          <w:tcPr>
            <w:tcW w:type="dxa" w:w="2160"/>
            <w:shd w:val="clear" w:color="auto" w:fill="D9E1F2"/>
          </w:tcPr>
          <w:p>
            <w:pPr>
              <w:spacing w:after="0" w:line="240" w:lineRule="auto"/>
            </w:pPr>
            <w:r>
              <w:rPr>
                <w:b w:val="0"/>
                <w:i w:val="0"/>
                <w:sz w:val="15"/>
              </w:rPr>
              <w:t>B2B revenue growth</w:t>
            </w:r>
          </w:p>
        </w:tc>
        <w:tc>
          <w:tcPr>
            <w:tcW w:type="dxa" w:w="1296"/>
            <w:shd w:val="clear" w:color="auto" w:fill="D9E1F2"/>
          </w:tcPr>
          <w:p>
            <w:pPr>
              <w:spacing w:after="0" w:line="240" w:lineRule="auto"/>
            </w:pPr>
            <w:r>
              <w:rPr>
                <w:b w:val="0"/>
                <w:i w:val="0"/>
                <w:sz w:val="15"/>
              </w:rPr>
              <w:t>—</w:t>
            </w:r>
          </w:p>
        </w:tc>
        <w:tc>
          <w:tcPr>
            <w:tcW w:type="dxa" w:w="1440"/>
            <w:shd w:val="clear" w:color="auto" w:fill="D9E1F2"/>
          </w:tcPr>
          <w:p>
            <w:pPr>
              <w:spacing w:after="0" w:line="240" w:lineRule="auto"/>
            </w:pPr>
            <w:r>
              <w:rPr>
                <w:b w:val="0"/>
                <w:i w:val="0"/>
                <w:sz w:val="15"/>
              </w:rPr>
              <w:t>—</w:t>
            </w:r>
          </w:p>
        </w:tc>
        <w:tc>
          <w:tcPr>
            <w:tcW w:type="dxa" w:w="1440"/>
            <w:shd w:val="clear" w:color="auto" w:fill="D9E1F2"/>
          </w:tcPr>
          <w:p>
            <w:pPr>
              <w:spacing w:after="0" w:line="240" w:lineRule="auto"/>
            </w:pPr>
            <w:r>
              <w:rPr>
                <w:b w:val="0"/>
                <w:i w:val="0"/>
                <w:sz w:val="15"/>
              </w:rPr>
              <w:t xml:space="preserve">+8.3% </w:t>
            </w:r>
            <w:r>
              <w:rPr>
                <w:b/>
                <w:color w:val="2E548C"/>
                <w:sz w:val="12"/>
              </w:rPr>
              <w:t>[C]</w:t>
            </w:r>
            <w:r>
              <w:rPr>
                <w:b w:val="0"/>
                <w:i w:val="0"/>
                <w:sz w:val="15"/>
              </w:rPr>
              <w:t xml:space="preserve"> (157 vs 145); "8%" </w:t>
            </w:r>
            <w:r>
              <w:rPr>
                <w:b/>
                <w:color w:val="2E548C"/>
                <w:sz w:val="12"/>
              </w:rPr>
              <w:t>[IR]</w:t>
            </w:r>
          </w:p>
        </w:tc>
        <w:tc>
          <w:tcPr>
            <w:tcW w:type="dxa" w:w="1584"/>
            <w:shd w:val="clear" w:color="auto" w:fill="D9E1F2"/>
          </w:tcPr>
          <w:p>
            <w:pPr>
              <w:spacing w:after="0" w:line="240" w:lineRule="auto"/>
            </w:pPr>
            <w:r>
              <w:rPr>
                <w:b w:val="0"/>
                <w:i w:val="0"/>
                <w:sz w:val="15"/>
              </w:rPr>
              <w:t xml:space="preserve">+4% </w:t>
            </w:r>
            <w:r>
              <w:rPr>
                <w:b/>
                <w:color w:val="2E548C"/>
                <w:sz w:val="12"/>
              </w:rPr>
              <w:t>[D]</w:t>
            </w:r>
          </w:p>
        </w:tc>
        <w:tc>
          <w:tcPr>
            <w:tcW w:type="dxa" w:w="1872"/>
            <w:shd w:val="clear" w:color="auto" w:fill="D9E1F2"/>
          </w:tcPr>
          <w:p>
            <w:pPr>
              <w:spacing w:after="0" w:line="240" w:lineRule="auto"/>
            </w:pPr>
            <w:r>
              <w:rPr>
                <w:b w:val="0"/>
                <w:i w:val="0"/>
                <w:sz w:val="15"/>
              </w:rPr>
              <w:t xml:space="preserve">+6% </w:t>
            </w:r>
            <w:r>
              <w:rPr>
                <w:b/>
                <w:color w:val="2E548C"/>
                <w:sz w:val="12"/>
              </w:rPr>
              <w:t>[D]</w:t>
            </w:r>
          </w:p>
        </w:tc>
      </w:tr>
    </w:tbl>
    <w:p>
      <w:pPr>
        <w:spacing w:after="120"/>
      </w:pPr>
      <w:r>
        <w:rPr>
          <w:b w:val="0"/>
          <w:i/>
          <w:color w:val="595959"/>
          <w:sz w:val="15"/>
        </w:rPr>
        <w:t>Source: D10 §3. No quarterly guidance is given.</w:t>
      </w:r>
    </w:p>
    <w:p>
      <w:r>
        <w:rPr>
          <w:b w:val="0"/>
          <w:i w:val="0"/>
        </w:rPr>
        <w:t xml:space="preserve">Stated causes of the Q2 shortfall </w:t>
      </w:r>
      <w:r>
        <w:rPr>
          <w:b/>
          <w:color w:val="2E548C"/>
          <w:sz w:val="16"/>
        </w:rPr>
        <w:t>[IR]</w:t>
      </w:r>
      <w:r>
        <w:rPr>
          <w:b w:val="0"/>
          <w:i w:val="0"/>
        </w:rPr>
        <w:t xml:space="preserve">: the CARFAX bundle go-to-market; softer non-US transactional revenue; ~$1m of recall revenue slipped to 2H; delays to Planning projects. </w:t>
      </w:r>
      <w:r>
        <w:rPr>
          <w:b/>
          <w:color w:val="E36C09"/>
        </w:rPr>
        <w:t>[TO COLLECT #52: Q3-26 actuals vs the implied 2H run-rate (revenue +6.3–8.0%, Adj. EBITDA margin 37.9–38.9%)]</w:t>
      </w:r>
      <w:r>
        <w:rPr>
          <w:b w:val="0"/>
          <w:i w:val="0"/>
        </w:rPr>
        <w:t>.</w:t>
      </w:r>
    </w:p>
    <w:p>
      <w:pPr>
        <w:pStyle w:val="Heading2"/>
      </w:pPr>
      <w:r>
        <w:t>10.2 Targets timeline (management voice)</w:t>
      </w:r>
    </w:p>
    <w:p>
      <w:pPr>
        <w:keepNext/>
        <w:spacing w:before="80" w:after="40"/>
      </w:pPr>
      <w:r>
        <w:rPr>
          <w:b/>
          <w:i w:val="0"/>
          <w:color w:val="1F3864"/>
          <w:sz w:val="17"/>
        </w:rPr>
        <w:t xml:space="preserve">Exhibit 10.4 — Targets and guidance by event </w:t>
      </w:r>
      <w:r>
        <w:rPr>
          <w:b/>
          <w:color w:val="2E548C"/>
          <w:sz w:val="14"/>
        </w:rPr>
        <w:t>[IR]</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872"/>
        <w:gridCol w:w="2160"/>
        <w:gridCol w:w="2015"/>
        <w:gridCol w:w="2015"/>
        <w:gridCol w:w="1728"/>
      </w:tblGrid>
      <w:tr>
        <w:trPr>
          <w:cantSplit/>
          <w:tblHeader/>
        </w:trPr>
        <w:tc>
          <w:tcPr>
            <w:tcW w:type="dxa" w:w="1872"/>
            <w:shd w:val="clear" w:color="auto" w:fill="1F3864"/>
          </w:tcPr>
          <w:p>
            <w:pPr>
              <w:spacing w:after="0" w:line="240" w:lineRule="auto"/>
            </w:pPr>
            <w:r>
              <w:rPr>
                <w:b/>
                <w:i w:val="0"/>
                <w:color w:val="FFFFFF"/>
                <w:sz w:val="14"/>
              </w:rPr>
              <w:t>Metric</w:t>
            </w:r>
          </w:p>
        </w:tc>
        <w:tc>
          <w:tcPr>
            <w:tcW w:type="dxa" w:w="2160"/>
            <w:shd w:val="clear" w:color="auto" w:fill="1F3864"/>
          </w:tcPr>
          <w:p>
            <w:pPr>
              <w:spacing w:after="0" w:line="240" w:lineRule="auto"/>
            </w:pPr>
            <w:r>
              <w:rPr>
                <w:b/>
                <w:i w:val="0"/>
                <w:color w:val="FFFFFF"/>
                <w:sz w:val="14"/>
              </w:rPr>
              <w:t>Investor Day 2026-05-12</w:t>
            </w:r>
          </w:p>
        </w:tc>
        <w:tc>
          <w:tcPr>
            <w:tcW w:type="dxa" w:w="2016"/>
            <w:shd w:val="clear" w:color="auto" w:fill="1F3864"/>
          </w:tcPr>
          <w:p>
            <w:pPr>
              <w:spacing w:after="0" w:line="240" w:lineRule="auto"/>
            </w:pPr>
            <w:r>
              <w:rPr>
                <w:b/>
                <w:i w:val="0"/>
                <w:color w:val="FFFFFF"/>
                <w:sz w:val="14"/>
              </w:rPr>
              <w:t>Q2 call 2026-08-07</w:t>
            </w:r>
          </w:p>
        </w:tc>
        <w:tc>
          <w:tcPr>
            <w:tcW w:type="dxa" w:w="2016"/>
            <w:shd w:val="clear" w:color="auto" w:fill="1F3864"/>
          </w:tcPr>
          <w:p>
            <w:pPr>
              <w:spacing w:after="0" w:line="240" w:lineRule="auto"/>
            </w:pPr>
            <w:r>
              <w:rPr>
                <w:b/>
                <w:i w:val="0"/>
                <w:color w:val="FFFFFF"/>
                <w:sz w:val="14"/>
              </w:rPr>
              <w:t>GS Communacopia 2026-09-10</w:t>
            </w:r>
          </w:p>
        </w:tc>
        <w:tc>
          <w:tcPr>
            <w:tcW w:type="dxa" w:w="1728"/>
            <w:shd w:val="clear" w:color="auto" w:fill="1F3864"/>
          </w:tcPr>
          <w:p>
            <w:pPr>
              <w:spacing w:after="0" w:line="240" w:lineRule="auto"/>
            </w:pPr>
            <w:r>
              <w:rPr>
                <w:b/>
                <w:i w:val="0"/>
                <w:color w:val="FFFFFF"/>
                <w:sz w:val="14"/>
              </w:rPr>
              <w:t>Revision status</w:t>
            </w:r>
          </w:p>
        </w:tc>
      </w:tr>
      <w:tr>
        <w:trPr>
          <w:cantSplit/>
        </w:trPr>
        <w:tc>
          <w:tcPr>
            <w:tcW w:type="dxa" w:w="1872"/>
          </w:tcPr>
          <w:p>
            <w:pPr>
              <w:spacing w:after="0" w:line="240" w:lineRule="auto"/>
            </w:pPr>
            <w:r>
              <w:rPr>
                <w:b w:val="0"/>
                <w:i w:val="0"/>
                <w:sz w:val="14"/>
              </w:rPr>
              <w:t>FY2026 revenue growth (guide)</w:t>
            </w:r>
          </w:p>
        </w:tc>
        <w:tc>
          <w:tcPr>
            <w:tcW w:type="dxa" w:w="2160"/>
          </w:tcPr>
          <w:p>
            <w:pPr>
              <w:spacing w:after="0" w:line="240" w:lineRule="auto"/>
            </w:pPr>
            <w:r>
              <w:rPr>
                <w:b w:val="0"/>
                <w:i w:val="0"/>
                <w:sz w:val="14"/>
              </w:rPr>
              <w:t>7.5–9% 'reaffirmed' (S&amp;P-era guide); Q&amp;A says '9% this year'</w:t>
            </w:r>
          </w:p>
        </w:tc>
        <w:tc>
          <w:tcPr>
            <w:tcW w:type="dxa" w:w="2016"/>
          </w:tcPr>
          <w:p>
            <w:pPr>
              <w:spacing w:after="0" w:line="240" w:lineRule="auto"/>
            </w:pPr>
            <w:r>
              <w:rPr>
                <w:b/>
                <w:i w:val="0"/>
                <w:sz w:val="14"/>
              </w:rPr>
              <w:t>Lowered</w:t>
            </w:r>
            <w:r>
              <w:rPr>
                <w:b w:val="0"/>
                <w:i w:val="0"/>
                <w:sz w:val="14"/>
              </w:rPr>
              <w:t xml:space="preserve"> to 6.9–7.7%</w:t>
            </w:r>
          </w:p>
        </w:tc>
        <w:tc>
          <w:tcPr>
            <w:tcW w:type="dxa" w:w="2016"/>
          </w:tcPr>
          <w:p>
            <w:pPr>
              <w:spacing w:after="0" w:line="240" w:lineRule="auto"/>
            </w:pPr>
            <w:r>
              <w:rPr>
                <w:b w:val="0"/>
                <w:i w:val="0"/>
                <w:sz w:val="14"/>
              </w:rPr>
              <w:t>—</w:t>
            </w:r>
          </w:p>
        </w:tc>
        <w:tc>
          <w:tcPr>
            <w:tcW w:type="dxa" w:w="1728"/>
          </w:tcPr>
          <w:p>
            <w:pPr>
              <w:spacing w:after="0" w:line="240" w:lineRule="auto"/>
            </w:pPr>
            <w:r>
              <w:rPr>
                <w:b w:val="0"/>
                <w:i w:val="0"/>
                <w:sz w:val="14"/>
              </w:rPr>
              <w:t>CUT (−60bp low end / −130bp high end)</w:t>
            </w:r>
          </w:p>
        </w:tc>
      </w:tr>
      <w:tr>
        <w:trPr>
          <w:cantSplit/>
        </w:trPr>
        <w:tc>
          <w:tcPr>
            <w:tcW w:type="dxa" w:w="1872"/>
            <w:shd w:val="clear" w:color="auto" w:fill="D9E1F2"/>
          </w:tcPr>
          <w:p>
            <w:pPr>
              <w:spacing w:after="0" w:line="240" w:lineRule="auto"/>
            </w:pPr>
            <w:r>
              <w:rPr>
                <w:b w:val="0"/>
                <w:i w:val="0"/>
                <w:sz w:val="14"/>
              </w:rPr>
              <w:t>FY2026 revenue ($)</w:t>
            </w:r>
          </w:p>
        </w:tc>
        <w:tc>
          <w:tcPr>
            <w:tcW w:type="dxa" w:w="2160"/>
            <w:shd w:val="clear" w:color="auto" w:fill="D9E1F2"/>
          </w:tcPr>
          <w:p>
            <w:pPr>
              <w:spacing w:after="0" w:line="240" w:lineRule="auto"/>
            </w:pPr>
            <w:r>
              <w:rPr>
                <w:b w:val="0"/>
                <w:i w:val="0"/>
                <w:sz w:val="14"/>
              </w:rPr>
              <w:t>—</w:t>
            </w:r>
          </w:p>
        </w:tc>
        <w:tc>
          <w:tcPr>
            <w:tcW w:type="dxa" w:w="2016"/>
            <w:shd w:val="clear" w:color="auto" w:fill="D9E1F2"/>
          </w:tcPr>
          <w:p>
            <w:pPr>
              <w:spacing w:after="0" w:line="240" w:lineRule="auto"/>
            </w:pPr>
            <w:r>
              <w:rPr>
                <w:b w:val="0"/>
                <w:i w:val="0"/>
                <w:sz w:val="14"/>
              </w:rPr>
              <w:t>$1.87–1.885B</w:t>
            </w:r>
          </w:p>
        </w:tc>
        <w:tc>
          <w:tcPr>
            <w:tcW w:type="dxa" w:w="2016"/>
            <w:shd w:val="clear" w:color="auto" w:fill="D9E1F2"/>
          </w:tcPr>
          <w:p>
            <w:pPr>
              <w:spacing w:after="0" w:line="240" w:lineRule="auto"/>
            </w:pPr>
            <w:r>
              <w:rPr>
                <w:b w:val="0"/>
                <w:i w:val="0"/>
                <w:sz w:val="14"/>
              </w:rPr>
              <w:t>—</w:t>
            </w:r>
          </w:p>
        </w:tc>
        <w:tc>
          <w:tcPr>
            <w:tcW w:type="dxa" w:w="1728"/>
            <w:shd w:val="clear" w:color="auto" w:fill="D9E1F2"/>
          </w:tcPr>
          <w:p>
            <w:pPr>
              <w:spacing w:after="0" w:line="240" w:lineRule="auto"/>
            </w:pPr>
            <w:r>
              <w:rPr>
                <w:b w:val="0"/>
                <w:i w:val="0"/>
                <w:sz w:val="14"/>
              </w:rPr>
              <w:t>New</w:t>
            </w:r>
          </w:p>
        </w:tc>
      </w:tr>
      <w:tr>
        <w:trPr>
          <w:cantSplit/>
        </w:trPr>
        <w:tc>
          <w:tcPr>
            <w:tcW w:type="dxa" w:w="1872"/>
          </w:tcPr>
          <w:p>
            <w:pPr>
              <w:spacing w:after="0" w:line="240" w:lineRule="auto"/>
            </w:pPr>
            <w:r>
              <w:rPr>
                <w:b w:val="0"/>
                <w:i w:val="0"/>
                <w:sz w:val="14"/>
              </w:rPr>
              <w:t>FY2026 adj. EBITDA ($ / margin)</w:t>
            </w:r>
          </w:p>
        </w:tc>
        <w:tc>
          <w:tcPr>
            <w:tcW w:type="dxa" w:w="2160"/>
          </w:tcPr>
          <w:p>
            <w:pPr>
              <w:spacing w:after="0" w:line="240" w:lineRule="auto"/>
            </w:pPr>
            <w:r>
              <w:rPr>
                <w:b w:val="0"/>
                <w:i w:val="0"/>
                <w:sz w:val="14"/>
              </w:rPr>
              <w:t>—</w:t>
            </w:r>
          </w:p>
        </w:tc>
        <w:tc>
          <w:tcPr>
            <w:tcW w:type="dxa" w:w="2016"/>
          </w:tcPr>
          <w:p>
            <w:pPr>
              <w:spacing w:after="0" w:line="240" w:lineRule="auto"/>
            </w:pPr>
            <w:r>
              <w:rPr>
                <w:b w:val="0"/>
                <w:i w:val="0"/>
                <w:sz w:val="14"/>
              </w:rPr>
              <w:t>$745–760M; ~40% margin at midpoint</w:t>
            </w:r>
          </w:p>
        </w:tc>
        <w:tc>
          <w:tcPr>
            <w:tcW w:type="dxa" w:w="2016"/>
          </w:tcPr>
          <w:p>
            <w:pPr>
              <w:spacing w:after="0" w:line="240" w:lineRule="auto"/>
            </w:pPr>
            <w:r>
              <w:rPr>
                <w:b w:val="0"/>
                <w:i w:val="0"/>
                <w:sz w:val="14"/>
              </w:rPr>
              <w:t>—</w:t>
            </w:r>
          </w:p>
        </w:tc>
        <w:tc>
          <w:tcPr>
            <w:tcW w:type="dxa" w:w="1728"/>
          </w:tcPr>
          <w:p>
            <w:pPr>
              <w:spacing w:after="0" w:line="240" w:lineRule="auto"/>
            </w:pPr>
            <w:r>
              <w:rPr>
                <w:b w:val="0"/>
                <w:i w:val="0"/>
                <w:sz w:val="14"/>
              </w:rPr>
              <w:t>New</w:t>
            </w:r>
          </w:p>
        </w:tc>
      </w:tr>
      <w:tr>
        <w:trPr>
          <w:cantSplit/>
        </w:trPr>
        <w:tc>
          <w:tcPr>
            <w:tcW w:type="dxa" w:w="1872"/>
            <w:shd w:val="clear" w:color="auto" w:fill="D9E1F2"/>
          </w:tcPr>
          <w:p>
            <w:pPr>
              <w:spacing w:after="0" w:line="240" w:lineRule="auto"/>
            </w:pPr>
            <w:r>
              <w:rPr>
                <w:b w:val="0"/>
                <w:i w:val="0"/>
                <w:sz w:val="14"/>
              </w:rPr>
              <w:t>FY2026 macro assumption</w:t>
            </w:r>
          </w:p>
        </w:tc>
        <w:tc>
          <w:tcPr>
            <w:tcW w:type="dxa" w:w="2160"/>
            <w:shd w:val="clear" w:color="auto" w:fill="D9E1F2"/>
          </w:tcPr>
          <w:p>
            <w:pPr>
              <w:spacing w:after="0" w:line="240" w:lineRule="auto"/>
            </w:pPr>
            <w:r>
              <w:rPr>
                <w:b w:val="0"/>
                <w:i w:val="0"/>
                <w:sz w:val="14"/>
              </w:rPr>
              <w:t>—</w:t>
            </w:r>
          </w:p>
        </w:tc>
        <w:tc>
          <w:tcPr>
            <w:tcW w:type="dxa" w:w="2016"/>
            <w:shd w:val="clear" w:color="auto" w:fill="D9E1F2"/>
          </w:tcPr>
          <w:p>
            <w:pPr>
              <w:spacing w:after="0" w:line="240" w:lineRule="auto"/>
            </w:pPr>
            <w:r>
              <w:rPr>
                <w:b w:val="0"/>
                <w:i w:val="0"/>
                <w:sz w:val="14"/>
              </w:rPr>
              <w:t>No improvement in H2</w:t>
            </w:r>
          </w:p>
        </w:tc>
        <w:tc>
          <w:tcPr>
            <w:tcW w:type="dxa" w:w="2016"/>
            <w:shd w:val="clear" w:color="auto" w:fill="D9E1F2"/>
          </w:tcPr>
          <w:p>
            <w:pPr>
              <w:spacing w:after="0" w:line="240" w:lineRule="auto"/>
            </w:pPr>
            <w:r>
              <w:rPr>
                <w:b w:val="0"/>
                <w:i w:val="0"/>
                <w:sz w:val="14"/>
              </w:rPr>
              <w:t>—</w:t>
            </w:r>
          </w:p>
        </w:tc>
        <w:tc>
          <w:tcPr>
            <w:tcW w:type="dxa" w:w="1728"/>
            <w:shd w:val="clear" w:color="auto" w:fill="D9E1F2"/>
          </w:tcPr>
          <w:p>
            <w:pPr>
              <w:spacing w:after="0" w:line="240" w:lineRule="auto"/>
            </w:pPr>
            <w:r>
              <w:rPr>
                <w:b w:val="0"/>
                <w:i w:val="0"/>
                <w:sz w:val="14"/>
              </w:rPr>
              <w:t>New</w:t>
            </w:r>
          </w:p>
        </w:tc>
      </w:tr>
      <w:tr>
        <w:trPr>
          <w:cantSplit/>
        </w:trPr>
        <w:tc>
          <w:tcPr>
            <w:tcW w:type="dxa" w:w="1872"/>
          </w:tcPr>
          <w:p>
            <w:pPr>
              <w:spacing w:after="0" w:line="240" w:lineRule="auto"/>
            </w:pPr>
            <w:r>
              <w:rPr>
                <w:b w:val="0"/>
                <w:i w:val="0"/>
                <w:sz w:val="14"/>
              </w:rPr>
              <w:t>Medium-term organic revenue growth</w:t>
            </w:r>
          </w:p>
        </w:tc>
        <w:tc>
          <w:tcPr>
            <w:tcW w:type="dxa" w:w="2160"/>
          </w:tcPr>
          <w:p>
            <w:pPr>
              <w:spacing w:after="0" w:line="240" w:lineRule="auto"/>
            </w:pPr>
            <w:r>
              <w:rPr>
                <w:b w:val="0"/>
                <w:i w:val="0"/>
                <w:sz w:val="14"/>
              </w:rPr>
              <w:t>7.5–10%, every year, 'medium term' = 2028+</w:t>
            </w:r>
          </w:p>
        </w:tc>
        <w:tc>
          <w:tcPr>
            <w:tcW w:type="dxa" w:w="2016"/>
          </w:tcPr>
          <w:p>
            <w:pPr>
              <w:spacing w:after="0" w:line="240" w:lineRule="auto"/>
            </w:pPr>
            <w:r>
              <w:rPr>
                <w:b w:val="0"/>
                <w:i w:val="0"/>
                <w:sz w:val="14"/>
              </w:rPr>
              <w:t>Reaffirmed 7.5–10%</w:t>
            </w:r>
          </w:p>
        </w:tc>
        <w:tc>
          <w:tcPr>
            <w:tcW w:type="dxa" w:w="2016"/>
          </w:tcPr>
          <w:p>
            <w:pPr>
              <w:spacing w:after="0" w:line="240" w:lineRule="auto"/>
            </w:pPr>
            <w:r>
              <w:rPr>
                <w:b w:val="0"/>
                <w:i w:val="0"/>
                <w:sz w:val="14"/>
              </w:rPr>
              <w:t>Reaffirmed; core 5–7% + new products 1–2% + international 1–2%</w:t>
            </w:r>
          </w:p>
        </w:tc>
        <w:tc>
          <w:tcPr>
            <w:tcW w:type="dxa" w:w="1728"/>
          </w:tcPr>
          <w:p>
            <w:pPr>
              <w:spacing w:after="0" w:line="240" w:lineRule="auto"/>
            </w:pPr>
            <w:r>
              <w:rPr>
                <w:b w:val="0"/>
                <w:i w:val="0"/>
                <w:sz w:val="14"/>
              </w:rPr>
              <w:t>Unchanged; GS added explicit 1–2% buckets</w:t>
            </w:r>
          </w:p>
        </w:tc>
      </w:tr>
      <w:tr>
        <w:trPr>
          <w:cantSplit/>
        </w:trPr>
        <w:tc>
          <w:tcPr>
            <w:tcW w:type="dxa" w:w="1872"/>
            <w:shd w:val="clear" w:color="auto" w:fill="D9E1F2"/>
          </w:tcPr>
          <w:p>
            <w:pPr>
              <w:spacing w:after="0" w:line="240" w:lineRule="auto"/>
            </w:pPr>
            <w:r>
              <w:rPr>
                <w:b w:val="0"/>
                <w:i w:val="0"/>
                <w:sz w:val="14"/>
              </w:rPr>
              <w:t>Core growth contribution</w:t>
            </w:r>
          </w:p>
        </w:tc>
        <w:tc>
          <w:tcPr>
            <w:tcW w:type="dxa" w:w="2160"/>
            <w:shd w:val="clear" w:color="auto" w:fill="D9E1F2"/>
          </w:tcPr>
          <w:p>
            <w:pPr>
              <w:spacing w:after="0" w:line="240" w:lineRule="auto"/>
            </w:pPr>
            <w:r>
              <w:rPr>
                <w:b w:val="0"/>
                <w:i w:val="0"/>
                <w:sz w:val="14"/>
              </w:rPr>
              <w:t>5–7% visibility, mostly value not volume</w:t>
            </w:r>
          </w:p>
        </w:tc>
        <w:tc>
          <w:tcPr>
            <w:tcW w:type="dxa" w:w="2016"/>
            <w:shd w:val="clear" w:color="auto" w:fill="D9E1F2"/>
          </w:tcPr>
          <w:p>
            <w:pPr>
              <w:spacing w:after="0" w:line="240" w:lineRule="auto"/>
            </w:pPr>
            <w:r>
              <w:rPr>
                <w:b w:val="0"/>
                <w:i w:val="0"/>
                <w:sz w:val="14"/>
              </w:rPr>
              <w:t>—</w:t>
            </w:r>
          </w:p>
        </w:tc>
        <w:tc>
          <w:tcPr>
            <w:tcW w:type="dxa" w:w="2016"/>
            <w:shd w:val="clear" w:color="auto" w:fill="D9E1F2"/>
          </w:tcPr>
          <w:p>
            <w:pPr>
              <w:spacing w:after="0" w:line="240" w:lineRule="auto"/>
            </w:pPr>
            <w:r>
              <w:rPr>
                <w:b w:val="0"/>
                <w:i w:val="0"/>
                <w:sz w:val="14"/>
              </w:rPr>
              <w:t>5–7%</w:t>
            </w:r>
          </w:p>
        </w:tc>
        <w:tc>
          <w:tcPr>
            <w:tcW w:type="dxa" w:w="1728"/>
            <w:shd w:val="clear" w:color="auto" w:fill="D9E1F2"/>
          </w:tcPr>
          <w:p>
            <w:pPr>
              <w:spacing w:after="0" w:line="240" w:lineRule="auto"/>
            </w:pPr>
            <w:r>
              <w:rPr>
                <w:b w:val="0"/>
                <w:i w:val="0"/>
                <w:sz w:val="14"/>
              </w:rPr>
              <w:t>Unchanged</w:t>
            </w:r>
          </w:p>
        </w:tc>
      </w:tr>
      <w:tr>
        <w:trPr>
          <w:cantSplit/>
        </w:trPr>
        <w:tc>
          <w:tcPr>
            <w:tcW w:type="dxa" w:w="1872"/>
          </w:tcPr>
          <w:p>
            <w:pPr>
              <w:spacing w:after="0" w:line="240" w:lineRule="auto"/>
            </w:pPr>
            <w:r>
              <w:rPr>
                <w:b w:val="0"/>
                <w:i w:val="0"/>
                <w:sz w:val="14"/>
              </w:rPr>
              <w:t>Medium-term adj. EBITDA growth</w:t>
            </w:r>
          </w:p>
        </w:tc>
        <w:tc>
          <w:tcPr>
            <w:tcW w:type="dxa" w:w="2160"/>
          </w:tcPr>
          <w:p>
            <w:pPr>
              <w:spacing w:after="0" w:line="240" w:lineRule="auto"/>
            </w:pPr>
            <w:r>
              <w:rPr>
                <w:b w:val="0"/>
                <w:i w:val="0"/>
                <w:sz w:val="14"/>
              </w:rPr>
              <w:t>8–11% organic</w:t>
            </w:r>
          </w:p>
        </w:tc>
        <w:tc>
          <w:tcPr>
            <w:tcW w:type="dxa" w:w="2016"/>
          </w:tcPr>
          <w:p>
            <w:pPr>
              <w:spacing w:after="0" w:line="240" w:lineRule="auto"/>
            </w:pPr>
            <w:r>
              <w:rPr>
                <w:b w:val="0"/>
                <w:i w:val="0"/>
                <w:sz w:val="14"/>
              </w:rPr>
              <w:t>—</w:t>
            </w:r>
          </w:p>
        </w:tc>
        <w:tc>
          <w:tcPr>
            <w:tcW w:type="dxa" w:w="2016"/>
          </w:tcPr>
          <w:p>
            <w:pPr>
              <w:spacing w:after="0" w:line="240" w:lineRule="auto"/>
            </w:pPr>
            <w:r>
              <w:rPr>
                <w:b w:val="0"/>
                <w:i w:val="0"/>
                <w:sz w:val="14"/>
              </w:rPr>
              <w:t>—</w:t>
            </w:r>
          </w:p>
        </w:tc>
        <w:tc>
          <w:tcPr>
            <w:tcW w:type="dxa" w:w="1728"/>
          </w:tcPr>
          <w:p>
            <w:pPr>
              <w:spacing w:after="0" w:line="240" w:lineRule="auto"/>
            </w:pPr>
            <w:r>
              <w:rPr>
                <w:b w:val="0"/>
                <w:i w:val="0"/>
                <w:sz w:val="14"/>
              </w:rPr>
              <w:t>Stated once</w:t>
            </w:r>
          </w:p>
        </w:tc>
      </w:tr>
      <w:tr>
        <w:trPr>
          <w:cantSplit/>
        </w:trPr>
        <w:tc>
          <w:tcPr>
            <w:tcW w:type="dxa" w:w="1872"/>
            <w:shd w:val="clear" w:color="auto" w:fill="D9E1F2"/>
          </w:tcPr>
          <w:p>
            <w:pPr>
              <w:spacing w:after="0" w:line="240" w:lineRule="auto"/>
            </w:pPr>
            <w:r>
              <w:rPr>
                <w:b w:val="0"/>
                <w:i w:val="0"/>
                <w:sz w:val="14"/>
              </w:rPr>
              <w:t>Margin expansion</w:t>
            </w:r>
          </w:p>
        </w:tc>
        <w:tc>
          <w:tcPr>
            <w:tcW w:type="dxa" w:w="2160"/>
            <w:shd w:val="clear" w:color="auto" w:fill="D9E1F2"/>
          </w:tcPr>
          <w:p>
            <w:pPr>
              <w:spacing w:after="0" w:line="240" w:lineRule="auto"/>
            </w:pPr>
            <w:r>
              <w:rPr>
                <w:b w:val="0"/>
                <w:i w:val="0"/>
                <w:sz w:val="14"/>
              </w:rPr>
              <w:t>≥50bp/yr medium term, after a 12–18-month reset</w:t>
            </w:r>
          </w:p>
        </w:tc>
        <w:tc>
          <w:tcPr>
            <w:tcW w:type="dxa" w:w="2016"/>
            <w:shd w:val="clear" w:color="auto" w:fill="D9E1F2"/>
          </w:tcPr>
          <w:p>
            <w:pPr>
              <w:spacing w:after="0" w:line="240" w:lineRule="auto"/>
            </w:pPr>
            <w:r>
              <w:rPr>
                <w:b w:val="0"/>
                <w:i w:val="0"/>
                <w:sz w:val="14"/>
              </w:rPr>
              <w:t>50bp reaffirmed</w:t>
            </w:r>
          </w:p>
        </w:tc>
        <w:tc>
          <w:tcPr>
            <w:tcW w:type="dxa" w:w="2016"/>
            <w:shd w:val="clear" w:color="auto" w:fill="D9E1F2"/>
          </w:tcPr>
          <w:p>
            <w:pPr>
              <w:spacing w:after="0" w:line="240" w:lineRule="auto"/>
            </w:pPr>
            <w:r>
              <w:rPr>
                <w:b w:val="0"/>
                <w:i w:val="0"/>
                <w:sz w:val="14"/>
              </w:rPr>
              <w:t xml:space="preserve">Full 50bp not until </w:t>
            </w:r>
            <w:r>
              <w:rPr>
                <w:b/>
                <w:i w:val="0"/>
                <w:sz w:val="14"/>
              </w:rPr>
              <w:t>2028</w:t>
            </w:r>
            <w:r>
              <w:rPr>
                <w:b w:val="0"/>
                <w:i w:val="0"/>
                <w:sz w:val="14"/>
              </w:rPr>
              <w:t>; reset done end-2027</w:t>
            </w:r>
          </w:p>
        </w:tc>
        <w:tc>
          <w:tcPr>
            <w:tcW w:type="dxa" w:w="1728"/>
            <w:shd w:val="clear" w:color="auto" w:fill="D9E1F2"/>
          </w:tcPr>
          <w:p>
            <w:pPr>
              <w:spacing w:after="0" w:line="240" w:lineRule="auto"/>
            </w:pPr>
            <w:r>
              <w:rPr>
                <w:b w:val="0"/>
                <w:i w:val="0"/>
                <w:sz w:val="14"/>
              </w:rPr>
              <w:t>Timing made explicit (2028 start)</w:t>
            </w:r>
          </w:p>
        </w:tc>
      </w:tr>
      <w:tr>
        <w:trPr>
          <w:cantSplit/>
        </w:trPr>
        <w:tc>
          <w:tcPr>
            <w:tcW w:type="dxa" w:w="1872"/>
          </w:tcPr>
          <w:p>
            <w:pPr>
              <w:spacing w:after="0" w:line="240" w:lineRule="auto"/>
            </w:pPr>
            <w:r>
              <w:rPr>
                <w:b w:val="0"/>
                <w:i w:val="0"/>
                <w:sz w:val="14"/>
              </w:rPr>
              <w:t>Historic adj. EBITDA margin</w:t>
            </w:r>
          </w:p>
        </w:tc>
        <w:tc>
          <w:tcPr>
            <w:tcW w:type="dxa" w:w="2160"/>
          </w:tcPr>
          <w:p>
            <w:pPr>
              <w:spacing w:after="0" w:line="240" w:lineRule="auto"/>
            </w:pPr>
            <w:r>
              <w:rPr>
                <w:b w:val="0"/>
                <w:i w:val="0"/>
                <w:sz w:val="14"/>
              </w:rPr>
              <w:t>'40% range' for 3 yrs</w:t>
            </w:r>
          </w:p>
        </w:tc>
        <w:tc>
          <w:tcPr>
            <w:tcW w:type="dxa" w:w="2016"/>
          </w:tcPr>
          <w:p>
            <w:pPr>
              <w:spacing w:after="0" w:line="240" w:lineRule="auto"/>
            </w:pPr>
            <w:r>
              <w:rPr>
                <w:b w:val="0"/>
                <w:i w:val="0"/>
                <w:sz w:val="14"/>
              </w:rPr>
              <w:t>Q2 43.2% (+40bp); H1 42% (+20bp)</w:t>
            </w:r>
          </w:p>
        </w:tc>
        <w:tc>
          <w:tcPr>
            <w:tcW w:type="dxa" w:w="2016"/>
          </w:tcPr>
          <w:p>
            <w:pPr>
              <w:spacing w:after="0" w:line="240" w:lineRule="auto"/>
            </w:pPr>
            <w:r>
              <w:rPr>
                <w:b w:val="0"/>
                <w:i w:val="0"/>
                <w:sz w:val="14"/>
              </w:rPr>
              <w:t>FY25 40.6% → pro-forma ~39.1%</w:t>
            </w:r>
          </w:p>
        </w:tc>
        <w:tc>
          <w:tcPr>
            <w:tcW w:type="dxa" w:w="1728"/>
          </w:tcPr>
          <w:p>
            <w:pPr>
              <w:spacing w:after="0" w:line="240" w:lineRule="auto"/>
            </w:pPr>
            <w:r>
              <w:rPr>
                <w:b w:val="0"/>
                <w:i w:val="0"/>
                <w:sz w:val="14"/>
              </w:rPr>
              <w:t>Quantified at GS</w:t>
            </w:r>
          </w:p>
        </w:tc>
      </w:tr>
      <w:tr>
        <w:trPr>
          <w:cantSplit/>
        </w:trPr>
        <w:tc>
          <w:tcPr>
            <w:tcW w:type="dxa" w:w="1872"/>
            <w:shd w:val="clear" w:color="auto" w:fill="D9E1F2"/>
          </w:tcPr>
          <w:p>
            <w:pPr>
              <w:spacing w:after="0" w:line="240" w:lineRule="auto"/>
            </w:pPr>
            <w:r>
              <w:rPr>
                <w:b w:val="0"/>
                <w:i w:val="0"/>
                <w:sz w:val="14"/>
              </w:rPr>
              <w:t>Standalone run-rate cost</w:t>
            </w:r>
          </w:p>
        </w:tc>
        <w:tc>
          <w:tcPr>
            <w:tcW w:type="dxa" w:w="2160"/>
            <w:shd w:val="clear" w:color="auto" w:fill="D9E1F2"/>
          </w:tcPr>
          <w:p>
            <w:pPr>
              <w:spacing w:after="0" w:line="240" w:lineRule="auto"/>
            </w:pPr>
            <w:r>
              <w:rPr>
                <w:b w:val="0"/>
                <w:i w:val="0"/>
                <w:sz w:val="14"/>
              </w:rPr>
              <w:t>+$20–25M run-rate within 12–18 months</w:t>
            </w:r>
          </w:p>
        </w:tc>
        <w:tc>
          <w:tcPr>
            <w:tcW w:type="dxa" w:w="2016"/>
            <w:shd w:val="clear" w:color="auto" w:fill="D9E1F2"/>
          </w:tcPr>
          <w:p>
            <w:pPr>
              <w:spacing w:after="0" w:line="240" w:lineRule="auto"/>
            </w:pPr>
            <w:r>
              <w:rPr>
                <w:b w:val="0"/>
                <w:i w:val="0"/>
                <w:sz w:val="14"/>
              </w:rPr>
              <w:t xml:space="preserve">~150bp of margin vs FY25 = </w:t>
            </w:r>
            <w:r>
              <w:rPr>
                <w:b/>
                <w:i w:val="0"/>
                <w:sz w:val="14"/>
              </w:rPr>
              <w:t>high end</w:t>
            </w:r>
            <w:r>
              <w:rPr>
                <w:b w:val="0"/>
                <w:i w:val="0"/>
                <w:sz w:val="14"/>
              </w:rPr>
              <w:t xml:space="preserve"> of $20–25M; ~half in 2026</w:t>
            </w:r>
          </w:p>
        </w:tc>
        <w:tc>
          <w:tcPr>
            <w:tcW w:type="dxa" w:w="2016"/>
            <w:shd w:val="clear" w:color="auto" w:fill="D9E1F2"/>
          </w:tcPr>
          <w:p>
            <w:pPr>
              <w:spacing w:after="0" w:line="240" w:lineRule="auto"/>
            </w:pPr>
            <w:r>
              <w:rPr>
                <w:b w:val="0"/>
                <w:i w:val="0"/>
                <w:sz w:val="14"/>
              </w:rPr>
              <w:t>75bp in 2026, full 150bp in 2027</w:t>
            </w:r>
          </w:p>
        </w:tc>
        <w:tc>
          <w:tcPr>
            <w:tcW w:type="dxa" w:w="1728"/>
            <w:shd w:val="clear" w:color="auto" w:fill="D9E1F2"/>
          </w:tcPr>
          <w:p>
            <w:pPr>
              <w:spacing w:after="0" w:line="240" w:lineRule="auto"/>
            </w:pPr>
            <w:r>
              <w:rPr>
                <w:b w:val="0"/>
                <w:i w:val="0"/>
                <w:sz w:val="14"/>
              </w:rPr>
              <w:t>Moved to HIGH END of range</w:t>
            </w:r>
          </w:p>
        </w:tc>
      </w:tr>
      <w:tr>
        <w:trPr>
          <w:cantSplit/>
        </w:trPr>
        <w:tc>
          <w:tcPr>
            <w:tcW w:type="dxa" w:w="1872"/>
          </w:tcPr>
          <w:p>
            <w:pPr>
              <w:spacing w:after="0" w:line="240" w:lineRule="auto"/>
            </w:pPr>
            <w:r>
              <w:rPr>
                <w:b w:val="0"/>
                <w:i w:val="0"/>
                <w:sz w:val="14"/>
              </w:rPr>
              <w:t>Stock-based comp</w:t>
            </w:r>
          </w:p>
        </w:tc>
        <w:tc>
          <w:tcPr>
            <w:tcW w:type="dxa" w:w="2160"/>
          </w:tcPr>
          <w:p>
            <w:pPr>
              <w:spacing w:after="0" w:line="240" w:lineRule="auto"/>
            </w:pPr>
            <w:r>
              <w:rPr>
                <w:b w:val="0"/>
                <w:i w:val="0"/>
                <w:sz w:val="14"/>
              </w:rPr>
              <w:t>From ~1% to 3–4% (peer-aligned)</w:t>
            </w:r>
          </w:p>
        </w:tc>
        <w:tc>
          <w:tcPr>
            <w:tcW w:type="dxa" w:w="2016"/>
          </w:tcPr>
          <w:p>
            <w:pPr>
              <w:spacing w:after="0" w:line="240" w:lineRule="auto"/>
            </w:pPr>
            <w:r>
              <w:rPr>
                <w:b w:val="0"/>
                <w:i w:val="0"/>
                <w:sz w:val="14"/>
              </w:rPr>
              <w:t>—</w:t>
            </w:r>
          </w:p>
        </w:tc>
        <w:tc>
          <w:tcPr>
            <w:tcW w:type="dxa" w:w="2016"/>
          </w:tcPr>
          <w:p>
            <w:pPr>
              <w:spacing w:after="0" w:line="240" w:lineRule="auto"/>
            </w:pPr>
            <w:r>
              <w:rPr>
                <w:b w:val="0"/>
                <w:i w:val="0"/>
                <w:sz w:val="14"/>
              </w:rPr>
              <w:t>—</w:t>
            </w:r>
          </w:p>
        </w:tc>
        <w:tc>
          <w:tcPr>
            <w:tcW w:type="dxa" w:w="1728"/>
          </w:tcPr>
          <w:p>
            <w:pPr>
              <w:spacing w:after="0" w:line="240" w:lineRule="auto"/>
            </w:pPr>
            <w:r>
              <w:rPr>
                <w:b w:val="0"/>
                <w:i w:val="0"/>
                <w:sz w:val="14"/>
              </w:rPr>
              <w:t>Stated once</w:t>
            </w:r>
          </w:p>
        </w:tc>
      </w:tr>
      <w:tr>
        <w:trPr>
          <w:cantSplit/>
        </w:trPr>
        <w:tc>
          <w:tcPr>
            <w:tcW w:type="dxa" w:w="1872"/>
            <w:shd w:val="clear" w:color="auto" w:fill="D9E1F2"/>
          </w:tcPr>
          <w:p>
            <w:pPr>
              <w:spacing w:after="0" w:line="240" w:lineRule="auto"/>
            </w:pPr>
            <w:r>
              <w:rPr>
                <w:b w:val="0"/>
                <w:i w:val="0"/>
                <w:sz w:val="14"/>
              </w:rPr>
              <w:t>One-time stand-up cash cost</w:t>
            </w:r>
          </w:p>
        </w:tc>
        <w:tc>
          <w:tcPr>
            <w:tcW w:type="dxa" w:w="2160"/>
            <w:shd w:val="clear" w:color="auto" w:fill="D9E1F2"/>
          </w:tcPr>
          <w:p>
            <w:pPr>
              <w:spacing w:after="0" w:line="240" w:lineRule="auto"/>
            </w:pPr>
            <w:r>
              <w:rPr>
                <w:b w:val="0"/>
                <w:i w:val="0"/>
                <w:sz w:val="14"/>
              </w:rPr>
              <w:t>$75–100M over 12–18 months</w:t>
            </w:r>
          </w:p>
        </w:tc>
        <w:tc>
          <w:tcPr>
            <w:tcW w:type="dxa" w:w="2016"/>
            <w:shd w:val="clear" w:color="auto" w:fill="D9E1F2"/>
          </w:tcPr>
          <w:p>
            <w:pPr>
              <w:spacing w:after="0" w:line="240" w:lineRule="auto"/>
            </w:pPr>
            <w:r>
              <w:rPr>
                <w:b w:val="0"/>
                <w:i w:val="0"/>
                <w:sz w:val="14"/>
              </w:rPr>
              <w:t>~$100M; ~half in 2026; ~50% capitalised</w:t>
            </w:r>
          </w:p>
        </w:tc>
        <w:tc>
          <w:tcPr>
            <w:tcW w:type="dxa" w:w="2016"/>
            <w:shd w:val="clear" w:color="auto" w:fill="D9E1F2"/>
          </w:tcPr>
          <w:p>
            <w:pPr>
              <w:spacing w:after="0" w:line="240" w:lineRule="auto"/>
            </w:pPr>
            <w:r>
              <w:rPr>
                <w:b w:val="0"/>
                <w:i w:val="0"/>
                <w:sz w:val="14"/>
              </w:rPr>
              <w:t>—</w:t>
            </w:r>
          </w:p>
        </w:tc>
        <w:tc>
          <w:tcPr>
            <w:tcW w:type="dxa" w:w="1728"/>
            <w:shd w:val="clear" w:color="auto" w:fill="D9E1F2"/>
          </w:tcPr>
          <w:p>
            <w:pPr>
              <w:spacing w:after="0" w:line="240" w:lineRule="auto"/>
            </w:pPr>
            <w:r>
              <w:rPr>
                <w:b w:val="0"/>
                <w:i w:val="0"/>
                <w:sz w:val="14"/>
              </w:rPr>
              <w:t>Moved to TOP of range</w:t>
            </w:r>
          </w:p>
        </w:tc>
      </w:tr>
      <w:tr>
        <w:trPr>
          <w:cantSplit/>
        </w:trPr>
        <w:tc>
          <w:tcPr>
            <w:tcW w:type="dxa" w:w="1872"/>
          </w:tcPr>
          <w:p>
            <w:pPr>
              <w:spacing w:after="0" w:line="240" w:lineRule="auto"/>
            </w:pPr>
            <w:r>
              <w:rPr>
                <w:b w:val="0"/>
                <w:i w:val="0"/>
                <w:sz w:val="14"/>
              </w:rPr>
              <w:t>Effective tax rate</w:t>
            </w:r>
          </w:p>
        </w:tc>
        <w:tc>
          <w:tcPr>
            <w:tcW w:type="dxa" w:w="2160"/>
          </w:tcPr>
          <w:p>
            <w:pPr>
              <w:spacing w:after="0" w:line="240" w:lineRule="auto"/>
            </w:pPr>
            <w:r>
              <w:rPr>
                <w:b w:val="0"/>
                <w:i w:val="0"/>
                <w:sz w:val="14"/>
              </w:rPr>
              <w:t>Medium term 25–27%</w:t>
            </w:r>
          </w:p>
        </w:tc>
        <w:tc>
          <w:tcPr>
            <w:tcW w:type="dxa" w:w="2016"/>
          </w:tcPr>
          <w:p>
            <w:pPr>
              <w:spacing w:after="0" w:line="240" w:lineRule="auto"/>
            </w:pPr>
            <w:r>
              <w:rPr>
                <w:b w:val="0"/>
                <w:i w:val="0"/>
                <w:sz w:val="14"/>
              </w:rPr>
              <w:t>FY26 GAAP 28–30.5%</w:t>
            </w:r>
          </w:p>
        </w:tc>
        <w:tc>
          <w:tcPr>
            <w:tcW w:type="dxa" w:w="2016"/>
          </w:tcPr>
          <w:p>
            <w:pPr>
              <w:spacing w:after="0" w:line="240" w:lineRule="auto"/>
            </w:pPr>
            <w:r>
              <w:rPr>
                <w:b w:val="0"/>
                <w:i w:val="0"/>
                <w:sz w:val="14"/>
              </w:rPr>
              <w:t>—</w:t>
            </w:r>
          </w:p>
        </w:tc>
        <w:tc>
          <w:tcPr>
            <w:tcW w:type="dxa" w:w="1728"/>
          </w:tcPr>
          <w:p>
            <w:pPr>
              <w:spacing w:after="0" w:line="240" w:lineRule="auto"/>
            </w:pPr>
            <w:r>
              <w:rPr>
                <w:b w:val="0"/>
                <w:i w:val="0"/>
                <w:sz w:val="14"/>
              </w:rPr>
              <w:t>FY26 near-term above the medium-term target</w:t>
            </w:r>
          </w:p>
        </w:tc>
      </w:tr>
      <w:tr>
        <w:trPr>
          <w:cantSplit/>
        </w:trPr>
        <w:tc>
          <w:tcPr>
            <w:tcW w:type="dxa" w:w="1872"/>
            <w:shd w:val="clear" w:color="auto" w:fill="D9E1F2"/>
          </w:tcPr>
          <w:p>
            <w:pPr>
              <w:spacing w:after="0" w:line="240" w:lineRule="auto"/>
            </w:pPr>
            <w:r>
              <w:rPr>
                <w:b w:val="0"/>
                <w:i w:val="0"/>
                <w:sz w:val="14"/>
              </w:rPr>
              <w:t>DTL cash-tax drag</w:t>
            </w:r>
          </w:p>
        </w:tc>
        <w:tc>
          <w:tcPr>
            <w:tcW w:type="dxa" w:w="2160"/>
            <w:shd w:val="clear" w:color="auto" w:fill="D9E1F2"/>
          </w:tcPr>
          <w:p>
            <w:pPr>
              <w:spacing w:after="0" w:line="240" w:lineRule="auto"/>
            </w:pPr>
            <w:r>
              <w:rPr>
                <w:b w:val="0"/>
                <w:i w:val="0"/>
                <w:sz w:val="14"/>
              </w:rPr>
              <w:t>~$1B DTL (IHS); '$80–90 billion' per yr x12 yrs [transcription error for million]</w:t>
            </w:r>
          </w:p>
        </w:tc>
        <w:tc>
          <w:tcPr>
            <w:tcW w:type="dxa" w:w="2016"/>
            <w:shd w:val="clear" w:color="auto" w:fill="D9E1F2"/>
          </w:tcPr>
          <w:p>
            <w:pPr>
              <w:spacing w:after="0" w:line="240" w:lineRule="auto"/>
            </w:pPr>
            <w:r>
              <w:rPr>
                <w:b w:val="0"/>
                <w:i w:val="0"/>
                <w:sz w:val="14"/>
              </w:rPr>
              <w:t>~$89M/yr above provision for 12 yrs</w:t>
            </w:r>
          </w:p>
        </w:tc>
        <w:tc>
          <w:tcPr>
            <w:tcW w:type="dxa" w:w="2016"/>
            <w:shd w:val="clear" w:color="auto" w:fill="D9E1F2"/>
          </w:tcPr>
          <w:p>
            <w:pPr>
              <w:spacing w:after="0" w:line="240" w:lineRule="auto"/>
            </w:pPr>
            <w:r>
              <w:rPr>
                <w:b w:val="0"/>
                <w:i w:val="0"/>
                <w:sz w:val="14"/>
              </w:rPr>
              <w:t>—</w:t>
            </w:r>
          </w:p>
        </w:tc>
        <w:tc>
          <w:tcPr>
            <w:tcW w:type="dxa" w:w="1728"/>
            <w:shd w:val="clear" w:color="auto" w:fill="D9E1F2"/>
          </w:tcPr>
          <w:p>
            <w:pPr>
              <w:spacing w:after="0" w:line="240" w:lineRule="auto"/>
            </w:pPr>
            <w:r>
              <w:rPr>
                <w:b w:val="0"/>
                <w:i w:val="0"/>
                <w:sz w:val="14"/>
              </w:rPr>
              <w:t>Narrowed to ~$89M</w:t>
            </w:r>
          </w:p>
        </w:tc>
      </w:tr>
      <w:tr>
        <w:trPr>
          <w:cantSplit/>
        </w:trPr>
        <w:tc>
          <w:tcPr>
            <w:tcW w:type="dxa" w:w="1872"/>
          </w:tcPr>
          <w:p>
            <w:pPr>
              <w:spacing w:after="0" w:line="240" w:lineRule="auto"/>
            </w:pPr>
            <w:r>
              <w:rPr>
                <w:b w:val="0"/>
                <w:i w:val="0"/>
                <w:sz w:val="14"/>
              </w:rPr>
              <w:t>Interest</w:t>
            </w:r>
          </w:p>
        </w:tc>
        <w:tc>
          <w:tcPr>
            <w:tcW w:type="dxa" w:w="2160"/>
          </w:tcPr>
          <w:p>
            <w:pPr>
              <w:spacing w:after="0" w:line="240" w:lineRule="auto"/>
            </w:pPr>
            <w:r>
              <w:rPr>
                <w:b w:val="0"/>
                <w:i w:val="0"/>
                <w:sz w:val="14"/>
              </w:rPr>
              <w:t>—</w:t>
            </w:r>
          </w:p>
        </w:tc>
        <w:tc>
          <w:tcPr>
            <w:tcW w:type="dxa" w:w="2016"/>
          </w:tcPr>
          <w:p>
            <w:pPr>
              <w:spacing w:after="0" w:line="240" w:lineRule="auto"/>
            </w:pPr>
            <w:r>
              <w:rPr>
                <w:b w:val="0"/>
                <w:i w:val="0"/>
                <w:sz w:val="14"/>
              </w:rPr>
              <w:t>H2 expense ~$55M; first cash coupon $60M in Q4</w:t>
            </w:r>
          </w:p>
        </w:tc>
        <w:tc>
          <w:tcPr>
            <w:tcW w:type="dxa" w:w="2016"/>
          </w:tcPr>
          <w:p>
            <w:pPr>
              <w:spacing w:after="0" w:line="240" w:lineRule="auto"/>
            </w:pPr>
            <w:r>
              <w:rPr>
                <w:b w:val="0"/>
                <w:i w:val="0"/>
                <w:sz w:val="14"/>
              </w:rPr>
              <w:t>—</w:t>
            </w:r>
          </w:p>
        </w:tc>
        <w:tc>
          <w:tcPr>
            <w:tcW w:type="dxa" w:w="1728"/>
          </w:tcPr>
          <w:p>
            <w:pPr>
              <w:spacing w:after="0" w:line="240" w:lineRule="auto"/>
            </w:pPr>
            <w:r>
              <w:rPr>
                <w:b w:val="0"/>
                <w:i w:val="0"/>
                <w:sz w:val="14"/>
              </w:rPr>
              <w:t>New</w:t>
            </w:r>
          </w:p>
        </w:tc>
      </w:tr>
      <w:tr>
        <w:trPr>
          <w:cantSplit/>
        </w:trPr>
        <w:tc>
          <w:tcPr>
            <w:tcW w:type="dxa" w:w="1872"/>
            <w:shd w:val="clear" w:color="auto" w:fill="D9E1F2"/>
          </w:tcPr>
          <w:p>
            <w:pPr>
              <w:spacing w:after="0" w:line="240" w:lineRule="auto"/>
            </w:pPr>
            <w:r>
              <w:rPr>
                <w:b w:val="0"/>
                <w:i w:val="0"/>
                <w:sz w:val="14"/>
              </w:rPr>
              <w:t>Share count</w:t>
            </w:r>
          </w:p>
        </w:tc>
        <w:tc>
          <w:tcPr>
            <w:tcW w:type="dxa" w:w="2160"/>
            <w:shd w:val="clear" w:color="auto" w:fill="D9E1F2"/>
          </w:tcPr>
          <w:p>
            <w:pPr>
              <w:spacing w:after="0" w:line="240" w:lineRule="auto"/>
            </w:pPr>
            <w:r>
              <w:rPr>
                <w:b w:val="0"/>
                <w:i w:val="0"/>
                <w:sz w:val="14"/>
              </w:rPr>
              <w:t>—</w:t>
            </w:r>
          </w:p>
        </w:tc>
        <w:tc>
          <w:tcPr>
            <w:tcW w:type="dxa" w:w="2016"/>
            <w:shd w:val="clear" w:color="auto" w:fill="D9E1F2"/>
          </w:tcPr>
          <w:p>
            <w:pPr>
              <w:spacing w:after="0" w:line="240" w:lineRule="auto"/>
            </w:pPr>
            <w:r>
              <w:rPr>
                <w:b w:val="0"/>
                <w:i w:val="0"/>
                <w:sz w:val="14"/>
              </w:rPr>
              <w:t>295–297M avg FY26</w:t>
            </w:r>
          </w:p>
        </w:tc>
        <w:tc>
          <w:tcPr>
            <w:tcW w:type="dxa" w:w="2016"/>
            <w:shd w:val="clear" w:color="auto" w:fill="D9E1F2"/>
          </w:tcPr>
          <w:p>
            <w:pPr>
              <w:spacing w:after="0" w:line="240" w:lineRule="auto"/>
            </w:pPr>
            <w:r>
              <w:rPr>
                <w:b w:val="0"/>
                <w:i w:val="0"/>
                <w:sz w:val="14"/>
              </w:rPr>
              <w:t>—</w:t>
            </w:r>
          </w:p>
        </w:tc>
        <w:tc>
          <w:tcPr>
            <w:tcW w:type="dxa" w:w="1728"/>
            <w:shd w:val="clear" w:color="auto" w:fill="D9E1F2"/>
          </w:tcPr>
          <w:p>
            <w:pPr>
              <w:spacing w:after="0" w:line="240" w:lineRule="auto"/>
            </w:pPr>
            <w:r>
              <w:rPr>
                <w:b w:val="0"/>
                <w:i w:val="0"/>
                <w:sz w:val="14"/>
              </w:rPr>
              <w:t>New</w:t>
            </w:r>
          </w:p>
        </w:tc>
      </w:tr>
      <w:tr>
        <w:trPr>
          <w:cantSplit/>
        </w:trPr>
        <w:tc>
          <w:tcPr>
            <w:tcW w:type="dxa" w:w="1872"/>
          </w:tcPr>
          <w:p>
            <w:pPr>
              <w:spacing w:after="0" w:line="240" w:lineRule="auto"/>
            </w:pPr>
            <w:r>
              <w:rPr>
                <w:b w:val="0"/>
                <w:i w:val="0"/>
                <w:sz w:val="14"/>
              </w:rPr>
              <w:t>Debt / revolver</w:t>
            </w:r>
          </w:p>
        </w:tc>
        <w:tc>
          <w:tcPr>
            <w:tcW w:type="dxa" w:w="2160"/>
          </w:tcPr>
          <w:p>
            <w:pPr>
              <w:spacing w:after="0" w:line="240" w:lineRule="auto"/>
            </w:pPr>
            <w:r>
              <w:rPr>
                <w:b w:val="0"/>
                <w:i w:val="0"/>
                <w:sz w:val="14"/>
              </w:rPr>
              <w:t>$500M revolver signed; ~$2B bonds before launch</w:t>
            </w:r>
          </w:p>
        </w:tc>
        <w:tc>
          <w:tcPr>
            <w:tcW w:type="dxa" w:w="2016"/>
          </w:tcPr>
          <w:p>
            <w:pPr>
              <w:spacing w:after="0" w:line="240" w:lineRule="auto"/>
            </w:pPr>
            <w:r>
              <w:rPr>
                <w:b w:val="0"/>
                <w:i w:val="0"/>
                <w:sz w:val="14"/>
              </w:rPr>
              <w:t>$2B bonds</w:t>
            </w:r>
          </w:p>
        </w:tc>
        <w:tc>
          <w:tcPr>
            <w:tcW w:type="dxa" w:w="2016"/>
          </w:tcPr>
          <w:p>
            <w:pPr>
              <w:spacing w:after="0" w:line="240" w:lineRule="auto"/>
            </w:pPr>
            <w:r>
              <w:rPr>
                <w:b w:val="0"/>
                <w:i w:val="0"/>
                <w:sz w:val="14"/>
              </w:rPr>
              <w:t>—</w:t>
            </w:r>
          </w:p>
        </w:tc>
        <w:tc>
          <w:tcPr>
            <w:tcW w:type="dxa" w:w="1728"/>
          </w:tcPr>
          <w:p>
            <w:pPr>
              <w:spacing w:after="0" w:line="240" w:lineRule="auto"/>
            </w:pPr>
            <w:r>
              <w:rPr>
                <w:b w:val="0"/>
                <w:i w:val="0"/>
                <w:sz w:val="14"/>
              </w:rPr>
              <w:t>Delivered</w:t>
            </w:r>
          </w:p>
        </w:tc>
      </w:tr>
      <w:tr>
        <w:trPr>
          <w:cantSplit/>
        </w:trPr>
        <w:tc>
          <w:tcPr>
            <w:tcW w:type="dxa" w:w="1872"/>
            <w:shd w:val="clear" w:color="auto" w:fill="D9E1F2"/>
          </w:tcPr>
          <w:p>
            <w:pPr>
              <w:spacing w:after="0" w:line="240" w:lineRule="auto"/>
            </w:pPr>
            <w:r>
              <w:rPr>
                <w:b w:val="0"/>
                <w:i w:val="0"/>
                <w:sz w:val="14"/>
              </w:rPr>
              <w:t>Cash at launch</w:t>
            </w:r>
          </w:p>
        </w:tc>
        <w:tc>
          <w:tcPr>
            <w:tcW w:type="dxa" w:w="2160"/>
            <w:shd w:val="clear" w:color="auto" w:fill="D9E1F2"/>
          </w:tcPr>
          <w:p>
            <w:pPr>
              <w:spacing w:after="0" w:line="240" w:lineRule="auto"/>
            </w:pPr>
            <w:r>
              <w:rPr>
                <w:b w:val="0"/>
                <w:i w:val="0"/>
                <w:sz w:val="14"/>
              </w:rPr>
              <w:t>≥$150M</w:t>
            </w:r>
          </w:p>
        </w:tc>
        <w:tc>
          <w:tcPr>
            <w:tcW w:type="dxa" w:w="2016"/>
            <w:shd w:val="clear" w:color="auto" w:fill="D9E1F2"/>
          </w:tcPr>
          <w:p>
            <w:pPr>
              <w:spacing w:after="0" w:line="240" w:lineRule="auto"/>
            </w:pPr>
            <w:r>
              <w:rPr>
                <w:b w:val="0"/>
                <w:i w:val="0"/>
                <w:sz w:val="14"/>
              </w:rPr>
              <w:t>$186M at Q2 end</w:t>
            </w:r>
          </w:p>
        </w:tc>
        <w:tc>
          <w:tcPr>
            <w:tcW w:type="dxa" w:w="2016"/>
            <w:shd w:val="clear" w:color="auto" w:fill="D9E1F2"/>
          </w:tcPr>
          <w:p>
            <w:pPr>
              <w:spacing w:after="0" w:line="240" w:lineRule="auto"/>
            </w:pPr>
            <w:r>
              <w:rPr>
                <w:b w:val="0"/>
                <w:i w:val="0"/>
                <w:sz w:val="14"/>
              </w:rPr>
              <w:t>'almost $200M'</w:t>
            </w:r>
          </w:p>
        </w:tc>
        <w:tc>
          <w:tcPr>
            <w:tcW w:type="dxa" w:w="1728"/>
            <w:shd w:val="clear" w:color="auto" w:fill="D9E1F2"/>
          </w:tcPr>
          <w:p>
            <w:pPr>
              <w:spacing w:after="0" w:line="240" w:lineRule="auto"/>
            </w:pPr>
            <w:r>
              <w:rPr>
                <w:b w:val="0"/>
                <w:i w:val="0"/>
                <w:sz w:val="14"/>
              </w:rPr>
              <w:t>Beat</w:t>
            </w:r>
          </w:p>
        </w:tc>
      </w:tr>
      <w:tr>
        <w:trPr>
          <w:cantSplit/>
        </w:trPr>
        <w:tc>
          <w:tcPr>
            <w:tcW w:type="dxa" w:w="1872"/>
          </w:tcPr>
          <w:p>
            <w:pPr>
              <w:spacing w:after="0" w:line="240" w:lineRule="auto"/>
            </w:pPr>
            <w:r>
              <w:rPr>
                <w:b w:val="0"/>
                <w:i w:val="0"/>
                <w:sz w:val="14"/>
              </w:rPr>
              <w:t>Leverage</w:t>
            </w:r>
          </w:p>
        </w:tc>
        <w:tc>
          <w:tcPr>
            <w:tcW w:type="dxa" w:w="2160"/>
          </w:tcPr>
          <w:p>
            <w:pPr>
              <w:spacing w:after="0" w:line="240" w:lineRule="auto"/>
            </w:pPr>
            <w:r>
              <w:rPr>
                <w:b w:val="0"/>
                <w:i w:val="0"/>
                <w:sz w:val="14"/>
              </w:rPr>
              <w:t>Gross target ≤2.5x; start above</w:t>
            </w:r>
          </w:p>
        </w:tc>
        <w:tc>
          <w:tcPr>
            <w:tcW w:type="dxa" w:w="2016"/>
          </w:tcPr>
          <w:p>
            <w:pPr>
              <w:spacing w:after="0" w:line="240" w:lineRule="auto"/>
            </w:pPr>
            <w:r>
              <w:rPr>
                <w:b w:val="0"/>
                <w:i w:val="0"/>
                <w:sz w:val="14"/>
              </w:rPr>
              <w:t>Net debt $1.8B; net 2.4x</w:t>
            </w:r>
          </w:p>
        </w:tc>
        <w:tc>
          <w:tcPr>
            <w:tcW w:type="dxa" w:w="2016"/>
          </w:tcPr>
          <w:p>
            <w:pPr>
              <w:spacing w:after="0" w:line="240" w:lineRule="auto"/>
            </w:pPr>
            <w:r>
              <w:rPr>
                <w:b w:val="0"/>
                <w:i w:val="0"/>
                <w:sz w:val="14"/>
              </w:rPr>
              <w:t>Gross 2.7x, net 2.4x; target ~2.5x gross</w:t>
            </w:r>
          </w:p>
        </w:tc>
        <w:tc>
          <w:tcPr>
            <w:tcW w:type="dxa" w:w="1728"/>
          </w:tcPr>
          <w:p>
            <w:pPr>
              <w:spacing w:after="0" w:line="240" w:lineRule="auto"/>
            </w:pPr>
            <w:r>
              <w:rPr>
                <w:b w:val="0"/>
                <w:i w:val="0"/>
                <w:sz w:val="14"/>
              </w:rPr>
              <w:t>Wording softened to '2.5x-ish'</w:t>
            </w:r>
          </w:p>
        </w:tc>
      </w:tr>
      <w:tr>
        <w:trPr>
          <w:cantSplit/>
        </w:trPr>
        <w:tc>
          <w:tcPr>
            <w:tcW w:type="dxa" w:w="1872"/>
            <w:shd w:val="clear" w:color="auto" w:fill="D9E1F2"/>
          </w:tcPr>
          <w:p>
            <w:pPr>
              <w:spacing w:after="0" w:line="240" w:lineRule="auto"/>
            </w:pPr>
            <w:r>
              <w:rPr>
                <w:b w:val="0"/>
                <w:i w:val="0"/>
                <w:sz w:val="14"/>
              </w:rPr>
              <w:t>Capital return</w:t>
            </w:r>
          </w:p>
        </w:tc>
        <w:tc>
          <w:tcPr>
            <w:tcW w:type="dxa" w:w="2160"/>
            <w:shd w:val="clear" w:color="auto" w:fill="D9E1F2"/>
          </w:tcPr>
          <w:p>
            <w:pPr>
              <w:spacing w:after="0" w:line="240" w:lineRule="auto"/>
            </w:pPr>
            <w:r>
              <w:rPr>
                <w:b w:val="0"/>
                <w:i w:val="0"/>
                <w:sz w:val="14"/>
              </w:rPr>
              <w:t>≥75% of FCF annually</w:t>
            </w:r>
          </w:p>
        </w:tc>
        <w:tc>
          <w:tcPr>
            <w:tcW w:type="dxa" w:w="2016"/>
            <w:shd w:val="clear" w:color="auto" w:fill="D9E1F2"/>
          </w:tcPr>
          <w:p>
            <w:pPr>
              <w:spacing w:after="0" w:line="240" w:lineRule="auto"/>
            </w:pPr>
            <w:r>
              <w:rPr>
                <w:b w:val="0"/>
                <w:i w:val="0"/>
                <w:sz w:val="14"/>
              </w:rPr>
              <w:t>—</w:t>
            </w:r>
          </w:p>
        </w:tc>
        <w:tc>
          <w:tcPr>
            <w:tcW w:type="dxa" w:w="2016"/>
            <w:shd w:val="clear" w:color="auto" w:fill="D9E1F2"/>
          </w:tcPr>
          <w:p>
            <w:pPr>
              <w:spacing w:after="0" w:line="240" w:lineRule="auto"/>
            </w:pPr>
            <w:r>
              <w:rPr>
                <w:b w:val="0"/>
                <w:i w:val="0"/>
                <w:sz w:val="14"/>
              </w:rPr>
              <w:t>—</w:t>
            </w:r>
          </w:p>
        </w:tc>
        <w:tc>
          <w:tcPr>
            <w:tcW w:type="dxa" w:w="1728"/>
            <w:shd w:val="clear" w:color="auto" w:fill="D9E1F2"/>
          </w:tcPr>
          <w:p>
            <w:pPr>
              <w:spacing w:after="0" w:line="240" w:lineRule="auto"/>
            </w:pPr>
            <w:r>
              <w:rPr>
                <w:b w:val="0"/>
                <w:i w:val="0"/>
                <w:sz w:val="14"/>
              </w:rPr>
              <w:t>Not repeated numerically after ID</w:t>
            </w:r>
          </w:p>
        </w:tc>
      </w:tr>
      <w:tr>
        <w:trPr>
          <w:cantSplit/>
        </w:trPr>
        <w:tc>
          <w:tcPr>
            <w:tcW w:type="dxa" w:w="1872"/>
          </w:tcPr>
          <w:p>
            <w:pPr>
              <w:spacing w:after="0" w:line="240" w:lineRule="auto"/>
            </w:pPr>
            <w:r>
              <w:rPr>
                <w:b w:val="0"/>
                <w:i w:val="0"/>
                <w:sz w:val="14"/>
              </w:rPr>
              <w:t>Dividend</w:t>
            </w:r>
          </w:p>
        </w:tc>
        <w:tc>
          <w:tcPr>
            <w:tcW w:type="dxa" w:w="2160"/>
          </w:tcPr>
          <w:p>
            <w:pPr>
              <w:spacing w:after="0" w:line="240" w:lineRule="auto"/>
            </w:pPr>
            <w:r>
              <w:rPr>
                <w:b w:val="0"/>
                <w:i w:val="0"/>
                <w:sz w:val="14"/>
              </w:rPr>
              <w:t>Payout 20–25% of net income; keep Dividend Aristocrat status</w:t>
            </w:r>
          </w:p>
        </w:tc>
        <w:tc>
          <w:tcPr>
            <w:tcW w:type="dxa" w:w="2016"/>
          </w:tcPr>
          <w:p>
            <w:pPr>
              <w:spacing w:after="0" w:line="240" w:lineRule="auto"/>
            </w:pPr>
            <w:r>
              <w:rPr>
                <w:b w:val="0"/>
                <w:i w:val="0"/>
                <w:sz w:val="14"/>
              </w:rPr>
              <w:t>$0.06/qtr, on normalised NI</w:t>
            </w:r>
          </w:p>
        </w:tc>
        <w:tc>
          <w:tcPr>
            <w:tcW w:type="dxa" w:w="2016"/>
          </w:tcPr>
          <w:p>
            <w:pPr>
              <w:spacing w:after="0" w:line="240" w:lineRule="auto"/>
            </w:pPr>
            <w:r>
              <w:rPr>
                <w:b w:val="0"/>
                <w:i w:val="0"/>
                <w:sz w:val="14"/>
              </w:rPr>
              <w:t>25% of normalised GAAP NI; first dividend paid 10 Sep</w:t>
            </w:r>
          </w:p>
        </w:tc>
        <w:tc>
          <w:tcPr>
            <w:tcW w:type="dxa" w:w="1728"/>
          </w:tcPr>
          <w:p>
            <w:pPr>
              <w:spacing w:after="0" w:line="240" w:lineRule="auto"/>
            </w:pPr>
            <w:r>
              <w:rPr>
                <w:b w:val="0"/>
                <w:i w:val="0"/>
                <w:sz w:val="14"/>
              </w:rPr>
              <w:t>Set at TOP of range</w:t>
            </w:r>
          </w:p>
        </w:tc>
      </w:tr>
      <w:tr>
        <w:trPr>
          <w:cantSplit/>
        </w:trPr>
        <w:tc>
          <w:tcPr>
            <w:tcW w:type="dxa" w:w="1872"/>
            <w:shd w:val="clear" w:color="auto" w:fill="D9E1F2"/>
          </w:tcPr>
          <w:p>
            <w:pPr>
              <w:spacing w:after="0" w:line="240" w:lineRule="auto"/>
            </w:pPr>
            <w:r>
              <w:rPr>
                <w:b w:val="0"/>
                <w:i w:val="0"/>
                <w:sz w:val="14"/>
              </w:rPr>
              <w:t>Buybacks</w:t>
            </w:r>
          </w:p>
        </w:tc>
        <w:tc>
          <w:tcPr>
            <w:tcW w:type="dxa" w:w="2160"/>
            <w:shd w:val="clear" w:color="auto" w:fill="D9E1F2"/>
          </w:tcPr>
          <w:p>
            <w:pPr>
              <w:spacing w:after="0" w:line="240" w:lineRule="auto"/>
            </w:pPr>
            <w:r>
              <w:rPr>
                <w:b w:val="0"/>
                <w:i w:val="0"/>
                <w:sz w:val="14"/>
              </w:rPr>
              <w:t>Not until 2027</w:t>
            </w:r>
          </w:p>
        </w:tc>
        <w:tc>
          <w:tcPr>
            <w:tcW w:type="dxa" w:w="2016"/>
            <w:shd w:val="clear" w:color="auto" w:fill="D9E1F2"/>
          </w:tcPr>
          <w:p>
            <w:pPr>
              <w:spacing w:after="0" w:line="240" w:lineRule="auto"/>
            </w:pPr>
            <w:r>
              <w:rPr>
                <w:b w:val="0"/>
                <w:i w:val="0"/>
                <w:sz w:val="14"/>
              </w:rPr>
              <w:t>Early 2027</w:t>
            </w:r>
          </w:p>
        </w:tc>
        <w:tc>
          <w:tcPr>
            <w:tcW w:type="dxa" w:w="2016"/>
            <w:shd w:val="clear" w:color="auto" w:fill="D9E1F2"/>
          </w:tcPr>
          <w:p>
            <w:pPr>
              <w:spacing w:after="0" w:line="240" w:lineRule="auto"/>
            </w:pPr>
            <w:r>
              <w:rPr>
                <w:b w:val="0"/>
                <w:i w:val="0"/>
                <w:sz w:val="14"/>
              </w:rPr>
              <w:t>Early 2027, 'consistent and meaningful'</w:t>
            </w:r>
          </w:p>
        </w:tc>
        <w:tc>
          <w:tcPr>
            <w:tcW w:type="dxa" w:w="1728"/>
            <w:shd w:val="clear" w:color="auto" w:fill="D9E1F2"/>
          </w:tcPr>
          <w:p>
            <w:pPr>
              <w:spacing w:after="0" w:line="240" w:lineRule="auto"/>
            </w:pPr>
            <w:r>
              <w:rPr>
                <w:b w:val="0"/>
                <w:i w:val="0"/>
                <w:sz w:val="14"/>
              </w:rPr>
              <w:t>Unchanged</w:t>
            </w:r>
          </w:p>
        </w:tc>
      </w:tr>
      <w:tr>
        <w:trPr>
          <w:cantSplit/>
        </w:trPr>
        <w:tc>
          <w:tcPr>
            <w:tcW w:type="dxa" w:w="1872"/>
          </w:tcPr>
          <w:p>
            <w:pPr>
              <w:spacing w:after="0" w:line="240" w:lineRule="auto"/>
            </w:pPr>
            <w:r>
              <w:rPr>
                <w:b w:val="0"/>
                <w:i w:val="0"/>
                <w:sz w:val="14"/>
              </w:rPr>
              <w:t>M&amp;A</w:t>
            </w:r>
          </w:p>
        </w:tc>
        <w:tc>
          <w:tcPr>
            <w:tcW w:type="dxa" w:w="2160"/>
          </w:tcPr>
          <w:p>
            <w:pPr>
              <w:spacing w:after="0" w:line="240" w:lineRule="auto"/>
            </w:pPr>
            <w:r>
              <w:rPr>
                <w:b w:val="0"/>
                <w:i w:val="0"/>
                <w:sz w:val="14"/>
              </w:rPr>
              <w:t>None in first 6–12 months; tuck-ins later</w:t>
            </w:r>
          </w:p>
        </w:tc>
        <w:tc>
          <w:tcPr>
            <w:tcW w:type="dxa" w:w="2016"/>
          </w:tcPr>
          <w:p>
            <w:pPr>
              <w:spacing w:after="0" w:line="240" w:lineRule="auto"/>
            </w:pPr>
            <w:r>
              <w:rPr>
                <w:b w:val="0"/>
                <w:i w:val="0"/>
                <w:sz w:val="14"/>
              </w:rPr>
              <w:t>No material M&amp;A until fully separated from SPGI</w:t>
            </w:r>
          </w:p>
        </w:tc>
        <w:tc>
          <w:tcPr>
            <w:tcW w:type="dxa" w:w="2016"/>
          </w:tcPr>
          <w:p>
            <w:pPr>
              <w:spacing w:after="0" w:line="240" w:lineRule="auto"/>
            </w:pPr>
            <w:r>
              <w:rPr>
                <w:b w:val="0"/>
                <w:i w:val="0"/>
                <w:sz w:val="14"/>
              </w:rPr>
              <w:t>Tuck-in only; nothing meaningful near term</w:t>
            </w:r>
          </w:p>
        </w:tc>
        <w:tc>
          <w:tcPr>
            <w:tcW w:type="dxa" w:w="1728"/>
          </w:tcPr>
          <w:p>
            <w:pPr>
              <w:spacing w:after="0" w:line="240" w:lineRule="auto"/>
            </w:pPr>
            <w:r>
              <w:rPr>
                <w:b w:val="0"/>
                <w:i w:val="0"/>
                <w:sz w:val="14"/>
              </w:rPr>
              <w:t>Unchanged</w:t>
            </w:r>
          </w:p>
        </w:tc>
      </w:tr>
      <w:tr>
        <w:trPr>
          <w:cantSplit/>
        </w:trPr>
        <w:tc>
          <w:tcPr>
            <w:tcW w:type="dxa" w:w="1872"/>
            <w:shd w:val="clear" w:color="auto" w:fill="D9E1F2"/>
          </w:tcPr>
          <w:p>
            <w:pPr>
              <w:spacing w:after="0" w:line="240" w:lineRule="auto"/>
            </w:pPr>
            <w:r>
              <w:rPr>
                <w:b w:val="0"/>
                <w:i w:val="0"/>
                <w:sz w:val="14"/>
              </w:rPr>
              <w:t>One Mobility integration timing</w:t>
            </w:r>
          </w:p>
        </w:tc>
        <w:tc>
          <w:tcPr>
            <w:tcW w:type="dxa" w:w="2160"/>
            <w:shd w:val="clear" w:color="auto" w:fill="D9E1F2"/>
          </w:tcPr>
          <w:p>
            <w:pPr>
              <w:spacing w:after="0" w:line="240" w:lineRule="auto"/>
            </w:pPr>
            <w:r>
              <w:rPr>
                <w:b w:val="0"/>
                <w:i w:val="0"/>
                <w:sz w:val="14"/>
              </w:rPr>
              <w:t>Began ~a year before ID</w:t>
            </w:r>
          </w:p>
        </w:tc>
        <w:tc>
          <w:tcPr>
            <w:tcW w:type="dxa" w:w="2016"/>
            <w:shd w:val="clear" w:color="auto" w:fill="D9E1F2"/>
          </w:tcPr>
          <w:p>
            <w:pPr>
              <w:spacing w:after="0" w:line="240" w:lineRule="auto"/>
            </w:pPr>
            <w:r>
              <w:rPr>
                <w:b w:val="0"/>
                <w:i w:val="0"/>
                <w:sz w:val="14"/>
              </w:rPr>
              <w:t>'About halfway'; ~2 years to complete</w:t>
            </w:r>
          </w:p>
        </w:tc>
        <w:tc>
          <w:tcPr>
            <w:tcW w:type="dxa" w:w="2016"/>
            <w:shd w:val="clear" w:color="auto" w:fill="D9E1F2"/>
          </w:tcPr>
          <w:p>
            <w:pPr>
              <w:spacing w:after="0" w:line="240" w:lineRule="auto"/>
            </w:pPr>
            <w:r>
              <w:rPr>
                <w:b w:val="0"/>
                <w:i w:val="0"/>
                <w:sz w:val="14"/>
              </w:rPr>
              <w:t>'another year or two'</w:t>
            </w:r>
          </w:p>
        </w:tc>
        <w:tc>
          <w:tcPr>
            <w:tcW w:type="dxa" w:w="1728"/>
            <w:shd w:val="clear" w:color="auto" w:fill="D9E1F2"/>
          </w:tcPr>
          <w:p>
            <w:pPr>
              <w:spacing w:after="0" w:line="240" w:lineRule="auto"/>
            </w:pPr>
            <w:r>
              <w:rPr>
                <w:b w:val="0"/>
                <w:i w:val="0"/>
                <w:sz w:val="14"/>
              </w:rPr>
              <w:t>Consistent</w:t>
            </w:r>
          </w:p>
        </w:tc>
      </w:tr>
      <w:tr>
        <w:trPr>
          <w:cantSplit/>
        </w:trPr>
        <w:tc>
          <w:tcPr>
            <w:tcW w:type="dxa" w:w="1872"/>
          </w:tcPr>
          <w:p>
            <w:pPr>
              <w:spacing w:after="0" w:line="240" w:lineRule="auto"/>
            </w:pPr>
            <w:r>
              <w:rPr>
                <w:b w:val="0"/>
                <w:i w:val="0"/>
                <w:sz w:val="14"/>
              </w:rPr>
              <w:t>CARFAX Germany launch</w:t>
            </w:r>
          </w:p>
        </w:tc>
        <w:tc>
          <w:tcPr>
            <w:tcW w:type="dxa" w:w="2160"/>
          </w:tcPr>
          <w:p>
            <w:pPr>
              <w:spacing w:after="0" w:line="240" w:lineRule="auto"/>
            </w:pPr>
            <w:r>
              <w:rPr>
                <w:b w:val="0"/>
                <w:i w:val="0"/>
                <w:sz w:val="14"/>
              </w:rPr>
              <w:t>'Later this year'</w:t>
            </w:r>
          </w:p>
        </w:tc>
        <w:tc>
          <w:tcPr>
            <w:tcW w:type="dxa" w:w="2016"/>
          </w:tcPr>
          <w:p>
            <w:pPr>
              <w:spacing w:after="0" w:line="240" w:lineRule="auto"/>
            </w:pPr>
            <w:r>
              <w:rPr>
                <w:b w:val="0"/>
                <w:i w:val="0"/>
                <w:sz w:val="14"/>
              </w:rPr>
              <w:t>Launched early July, ahead of schedule</w:t>
            </w:r>
          </w:p>
        </w:tc>
        <w:tc>
          <w:tcPr>
            <w:tcW w:type="dxa" w:w="2016"/>
          </w:tcPr>
          <w:p>
            <w:pPr>
              <w:spacing w:after="0" w:line="240" w:lineRule="auto"/>
            </w:pPr>
            <w:r>
              <w:rPr>
                <w:b w:val="0"/>
                <w:i w:val="0"/>
                <w:sz w:val="14"/>
              </w:rPr>
              <w:t>Original plan was start of 2027</w:t>
            </w:r>
          </w:p>
        </w:tc>
        <w:tc>
          <w:tcPr>
            <w:tcW w:type="dxa" w:w="1728"/>
          </w:tcPr>
          <w:p>
            <w:pPr>
              <w:spacing w:after="0" w:line="240" w:lineRule="auto"/>
            </w:pPr>
            <w:r>
              <w:rPr>
                <w:b w:val="0"/>
                <w:i w:val="0"/>
                <w:sz w:val="14"/>
              </w:rPr>
              <w:t>Pulled forward</w:t>
            </w:r>
          </w:p>
        </w:tc>
      </w:tr>
      <w:tr>
        <w:trPr>
          <w:cantSplit/>
        </w:trPr>
        <w:tc>
          <w:tcPr>
            <w:tcW w:type="dxa" w:w="1872"/>
            <w:shd w:val="clear" w:color="auto" w:fill="D9E1F2"/>
          </w:tcPr>
          <w:p>
            <w:pPr>
              <w:spacing w:after="0" w:line="240" w:lineRule="auto"/>
            </w:pPr>
            <w:r>
              <w:rPr>
                <w:b w:val="0"/>
                <w:i w:val="0"/>
                <w:sz w:val="14"/>
              </w:rPr>
              <w:t>Car Care consumer goal</w:t>
            </w:r>
          </w:p>
        </w:tc>
        <w:tc>
          <w:tcPr>
            <w:tcW w:type="dxa" w:w="2160"/>
            <w:shd w:val="clear" w:color="auto" w:fill="D9E1F2"/>
          </w:tcPr>
          <w:p>
            <w:pPr>
              <w:spacing w:after="0" w:line="240" w:lineRule="auto"/>
            </w:pPr>
            <w:r>
              <w:rPr>
                <w:b w:val="0"/>
                <w:i w:val="0"/>
                <w:sz w:val="14"/>
              </w:rPr>
              <w:t>53M today → 150M US+Canada; 1B global</w:t>
            </w:r>
          </w:p>
        </w:tc>
        <w:tc>
          <w:tcPr>
            <w:tcW w:type="dxa" w:w="2016"/>
            <w:shd w:val="clear" w:color="auto" w:fill="D9E1F2"/>
          </w:tcPr>
          <w:p>
            <w:pPr>
              <w:spacing w:after="0" w:line="240" w:lineRule="auto"/>
            </w:pPr>
            <w:r>
              <w:rPr>
                <w:b w:val="0"/>
                <w:i w:val="0"/>
                <w:sz w:val="14"/>
              </w:rPr>
              <w:t>—</w:t>
            </w:r>
          </w:p>
        </w:tc>
        <w:tc>
          <w:tcPr>
            <w:tcW w:type="dxa" w:w="2016"/>
            <w:shd w:val="clear" w:color="auto" w:fill="D9E1F2"/>
          </w:tcPr>
          <w:p>
            <w:pPr>
              <w:spacing w:after="0" w:line="240" w:lineRule="auto"/>
            </w:pPr>
            <w:r>
              <w:rPr>
                <w:b w:val="0"/>
                <w:i w:val="0"/>
                <w:sz w:val="14"/>
              </w:rPr>
              <w:t>US 'north of 100 million'; 1B global</w:t>
            </w:r>
          </w:p>
        </w:tc>
        <w:tc>
          <w:tcPr>
            <w:tcW w:type="dxa" w:w="1728"/>
            <w:shd w:val="clear" w:color="auto" w:fill="D9E1F2"/>
          </w:tcPr>
          <w:p>
            <w:pPr>
              <w:spacing w:after="0" w:line="240" w:lineRule="auto"/>
            </w:pPr>
            <w:r>
              <w:rPr>
                <w:b w:val="0"/>
                <w:i w:val="0"/>
                <w:sz w:val="14"/>
              </w:rPr>
              <w:t>Reframed (US-only &gt;100M vs US+CA 150M)</w:t>
            </w:r>
          </w:p>
        </w:tc>
      </w:tr>
      <w:tr>
        <w:trPr>
          <w:cantSplit/>
        </w:trPr>
        <w:tc>
          <w:tcPr>
            <w:tcW w:type="dxa" w:w="1872"/>
          </w:tcPr>
          <w:p>
            <w:pPr>
              <w:spacing w:after="0" w:line="240" w:lineRule="auto"/>
            </w:pPr>
            <w:r>
              <w:rPr>
                <w:b w:val="0"/>
                <w:i w:val="0"/>
                <w:sz w:val="14"/>
              </w:rPr>
              <w:t>B2B underlying growth goal</w:t>
            </w:r>
          </w:p>
        </w:tc>
        <w:tc>
          <w:tcPr>
            <w:tcW w:type="dxa" w:w="2160"/>
          </w:tcPr>
          <w:p>
            <w:pPr>
              <w:spacing w:after="0" w:line="240" w:lineRule="auto"/>
            </w:pPr>
            <w:r>
              <w:rPr>
                <w:b w:val="0"/>
                <w:i w:val="0"/>
                <w:sz w:val="14"/>
              </w:rPr>
              <w:t>—</w:t>
            </w:r>
          </w:p>
        </w:tc>
        <w:tc>
          <w:tcPr>
            <w:tcW w:type="dxa" w:w="2016"/>
          </w:tcPr>
          <w:p>
            <w:pPr>
              <w:spacing w:after="0" w:line="240" w:lineRule="auto"/>
            </w:pPr>
            <w:r>
              <w:rPr>
                <w:b w:val="0"/>
                <w:i w:val="0"/>
                <w:sz w:val="14"/>
              </w:rPr>
              <w:t>From ~6% (H1 subscription) to high single digits</w:t>
            </w:r>
          </w:p>
        </w:tc>
        <w:tc>
          <w:tcPr>
            <w:tcW w:type="dxa" w:w="2016"/>
          </w:tcPr>
          <w:p>
            <w:pPr>
              <w:spacing w:after="0" w:line="240" w:lineRule="auto"/>
            </w:pPr>
            <w:r>
              <w:rPr>
                <w:b w:val="0"/>
                <w:i w:val="0"/>
                <w:sz w:val="14"/>
              </w:rPr>
              <w:t>—</w:t>
            </w:r>
          </w:p>
        </w:tc>
        <w:tc>
          <w:tcPr>
            <w:tcW w:type="dxa" w:w="1728"/>
          </w:tcPr>
          <w:p>
            <w:pPr>
              <w:spacing w:after="0" w:line="240" w:lineRule="auto"/>
            </w:pPr>
            <w:r>
              <w:rPr>
                <w:b w:val="0"/>
                <w:i w:val="0"/>
                <w:sz w:val="14"/>
              </w:rPr>
              <w:t>New</w:t>
            </w:r>
          </w:p>
        </w:tc>
      </w:tr>
      <w:tr>
        <w:trPr>
          <w:cantSplit/>
        </w:trPr>
        <w:tc>
          <w:tcPr>
            <w:tcW w:type="dxa" w:w="1872"/>
            <w:shd w:val="clear" w:color="auto" w:fill="D9E1F2"/>
          </w:tcPr>
          <w:p>
            <w:pPr>
              <w:spacing w:after="0" w:line="240" w:lineRule="auto"/>
            </w:pPr>
            <w:r>
              <w:rPr>
                <w:b w:val="0"/>
                <w:i w:val="0"/>
                <w:sz w:val="14"/>
              </w:rPr>
              <w:t>TAMs</w:t>
            </w:r>
          </w:p>
        </w:tc>
        <w:tc>
          <w:tcPr>
            <w:tcW w:type="dxa" w:w="2160"/>
            <w:shd w:val="clear" w:color="auto" w:fill="D9E1F2"/>
          </w:tcPr>
          <w:p>
            <w:pPr>
              <w:spacing w:after="0" w:line="240" w:lineRule="auto"/>
            </w:pPr>
            <w:r>
              <w:rPr>
                <w:b w:val="0"/>
                <w:i w:val="0"/>
                <w:sz w:val="14"/>
              </w:rPr>
              <w:t>B2B $6B (~10% share) → $18B; CARFAX $26B</w:t>
            </w:r>
          </w:p>
        </w:tc>
        <w:tc>
          <w:tcPr>
            <w:tcW w:type="dxa" w:w="2016"/>
            <w:shd w:val="clear" w:color="auto" w:fill="D9E1F2"/>
          </w:tcPr>
          <w:p>
            <w:pPr>
              <w:spacing w:after="0" w:line="240" w:lineRule="auto"/>
            </w:pPr>
            <w:r>
              <w:rPr>
                <w:b w:val="0"/>
                <w:i w:val="0"/>
                <w:sz w:val="14"/>
              </w:rPr>
              <w:t>—</w:t>
            </w:r>
          </w:p>
        </w:tc>
        <w:tc>
          <w:tcPr>
            <w:tcW w:type="dxa" w:w="2016"/>
            <w:shd w:val="clear" w:color="auto" w:fill="D9E1F2"/>
          </w:tcPr>
          <w:p>
            <w:pPr>
              <w:spacing w:after="0" w:line="240" w:lineRule="auto"/>
            </w:pPr>
            <w:r>
              <w:rPr>
                <w:b w:val="0"/>
                <w:i w:val="0"/>
                <w:sz w:val="14"/>
              </w:rPr>
              <w:t>US listings &gt;$3B, CARFAX &lt;10%</w:t>
            </w:r>
          </w:p>
        </w:tc>
        <w:tc>
          <w:tcPr>
            <w:tcW w:type="dxa" w:w="1728"/>
            <w:shd w:val="clear" w:color="auto" w:fill="D9E1F2"/>
          </w:tcPr>
          <w:p>
            <w:pPr>
              <w:spacing w:after="0" w:line="240" w:lineRule="auto"/>
            </w:pPr>
            <w:r>
              <w:rPr>
                <w:b w:val="0"/>
                <w:i w:val="0"/>
                <w:sz w:val="14"/>
              </w:rPr>
              <w:t>New sub-TAM at GS</w:t>
            </w:r>
          </w:p>
        </w:tc>
      </w:tr>
    </w:tbl>
    <w:p>
      <w:pPr>
        <w:spacing w:after="120"/>
      </w:pPr>
      <w:r>
        <w:rPr>
          <w:b w:val="0"/>
          <w:i/>
          <w:color w:val="595959"/>
          <w:sz w:val="15"/>
        </w:rPr>
        <w:t>Source: transcripts/TARGETS_TIMELINE.md (every cell a management statement linked to a Quartr timestamp in that file; timestamps omitted here). Note D4 §4: the “−60/−130bp” headline understates the like-for-like cut.</w:t>
      </w:r>
    </w:p>
    <w:p>
      <w:r>
        <w:rPr>
          <w:b/>
          <w:i w:val="0"/>
        </w:rPr>
        <w:t>Key revisions, in order:</w:t>
      </w:r>
      <w:r>
        <w:rPr>
          <w:b w:val="0"/>
          <w:i w:val="0"/>
        </w:rPr>
        <w:t xml:space="preserve"> (1) FY26 revenue growth cut 7.5–9% → 6.9–7.7%; (2) standalone costs to the high end (~150bp; 75bp in 2026, 150bp in 2027); (3) one-time stand-up cash to ~$100m, ~50% capitalised; (4) margin-expansion start set at 2028 from a ~39.1% pro-forma base; (5) dividend set at the top of the payout range; (6) CARFAX Germany pulled forward to July 2026; (7) Car Care goal reframed to &gt;100m US </w:t>
      </w:r>
      <w:r>
        <w:rPr>
          <w:b/>
          <w:color w:val="2E548C"/>
          <w:sz w:val="16"/>
        </w:rPr>
        <w:t>[IR]</w:t>
      </w:r>
      <w:r>
        <w:rPr>
          <w:b w:val="0"/>
          <w:i w:val="0"/>
        </w:rPr>
        <w:t>.</w:t>
      </w:r>
    </w:p>
    <w:tbl>
      <w:tblPr>
        <w:tblW w:type="auto" w:w="0"/>
        <w:jc w:val="center"/>
        <w:tblLook w:firstColumn="1" w:firstRow="1" w:lastColumn="0" w:lastRow="0" w:noHBand="0" w:noVBand="1" w:val="04A0"/>
        <w:tblBorders>
          <w:top w:val="nil" w:sz="0" w:space="0" w:color="auto"/>
          <w:left w:val="single" w:sz="24" w:space="0" w:color="1F3864"/>
          <w:bottom w:val="nil" w:sz="0" w:space="0" w:color="auto"/>
          <w:right w:val="nil" w:sz="0" w:space="0" w:color="auto"/>
          <w:insideH w:val="nil" w:sz="0" w:space="0" w:color="auto"/>
          <w:insideV w:val="nil" w:sz="0" w:space="0" w:color="auto"/>
        </w:tblBorders>
        <w:tblCellMar>
          <w:top w:w="90" w:type="dxa"/>
          <w:left w:w="160" w:type="dxa"/>
          <w:bottom w:w="90" w:type="dxa"/>
          <w:right w:w="120" w:type="dxa"/>
        </w:tblCellMar>
      </w:tblPr>
      <w:tblGrid>
        <w:gridCol w:w="8928"/>
      </w:tblGrid>
      <w:tr>
        <w:trPr>
          <w:cantSplit/>
        </w:trPr>
        <w:tc>
          <w:tcPr>
            <w:tcW w:type="dxa" w:w="8928"/>
            <w:shd w:val="clear" w:color="auto" w:fill="EEF2F9"/>
          </w:tcPr>
          <w:p>
            <w:pPr>
              <w:spacing w:after="60"/>
            </w:pPr>
            <w:r>
              <w:rPr>
                <w:i/>
                <w:color w:val="262626"/>
                <w:sz w:val="19"/>
              </w:rPr>
              <w:t>“So we're probably not going to get to the full 50 basis point expansion target until 2028.”</w:t>
            </w:r>
          </w:p>
          <w:p>
            <w:pPr>
              <w:spacing w:after="0"/>
            </w:pPr>
            <w:r>
              <w:rPr>
                <w:b w:val="0"/>
                <w:i w:val="0"/>
                <w:color w:val="1F3864"/>
                <w:sz w:val="15"/>
              </w:rPr>
              <w:t xml:space="preserve">— Matt Calderone (CFO), Goldman Sachs Communacopia + Technology Conference 2026, 2026-09-10 · Quartr t=1642.34s </w:t>
            </w:r>
            <w:r>
              <w:rPr>
                <w:b/>
                <w:color w:val="2E548C"/>
                <w:sz w:val="12"/>
              </w:rPr>
              <w:t>[IR]</w:t>
            </w:r>
          </w:p>
        </w:tc>
      </w:tr>
    </w:tbl>
    <w:p>
      <w:pPr>
        <w:spacing w:after="40"/>
      </w:pPr>
    </w:p>
    <w:p>
      <w:r>
        <w:rPr>
          <w:b w:val="0"/>
          <w:i w:val="0"/>
        </w:rPr>
        <w:t xml:space="preserve">Implication for modelling (D10 §4, inference): use ~6.5–7.5% OCC growth for FY26–27 rather than the 7.5–10% medium-term band, which starts in 2028 per the CFO; haircut margin targets; model the ~$100m one-time cost and the $78m of transaction costs to date as real cash. </w:t>
      </w:r>
      <w:r>
        <w:rPr>
          <w:b/>
          <w:color w:val="E36C09"/>
        </w:rPr>
        <w:t>[TO COLLECT #53: FY27 guidance (promised broader scope) when issued]</w:t>
      </w:r>
      <w:r>
        <w:rPr>
          <w:b w:val="0"/>
          <w:i w:val="0"/>
        </w:rPr>
        <w:t>.</w:t>
      </w:r>
    </w:p>
    <w:p>
      <w:pPr>
        <w:pStyle w:val="Heading1"/>
        <w:pageBreakBefore/>
      </w:pPr>
      <w:r>
        <w:t>11 Pricing</w:t>
      </w:r>
    </w:p>
    <w:p>
      <w:pPr>
        <w:pStyle w:val="ListBullet"/>
      </w:pPr>
      <w:r>
        <w:rPr>
          <w:b/>
          <w:i w:val="0"/>
        </w:rPr>
        <w:t>Only one hard quantification of price exists.</w:t>
      </w:r>
      <w:r>
        <w:rPr>
          <w:b w:val="0"/>
          <w:i w:val="0"/>
        </w:rPr>
        <w:t xml:space="preserve"> The 10-Q: growth “driven primarily by price increases of approximately $16 million and $36 million” (Q2 / 6M-26) vs “continued new business growth of approximately $8 million and $20 million” </w:t>
      </w:r>
      <w:r>
        <w:rPr>
          <w:b/>
          <w:color w:val="2E548C"/>
          <w:sz w:val="16"/>
        </w:rPr>
        <w:t>[D]</w:t>
      </w:r>
      <w:r>
        <w:rPr>
          <w:b w:val="0"/>
          <w:i w:val="0"/>
        </w:rPr>
        <w:t xml:space="preserve"> (10Q p.27). Price ≈ 55–56% of revenue growth </w:t>
      </w:r>
      <w:r>
        <w:rPr>
          <w:b/>
          <w:color w:val="2E548C"/>
          <w:sz w:val="16"/>
        </w:rPr>
        <w:t>[C]</w:t>
      </w:r>
      <w:r>
        <w:rPr>
          <w:b w:val="0"/>
          <w:i w:val="0"/>
        </w:rPr>
        <w:t xml:space="preserve">; ≈3.6pt (Q2) and ≈4.2pt (6M) of growth </w:t>
      </w:r>
      <w:r>
        <w:rPr>
          <w:b/>
          <w:color w:val="2E548C"/>
          <w:sz w:val="16"/>
        </w:rPr>
        <w:t>[C]</w:t>
      </w:r>
      <w:r>
        <w:rPr>
          <w:b w:val="0"/>
          <w:i w:val="0"/>
        </w:rPr>
        <w:t>.</w:t>
      </w:r>
    </w:p>
    <w:p>
      <w:pPr>
        <w:pStyle w:val="ListBullet"/>
      </w:pPr>
      <w:r>
        <w:rPr>
          <w:b/>
          <w:i w:val="0"/>
        </w:rPr>
        <w:t>CARFAX is the price engine</w:t>
      </w:r>
      <w:r>
        <w:rPr>
          <w:b w:val="0"/>
          <w:i w:val="0"/>
        </w:rPr>
        <w:t xml:space="preserve"> (“primarily driven by price increases”); B2B growth is “primarily due to continued new business growth” </w:t>
      </w:r>
      <w:r>
        <w:rPr>
          <w:b/>
          <w:color w:val="2E548C"/>
          <w:sz w:val="16"/>
        </w:rPr>
        <w:t>[D]</w:t>
      </w:r>
      <w:r>
        <w:rPr>
          <w:b w:val="0"/>
          <w:i w:val="0"/>
        </w:rPr>
        <w:t xml:space="preserve"> (10Q p.28–29).</w:t>
      </w:r>
    </w:p>
    <w:p>
      <w:pPr>
        <w:pStyle w:val="ListBullet"/>
      </w:pPr>
      <w:r>
        <w:rPr>
          <w:b/>
          <w:i w:val="0"/>
        </w:rPr>
        <w:t>Doctrine is value-based, not escalator-based</w:t>
      </w:r>
      <w:r>
        <w:rPr>
          <w:b w:val="0"/>
          <w:i w:val="0"/>
        </w:rPr>
        <w:t xml:space="preserve"> </w:t>
      </w:r>
      <w:r>
        <w:rPr>
          <w:b/>
          <w:color w:val="2E548C"/>
          <w:sz w:val="16"/>
        </w:rPr>
        <w:t>[IR]</w:t>
      </w:r>
      <w:r>
        <w:rPr>
          <w:b w:val="0"/>
          <w:i w:val="0"/>
        </w:rPr>
        <w:t xml:space="preserve">; pricing actions land early in the year </w:t>
      </w:r>
      <w:r>
        <w:rPr>
          <w:b/>
          <w:color w:val="2E548C"/>
          <w:sz w:val="16"/>
        </w:rPr>
        <w:t>[IR]</w:t>
      </w:r>
      <w:r>
        <w:rPr>
          <w:b w:val="0"/>
          <w:i w:val="0"/>
        </w:rPr>
        <w:t>.</w:t>
      </w:r>
    </w:p>
    <w:p>
      <w:pPr>
        <w:pStyle w:val="ListBullet"/>
      </w:pPr>
      <w:r>
        <w:rPr>
          <w:b/>
          <w:i w:val="0"/>
        </w:rPr>
        <w:t>Vocabulary history:</w:t>
      </w:r>
      <w:r>
        <w:rPr>
          <w:b w:val="0"/>
          <w:i w:val="0"/>
        </w:rPr>
        <w:t xml:space="preserve"> S&amp;P Global named price as the Dealer driver every quarter of 2023, then switched to “new business growth” from Q1-24; the Form 10/A used “improved contract terms”; the 10-Q is the first MBGL filing to say “price increases” (D7 §1; D4 §3).</w:t>
      </w:r>
    </w:p>
    <w:p>
      <w:pPr>
        <w:keepNext/>
        <w:spacing w:before="80" w:after="40"/>
      </w:pPr>
      <w:r>
        <w:rPr>
          <w:b/>
          <w:i w:val="0"/>
          <w:color w:val="1F3864"/>
          <w:sz w:val="17"/>
        </w:rPr>
        <w:t>Exhibit 11.1 — Price vs new business, 1H-26 ($m)</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3167"/>
        <w:gridCol w:w="2304"/>
        <w:gridCol w:w="2159"/>
        <w:gridCol w:w="2159"/>
      </w:tblGrid>
      <w:tr>
        <w:trPr>
          <w:cantSplit/>
          <w:tblHeader/>
        </w:trPr>
        <w:tc>
          <w:tcPr>
            <w:tcW w:type="dxa" w:w="3168"/>
            <w:shd w:val="clear" w:color="auto" w:fill="1F3864"/>
          </w:tcPr>
          <w:p>
            <w:pPr>
              <w:spacing w:after="0" w:line="240" w:lineRule="auto"/>
            </w:pPr>
          </w:p>
        </w:tc>
        <w:tc>
          <w:tcPr>
            <w:tcW w:type="dxa" w:w="2304"/>
            <w:shd w:val="clear" w:color="auto" w:fill="1F3864"/>
          </w:tcPr>
          <w:p>
            <w:pPr>
              <w:spacing w:after="0" w:line="240" w:lineRule="auto"/>
              <w:jc w:val="right"/>
            </w:pPr>
            <w:r>
              <w:rPr>
                <w:b/>
                <w:i w:val="0"/>
                <w:color w:val="FFFFFF"/>
                <w:sz w:val="16"/>
              </w:rPr>
              <w:t>Q1-26 (implied)</w:t>
            </w:r>
          </w:p>
        </w:tc>
        <w:tc>
          <w:tcPr>
            <w:tcW w:type="dxa" w:w="2160"/>
            <w:shd w:val="clear" w:color="auto" w:fill="1F3864"/>
          </w:tcPr>
          <w:p>
            <w:pPr>
              <w:spacing w:after="0" w:line="240" w:lineRule="auto"/>
              <w:jc w:val="right"/>
            </w:pPr>
            <w:r>
              <w:rPr>
                <w:b/>
                <w:i w:val="0"/>
                <w:color w:val="FFFFFF"/>
                <w:sz w:val="16"/>
              </w:rPr>
              <w:t>Q2-26</w:t>
            </w:r>
          </w:p>
        </w:tc>
        <w:tc>
          <w:tcPr>
            <w:tcW w:type="dxa" w:w="2160"/>
            <w:shd w:val="clear" w:color="auto" w:fill="1F3864"/>
          </w:tcPr>
          <w:p>
            <w:pPr>
              <w:spacing w:after="0" w:line="240" w:lineRule="auto"/>
              <w:jc w:val="right"/>
            </w:pPr>
            <w:r>
              <w:rPr>
                <w:b/>
                <w:i w:val="0"/>
                <w:color w:val="FFFFFF"/>
                <w:sz w:val="16"/>
              </w:rPr>
              <w:t>6M-26</w:t>
            </w:r>
          </w:p>
        </w:tc>
      </w:tr>
      <w:tr>
        <w:trPr>
          <w:cantSplit/>
        </w:trPr>
        <w:tc>
          <w:tcPr>
            <w:tcW w:type="dxa" w:w="3168"/>
          </w:tcPr>
          <w:p>
            <w:pPr>
              <w:spacing w:after="0" w:line="240" w:lineRule="auto"/>
            </w:pPr>
            <w:r>
              <w:rPr>
                <w:b w:val="0"/>
                <w:i w:val="0"/>
                <w:sz w:val="16"/>
              </w:rPr>
              <w:t>Revenue Δ</w:t>
            </w:r>
          </w:p>
        </w:tc>
        <w:tc>
          <w:tcPr>
            <w:tcW w:type="dxa" w:w="2304"/>
          </w:tcPr>
          <w:p>
            <w:pPr>
              <w:spacing w:after="0" w:line="240" w:lineRule="auto"/>
              <w:jc w:val="right"/>
            </w:pPr>
            <w:r>
              <w:rPr>
                <w:b w:val="0"/>
                <w:i w:val="0"/>
                <w:sz w:val="16"/>
              </w:rPr>
              <w:t xml:space="preserve">35 </w:t>
            </w:r>
            <w:r>
              <w:rPr>
                <w:b/>
                <w:color w:val="2E548C"/>
                <w:sz w:val="13"/>
              </w:rPr>
              <w:t>[C]</w:t>
            </w:r>
          </w:p>
        </w:tc>
        <w:tc>
          <w:tcPr>
            <w:tcW w:type="dxa" w:w="2160"/>
          </w:tcPr>
          <w:p>
            <w:pPr>
              <w:spacing w:after="0" w:line="240" w:lineRule="auto"/>
              <w:jc w:val="right"/>
            </w:pPr>
            <w:r>
              <w:rPr>
                <w:b w:val="0"/>
                <w:i w:val="0"/>
                <w:sz w:val="16"/>
              </w:rPr>
              <w:t xml:space="preserve">29 </w:t>
            </w:r>
            <w:r>
              <w:rPr>
                <w:b/>
                <w:color w:val="2E548C"/>
                <w:sz w:val="13"/>
              </w:rPr>
              <w:t>[D]</w:t>
            </w:r>
          </w:p>
        </w:tc>
        <w:tc>
          <w:tcPr>
            <w:tcW w:type="dxa" w:w="2160"/>
          </w:tcPr>
          <w:p>
            <w:pPr>
              <w:spacing w:after="0" w:line="240" w:lineRule="auto"/>
              <w:jc w:val="right"/>
            </w:pPr>
            <w:r>
              <w:rPr>
                <w:b w:val="0"/>
                <w:i w:val="0"/>
                <w:sz w:val="16"/>
              </w:rPr>
              <w:t xml:space="preserve">64 </w:t>
            </w:r>
            <w:r>
              <w:rPr>
                <w:b/>
                <w:color w:val="2E548C"/>
                <w:sz w:val="13"/>
              </w:rPr>
              <w:t>[D]</w:t>
            </w:r>
          </w:p>
        </w:tc>
      </w:tr>
      <w:tr>
        <w:trPr>
          <w:cantSplit/>
        </w:trPr>
        <w:tc>
          <w:tcPr>
            <w:tcW w:type="dxa" w:w="3168"/>
            <w:shd w:val="clear" w:color="auto" w:fill="D9E1F2"/>
          </w:tcPr>
          <w:p>
            <w:pPr>
              <w:spacing w:after="0" w:line="240" w:lineRule="auto"/>
            </w:pPr>
            <w:r>
              <w:rPr>
                <w:b w:val="0"/>
                <w:i w:val="0"/>
                <w:sz w:val="16"/>
              </w:rPr>
              <w:t>Price</w:t>
            </w:r>
          </w:p>
        </w:tc>
        <w:tc>
          <w:tcPr>
            <w:tcW w:type="dxa" w:w="2304"/>
            <w:shd w:val="clear" w:color="auto" w:fill="D9E1F2"/>
          </w:tcPr>
          <w:p>
            <w:pPr>
              <w:spacing w:after="0" w:line="240" w:lineRule="auto"/>
              <w:jc w:val="right"/>
            </w:pPr>
            <w:r>
              <w:rPr>
                <w:b w:val="0"/>
                <w:i w:val="0"/>
                <w:sz w:val="16"/>
              </w:rPr>
              <w:t xml:space="preserve">~20 </w:t>
            </w:r>
            <w:r>
              <w:rPr>
                <w:b/>
                <w:color w:val="2E548C"/>
                <w:sz w:val="13"/>
              </w:rPr>
              <w:t>[C]</w:t>
            </w:r>
          </w:p>
        </w:tc>
        <w:tc>
          <w:tcPr>
            <w:tcW w:type="dxa" w:w="2160"/>
            <w:shd w:val="clear" w:color="auto" w:fill="D9E1F2"/>
          </w:tcPr>
          <w:p>
            <w:pPr>
              <w:spacing w:after="0" w:line="240" w:lineRule="auto"/>
              <w:jc w:val="right"/>
            </w:pPr>
            <w:r>
              <w:rPr>
                <w:b w:val="0"/>
                <w:i w:val="0"/>
                <w:sz w:val="16"/>
              </w:rPr>
              <w:t xml:space="preserve">~16 </w:t>
            </w:r>
            <w:r>
              <w:rPr>
                <w:b/>
                <w:color w:val="2E548C"/>
                <w:sz w:val="13"/>
              </w:rPr>
              <w:t>[D]</w:t>
            </w:r>
          </w:p>
        </w:tc>
        <w:tc>
          <w:tcPr>
            <w:tcW w:type="dxa" w:w="2160"/>
            <w:shd w:val="clear" w:color="auto" w:fill="D9E1F2"/>
          </w:tcPr>
          <w:p>
            <w:pPr>
              <w:spacing w:after="0" w:line="240" w:lineRule="auto"/>
              <w:jc w:val="right"/>
            </w:pPr>
            <w:r>
              <w:rPr>
                <w:b w:val="0"/>
                <w:i w:val="0"/>
                <w:sz w:val="16"/>
              </w:rPr>
              <w:t xml:space="preserve">~36 </w:t>
            </w:r>
            <w:r>
              <w:rPr>
                <w:b/>
                <w:color w:val="2E548C"/>
                <w:sz w:val="13"/>
              </w:rPr>
              <w:t>[D]</w:t>
            </w:r>
          </w:p>
        </w:tc>
      </w:tr>
      <w:tr>
        <w:trPr>
          <w:cantSplit/>
        </w:trPr>
        <w:tc>
          <w:tcPr>
            <w:tcW w:type="dxa" w:w="3168"/>
          </w:tcPr>
          <w:p>
            <w:pPr>
              <w:spacing w:after="0" w:line="240" w:lineRule="auto"/>
            </w:pPr>
            <w:r>
              <w:rPr>
                <w:b w:val="0"/>
                <w:i w:val="0"/>
                <w:sz w:val="16"/>
              </w:rPr>
              <w:t>New business</w:t>
            </w:r>
          </w:p>
        </w:tc>
        <w:tc>
          <w:tcPr>
            <w:tcW w:type="dxa" w:w="2304"/>
          </w:tcPr>
          <w:p>
            <w:pPr>
              <w:spacing w:after="0" w:line="240" w:lineRule="auto"/>
              <w:jc w:val="right"/>
            </w:pPr>
            <w:r>
              <w:rPr>
                <w:b w:val="0"/>
                <w:i w:val="0"/>
                <w:sz w:val="16"/>
              </w:rPr>
              <w:t xml:space="preserve">~12 </w:t>
            </w:r>
            <w:r>
              <w:rPr>
                <w:b/>
                <w:color w:val="2E548C"/>
                <w:sz w:val="13"/>
              </w:rPr>
              <w:t>[C]</w:t>
            </w:r>
            <w:r>
              <w:rPr>
                <w:b w:val="0"/>
                <w:i w:val="0"/>
                <w:sz w:val="16"/>
              </w:rPr>
              <w:t xml:space="preserve"> (10A said 26)</w:t>
            </w:r>
          </w:p>
        </w:tc>
        <w:tc>
          <w:tcPr>
            <w:tcW w:type="dxa" w:w="2160"/>
          </w:tcPr>
          <w:p>
            <w:pPr>
              <w:spacing w:after="0" w:line="240" w:lineRule="auto"/>
              <w:jc w:val="right"/>
            </w:pPr>
            <w:r>
              <w:rPr>
                <w:b w:val="0"/>
                <w:i w:val="0"/>
                <w:sz w:val="16"/>
              </w:rPr>
              <w:t xml:space="preserve">~8 </w:t>
            </w:r>
            <w:r>
              <w:rPr>
                <w:b/>
                <w:color w:val="2E548C"/>
                <w:sz w:val="13"/>
              </w:rPr>
              <w:t>[D]</w:t>
            </w:r>
          </w:p>
        </w:tc>
        <w:tc>
          <w:tcPr>
            <w:tcW w:type="dxa" w:w="2160"/>
          </w:tcPr>
          <w:p>
            <w:pPr>
              <w:spacing w:after="0" w:line="240" w:lineRule="auto"/>
              <w:jc w:val="right"/>
            </w:pPr>
            <w:r>
              <w:rPr>
                <w:b w:val="0"/>
                <w:i w:val="0"/>
                <w:sz w:val="16"/>
              </w:rPr>
              <w:t xml:space="preserve">~20 </w:t>
            </w:r>
            <w:r>
              <w:rPr>
                <w:b/>
                <w:color w:val="2E548C"/>
                <w:sz w:val="13"/>
              </w:rPr>
              <w:t>[D]</w:t>
            </w:r>
          </w:p>
        </w:tc>
      </w:tr>
      <w:tr>
        <w:trPr>
          <w:cantSplit/>
        </w:trPr>
        <w:tc>
          <w:tcPr>
            <w:tcW w:type="dxa" w:w="3168"/>
            <w:shd w:val="clear" w:color="auto" w:fill="D9E1F2"/>
          </w:tcPr>
          <w:p>
            <w:pPr>
              <w:spacing w:after="0" w:line="240" w:lineRule="auto"/>
            </w:pPr>
            <w:r>
              <w:rPr>
                <w:b w:val="0"/>
                <w:i w:val="0"/>
                <w:sz w:val="16"/>
              </w:rPr>
              <w:t>Price pts of growth</w:t>
            </w:r>
          </w:p>
        </w:tc>
        <w:tc>
          <w:tcPr>
            <w:tcW w:type="dxa" w:w="2304"/>
            <w:shd w:val="clear" w:color="auto" w:fill="D9E1F2"/>
          </w:tcPr>
          <w:p>
            <w:pPr>
              <w:spacing w:after="0" w:line="240" w:lineRule="auto"/>
              <w:jc w:val="right"/>
            </w:pPr>
            <w:r>
              <w:rPr>
                <w:b w:val="0"/>
                <w:i w:val="0"/>
                <w:sz w:val="16"/>
              </w:rPr>
              <w:t xml:space="preserve">~4.8 </w:t>
            </w:r>
            <w:r>
              <w:rPr>
                <w:b/>
                <w:color w:val="2E548C"/>
                <w:sz w:val="13"/>
              </w:rPr>
              <w:t>[C]</w:t>
            </w:r>
          </w:p>
        </w:tc>
        <w:tc>
          <w:tcPr>
            <w:tcW w:type="dxa" w:w="2160"/>
            <w:shd w:val="clear" w:color="auto" w:fill="D9E1F2"/>
          </w:tcPr>
          <w:p>
            <w:pPr>
              <w:spacing w:after="0" w:line="240" w:lineRule="auto"/>
              <w:jc w:val="right"/>
            </w:pPr>
            <w:r>
              <w:rPr>
                <w:b w:val="0"/>
                <w:i w:val="0"/>
                <w:sz w:val="16"/>
              </w:rPr>
              <w:t xml:space="preserve">~3.6 </w:t>
            </w:r>
            <w:r>
              <w:rPr>
                <w:b/>
                <w:color w:val="2E548C"/>
                <w:sz w:val="13"/>
              </w:rPr>
              <w:t>[C]</w:t>
            </w:r>
          </w:p>
        </w:tc>
        <w:tc>
          <w:tcPr>
            <w:tcW w:type="dxa" w:w="2160"/>
            <w:shd w:val="clear" w:color="auto" w:fill="D9E1F2"/>
          </w:tcPr>
          <w:p>
            <w:pPr>
              <w:spacing w:after="0" w:line="240" w:lineRule="auto"/>
              <w:jc w:val="right"/>
            </w:pPr>
            <w:r>
              <w:rPr>
                <w:b w:val="0"/>
                <w:i w:val="0"/>
                <w:sz w:val="16"/>
              </w:rPr>
              <w:t xml:space="preserve">~4.2 </w:t>
            </w:r>
            <w:r>
              <w:rPr>
                <w:b/>
                <w:color w:val="2E548C"/>
                <w:sz w:val="13"/>
              </w:rPr>
              <w:t>[C]</w:t>
            </w:r>
          </w:p>
        </w:tc>
      </w:tr>
    </w:tbl>
    <w:p>
      <w:pPr>
        <w:spacing w:after="120"/>
      </w:pPr>
      <w:r>
        <w:rPr>
          <w:b w:val="0"/>
          <w:i/>
          <w:color w:val="595959"/>
          <w:sz w:val="15"/>
        </w:rPr>
        <w:t>Source: K_session_tables.md (D7; 10Q p.27). Q1 = 6M − Q2. The Form 10/A attributed $26m of Q1-26 to new business and $2m to underwriting (D4 §3).</w:t>
      </w:r>
    </w:p>
    <w:tbl>
      <w:tblPr>
        <w:tblW w:type="auto" w:w="0"/>
        <w:jc w:val="center"/>
        <w:tblLook w:firstColumn="1" w:firstRow="1" w:lastColumn="0" w:lastRow="0" w:noHBand="0" w:noVBand="1" w:val="04A0"/>
        <w:tblBorders>
          <w:top w:val="nil" w:sz="0" w:space="0" w:color="auto"/>
          <w:left w:val="single" w:sz="24" w:space="0" w:color="1F3864"/>
          <w:bottom w:val="nil" w:sz="0" w:space="0" w:color="auto"/>
          <w:right w:val="nil" w:sz="0" w:space="0" w:color="auto"/>
          <w:insideH w:val="nil" w:sz="0" w:space="0" w:color="auto"/>
          <w:insideV w:val="nil" w:sz="0" w:space="0" w:color="auto"/>
        </w:tblBorders>
        <w:tblCellMar>
          <w:top w:w="90" w:type="dxa"/>
          <w:left w:w="160" w:type="dxa"/>
          <w:bottom w:w="90" w:type="dxa"/>
          <w:right w:w="120" w:type="dxa"/>
        </w:tblCellMar>
      </w:tblPr>
      <w:tblGrid>
        <w:gridCol w:w="8928"/>
      </w:tblGrid>
      <w:tr>
        <w:trPr>
          <w:cantSplit/>
        </w:trPr>
        <w:tc>
          <w:tcPr>
            <w:tcW w:type="dxa" w:w="8928"/>
            <w:shd w:val="clear" w:color="auto" w:fill="EEF2F9"/>
          </w:tcPr>
          <w:p>
            <w:pPr>
              <w:spacing w:after="60"/>
            </w:pPr>
            <w:r>
              <w:rPr>
                <w:i/>
                <w:color w:val="262626"/>
                <w:sz w:val="19"/>
              </w:rPr>
              <w:t>“Again, this is not as simple as saying we've got this very static product, and every year we're going to increase price by 3%, 4%, 5%. That's not actually how it works in reality.”</w:t>
            </w:r>
          </w:p>
          <w:p>
            <w:pPr>
              <w:spacing w:after="0"/>
            </w:pPr>
            <w:r>
              <w:rPr>
                <w:b w:val="0"/>
                <w:i w:val="0"/>
                <w:color w:val="1F3864"/>
                <w:sz w:val="15"/>
              </w:rPr>
              <w:t xml:space="preserve">— Matt Calderone (CFO), Investor Day 2026, 2026-05-12 · Quartr t=10222.16s </w:t>
            </w:r>
            <w:r>
              <w:rPr>
                <w:b/>
                <w:color w:val="2E548C"/>
                <w:sz w:val="12"/>
              </w:rPr>
              <w:t>[IR]</w:t>
            </w:r>
          </w:p>
        </w:tc>
      </w:tr>
    </w:tbl>
    <w:p>
      <w:pPr>
        <w:spacing w:after="40"/>
      </w:pPr>
    </w:p>
    <w:tbl>
      <w:tblPr>
        <w:tblW w:type="auto" w:w="0"/>
        <w:jc w:val="center"/>
        <w:tblLook w:firstColumn="1" w:firstRow="1" w:lastColumn="0" w:lastRow="0" w:noHBand="0" w:noVBand="1" w:val="04A0"/>
        <w:tblBorders>
          <w:top w:val="nil" w:sz="0" w:space="0" w:color="auto"/>
          <w:left w:val="single" w:sz="24" w:space="0" w:color="1F3864"/>
          <w:bottom w:val="nil" w:sz="0" w:space="0" w:color="auto"/>
          <w:right w:val="nil" w:sz="0" w:space="0" w:color="auto"/>
          <w:insideH w:val="nil" w:sz="0" w:space="0" w:color="auto"/>
          <w:insideV w:val="nil" w:sz="0" w:space="0" w:color="auto"/>
        </w:tblBorders>
        <w:tblCellMar>
          <w:top w:w="90" w:type="dxa"/>
          <w:left w:w="160" w:type="dxa"/>
          <w:bottom w:w="90" w:type="dxa"/>
          <w:right w:w="120" w:type="dxa"/>
        </w:tblCellMar>
      </w:tblPr>
      <w:tblGrid>
        <w:gridCol w:w="8928"/>
      </w:tblGrid>
      <w:tr>
        <w:trPr>
          <w:cantSplit/>
        </w:trPr>
        <w:tc>
          <w:tcPr>
            <w:tcW w:type="dxa" w:w="8928"/>
            <w:shd w:val="clear" w:color="auto" w:fill="EEF2F9"/>
          </w:tcPr>
          <w:p>
            <w:pPr>
              <w:spacing w:after="60"/>
            </w:pPr>
            <w:r>
              <w:rPr>
                <w:i/>
                <w:color w:val="262626"/>
                <w:sz w:val="19"/>
              </w:rPr>
              <w:t>“You're right, it's value plus volume in the 5%-7%. I think you see we're relatively well penetrated, right? The majority of that is in value.”</w:t>
            </w:r>
          </w:p>
          <w:p>
            <w:pPr>
              <w:spacing w:after="0"/>
            </w:pPr>
            <w:r>
              <w:rPr>
                <w:b w:val="0"/>
                <w:i w:val="0"/>
                <w:color w:val="1F3864"/>
                <w:sz w:val="15"/>
              </w:rPr>
              <w:t xml:space="preserve">— Matt Calderone (CFO), Investor Day 2026, 2026-05-12 · Quartr t=10629.67s </w:t>
            </w:r>
            <w:r>
              <w:rPr>
                <w:b/>
                <w:color w:val="2E548C"/>
                <w:sz w:val="12"/>
              </w:rPr>
              <w:t>[IR]</w:t>
            </w:r>
          </w:p>
        </w:tc>
      </w:tr>
    </w:tbl>
    <w:p>
      <w:pPr>
        <w:spacing w:after="40"/>
      </w:pPr>
    </w:p>
    <w:tbl>
      <w:tblPr>
        <w:tblW w:type="auto" w:w="0"/>
        <w:jc w:val="center"/>
        <w:tblLook w:firstColumn="1" w:firstRow="1" w:lastColumn="0" w:lastRow="0" w:noHBand="0" w:noVBand="1" w:val="04A0"/>
        <w:tblBorders>
          <w:top w:val="nil" w:sz="0" w:space="0" w:color="auto"/>
          <w:left w:val="single" w:sz="24" w:space="0" w:color="1F3864"/>
          <w:bottom w:val="nil" w:sz="0" w:space="0" w:color="auto"/>
          <w:right w:val="nil" w:sz="0" w:space="0" w:color="auto"/>
          <w:insideH w:val="nil" w:sz="0" w:space="0" w:color="auto"/>
          <w:insideV w:val="nil" w:sz="0" w:space="0" w:color="auto"/>
        </w:tblBorders>
        <w:tblCellMar>
          <w:top w:w="90" w:type="dxa"/>
          <w:left w:w="160" w:type="dxa"/>
          <w:bottom w:w="90" w:type="dxa"/>
          <w:right w:w="120" w:type="dxa"/>
        </w:tblCellMar>
      </w:tblPr>
      <w:tblGrid>
        <w:gridCol w:w="8928"/>
      </w:tblGrid>
      <w:tr>
        <w:trPr>
          <w:cantSplit/>
        </w:trPr>
        <w:tc>
          <w:tcPr>
            <w:tcW w:type="dxa" w:w="8928"/>
            <w:shd w:val="clear" w:color="auto" w:fill="EEF2F9"/>
          </w:tcPr>
          <w:p>
            <w:pPr>
              <w:spacing w:after="60"/>
            </w:pPr>
            <w:r>
              <w:rPr>
                <w:i/>
                <w:color w:val="262626"/>
                <w:sz w:val="19"/>
              </w:rPr>
              <w:t>“The preponderance of our pricing actions take effect early in the year, while our renewal cycles and our advertising and investment spend are weighted towards the back half.”</w:t>
            </w:r>
          </w:p>
          <w:p>
            <w:pPr>
              <w:spacing w:after="0"/>
            </w:pPr>
            <w:r>
              <w:rPr>
                <w:b w:val="0"/>
                <w:i w:val="0"/>
                <w:color w:val="1F3864"/>
                <w:sz w:val="15"/>
              </w:rPr>
              <w:t xml:space="preserve">— Matt Calderone (CFO), Q2 2026 Earnings Call, 2026-08-07 · Quartr t=1167.77s </w:t>
            </w:r>
            <w:r>
              <w:rPr>
                <w:b/>
                <w:color w:val="2E548C"/>
                <w:sz w:val="12"/>
              </w:rPr>
              <w:t>[IR]</w:t>
            </w:r>
          </w:p>
        </w:tc>
      </w:tr>
    </w:tbl>
    <w:p>
      <w:pPr>
        <w:spacing w:after="40"/>
      </w:pPr>
    </w:p>
    <w:p>
      <w:pPr>
        <w:keepNext/>
        <w:spacing w:before="80" w:after="40"/>
      </w:pPr>
      <w:r>
        <w:rPr>
          <w:b/>
          <w:i w:val="0"/>
          <w:color w:val="1F3864"/>
          <w:sz w:val="17"/>
        </w:rPr>
        <w:t>Exhibit 11.2 — Pricing levers and what is quantified</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015"/>
        <w:gridCol w:w="5184"/>
        <w:gridCol w:w="2592"/>
      </w:tblGrid>
      <w:tr>
        <w:trPr>
          <w:cantSplit/>
          <w:tblHeader/>
        </w:trPr>
        <w:tc>
          <w:tcPr>
            <w:tcW w:type="dxa" w:w="2016"/>
            <w:shd w:val="clear" w:color="auto" w:fill="1F3864"/>
          </w:tcPr>
          <w:p>
            <w:pPr>
              <w:spacing w:after="0" w:line="240" w:lineRule="auto"/>
            </w:pPr>
            <w:r>
              <w:rPr>
                <w:b/>
                <w:i w:val="0"/>
                <w:color w:val="FFFFFF"/>
                <w:sz w:val="15"/>
              </w:rPr>
              <w:t>Lever</w:t>
            </w:r>
          </w:p>
        </w:tc>
        <w:tc>
          <w:tcPr>
            <w:tcW w:type="dxa" w:w="5184"/>
            <w:shd w:val="clear" w:color="auto" w:fill="1F3864"/>
          </w:tcPr>
          <w:p>
            <w:pPr>
              <w:spacing w:after="0" w:line="240" w:lineRule="auto"/>
            </w:pPr>
            <w:r>
              <w:rPr>
                <w:b/>
                <w:i w:val="0"/>
                <w:color w:val="FFFFFF"/>
                <w:sz w:val="15"/>
              </w:rPr>
              <w:t>What is said</w:t>
            </w:r>
          </w:p>
        </w:tc>
        <w:tc>
          <w:tcPr>
            <w:tcW w:type="dxa" w:w="2592"/>
            <w:shd w:val="clear" w:color="auto" w:fill="1F3864"/>
          </w:tcPr>
          <w:p>
            <w:pPr>
              <w:spacing w:after="0" w:line="240" w:lineRule="auto"/>
            </w:pPr>
            <w:r>
              <w:rPr>
                <w:b/>
                <w:i w:val="0"/>
                <w:color w:val="FFFFFF"/>
                <w:sz w:val="15"/>
              </w:rPr>
              <w:t>Quantified?</w:t>
            </w:r>
          </w:p>
        </w:tc>
      </w:tr>
      <w:tr>
        <w:trPr>
          <w:cantSplit/>
        </w:trPr>
        <w:tc>
          <w:tcPr>
            <w:tcW w:type="dxa" w:w="2016"/>
          </w:tcPr>
          <w:p>
            <w:pPr>
              <w:spacing w:after="0" w:line="240" w:lineRule="auto"/>
            </w:pPr>
            <w:r>
              <w:rPr>
                <w:b/>
                <w:i w:val="0"/>
                <w:sz w:val="15"/>
              </w:rPr>
              <w:t>CARFAX dealer price increases</w:t>
            </w:r>
          </w:p>
        </w:tc>
        <w:tc>
          <w:tcPr>
            <w:tcW w:type="dxa" w:w="5184"/>
          </w:tcPr>
          <w:p>
            <w:pPr>
              <w:spacing w:after="0" w:line="240" w:lineRule="auto"/>
            </w:pPr>
            <w:r>
              <w:rPr>
                <w:b w:val="0"/>
                <w:i w:val="0"/>
                <w:sz w:val="15"/>
              </w:rPr>
              <w:t xml:space="preserve">10Q says CARFAX subscription growth was "primarily driven by price increases" </w:t>
            </w:r>
            <w:r>
              <w:rPr>
                <w:b/>
                <w:color w:val="2E548C"/>
                <w:sz w:val="12"/>
              </w:rPr>
              <w:t>[D]</w:t>
            </w:r>
            <w:r>
              <w:rPr>
                <w:b w:val="0"/>
                <w:i w:val="0"/>
                <w:sz w:val="15"/>
              </w:rPr>
              <w:t xml:space="preserve">. Pricing lands "early in the year" </w:t>
            </w:r>
            <w:r>
              <w:rPr>
                <w:b/>
                <w:color w:val="2E548C"/>
                <w:sz w:val="12"/>
              </w:rPr>
              <w:t>[IR]</w:t>
            </w:r>
            <w:r>
              <w:rPr>
                <w:b w:val="0"/>
                <w:i w:val="0"/>
                <w:sz w:val="15"/>
              </w:rPr>
              <w:t>.</w:t>
            </w:r>
          </w:p>
        </w:tc>
        <w:tc>
          <w:tcPr>
            <w:tcW w:type="dxa" w:w="2592"/>
          </w:tcPr>
          <w:p>
            <w:pPr>
              <w:spacing w:after="0" w:line="240" w:lineRule="auto"/>
            </w:pPr>
            <w:r>
              <w:rPr>
                <w:b/>
                <w:i w:val="0"/>
                <w:sz w:val="15"/>
              </w:rPr>
              <w:t>Partly.</w:t>
            </w:r>
            <w:r>
              <w:rPr>
                <w:b w:val="0"/>
                <w:i w:val="0"/>
                <w:sz w:val="15"/>
              </w:rPr>
              <w:t xml:space="preserve"> Total-company price ≈ $16m (Q2) / $36m (6M) </w:t>
            </w:r>
            <w:r>
              <w:rPr>
                <w:b/>
                <w:color w:val="2E548C"/>
                <w:sz w:val="12"/>
              </w:rPr>
              <w:t>[D]</w:t>
            </w:r>
            <w:r>
              <w:rPr>
                <w:b w:val="0"/>
                <w:i w:val="0"/>
                <w:sz w:val="15"/>
              </w:rPr>
              <w:t>. CARFAX share is not split. If all price were CARFAX, it would equal ≈ 5.5% of Q2-25 CARFAX revenue (16/289) and ≈ 6.4% of 6M-25 (36/564) [E: upper bound, assumes no B2B price].</w:t>
            </w:r>
          </w:p>
        </w:tc>
      </w:tr>
      <w:tr>
        <w:trPr>
          <w:cantSplit/>
        </w:trPr>
        <w:tc>
          <w:tcPr>
            <w:tcW w:type="dxa" w:w="2016"/>
            <w:shd w:val="clear" w:color="auto" w:fill="D9E1F2"/>
          </w:tcPr>
          <w:p>
            <w:pPr>
              <w:spacing w:after="0" w:line="240" w:lineRule="auto"/>
            </w:pPr>
            <w:r>
              <w:rPr>
                <w:b/>
                <w:i w:val="0"/>
                <w:sz w:val="15"/>
              </w:rPr>
              <w:t>Consumer report pricing</w:t>
            </w:r>
          </w:p>
        </w:tc>
        <w:tc>
          <w:tcPr>
            <w:tcW w:type="dxa" w:w="5184"/>
            <w:shd w:val="clear" w:color="auto" w:fill="D9E1F2"/>
          </w:tcPr>
          <w:p>
            <w:pPr>
              <w:spacing w:after="0" w:line="240" w:lineRule="auto"/>
            </w:pPr>
            <w:r>
              <w:rPr>
                <w:b w:val="0"/>
                <w:i w:val="0"/>
                <w:sz w:val="15"/>
              </w:rPr>
              <w:t xml:space="preserve">"Most consumers, though, the typical scenario is the dealer makes it available at no charge online and in their showroom" [Investor Day : Fredericks : 2026-05-12 : 9483.13s]. Report cost is declining as a share of the car price </w:t>
            </w:r>
            <w:r>
              <w:rPr>
                <w:b/>
                <w:color w:val="2E548C"/>
                <w:sz w:val="12"/>
              </w:rPr>
              <w:t>[IR]</w:t>
            </w:r>
            <w:r>
              <w:rPr>
                <w:b w:val="0"/>
                <w:i w:val="0"/>
                <w:sz w:val="15"/>
              </w:rPr>
              <w:t xml:space="preserve">. The average used price on ID-deck slide 70 is $28,377 </w:t>
            </w:r>
            <w:r>
              <w:rPr>
                <w:b/>
                <w:color w:val="2E548C"/>
                <w:sz w:val="12"/>
              </w:rPr>
              <w:t>[D, management-cited]</w:t>
            </w:r>
            <w:r>
              <w:rPr>
                <w:b w:val="0"/>
                <w:i w:val="0"/>
                <w:sz w:val="15"/>
              </w:rPr>
              <w:t>.</w:t>
            </w:r>
          </w:p>
        </w:tc>
        <w:tc>
          <w:tcPr>
            <w:tcW w:type="dxa" w:w="2592"/>
            <w:shd w:val="clear" w:color="auto" w:fill="D9E1F2"/>
          </w:tcPr>
          <w:p>
            <w:pPr>
              <w:spacing w:after="0" w:line="240" w:lineRule="auto"/>
            </w:pPr>
            <w:r>
              <w:rPr>
                <w:b/>
                <w:i w:val="0"/>
                <w:sz w:val="15"/>
              </w:rPr>
              <w:t>None.</w:t>
            </w:r>
            <w:r>
              <w:rPr>
                <w:b w:val="0"/>
                <w:i w:val="0"/>
                <w:sz w:val="15"/>
              </w:rPr>
              <w:t xml:space="preserve"> No consumer report price, volume or revenue is disclosed. CARFAX non-subscription was $215m in FY25 </w:t>
            </w:r>
            <w:r>
              <w:rPr>
                <w:b/>
                <w:color w:val="2E548C"/>
                <w:sz w:val="12"/>
              </w:rPr>
              <w:t>[D]</w:t>
            </w:r>
            <w:r>
              <w:rPr>
                <w:b w:val="0"/>
                <w:i w:val="0"/>
                <w:sz w:val="15"/>
              </w:rPr>
              <w:t xml:space="preserve"> (10A p.355), which includes consumer and BIG transactional revenue.</w:t>
            </w:r>
          </w:p>
        </w:tc>
      </w:tr>
      <w:tr>
        <w:trPr>
          <w:cantSplit/>
        </w:trPr>
        <w:tc>
          <w:tcPr>
            <w:tcW w:type="dxa" w:w="2016"/>
          </w:tcPr>
          <w:p>
            <w:pPr>
              <w:spacing w:after="0" w:line="240" w:lineRule="auto"/>
            </w:pPr>
            <w:r>
              <w:rPr>
                <w:b/>
                <w:i w:val="0"/>
                <w:sz w:val="15"/>
              </w:rPr>
              <w:t>B2B price escalators</w:t>
            </w:r>
          </w:p>
        </w:tc>
        <w:tc>
          <w:tcPr>
            <w:tcW w:type="dxa" w:w="5184"/>
          </w:tcPr>
          <w:p>
            <w:pPr>
              <w:spacing w:after="0" w:line="240" w:lineRule="auto"/>
            </w:pPr>
            <w:r>
              <w:rPr>
                <w:b w:val="0"/>
                <w:i w:val="0"/>
                <w:sz w:val="15"/>
              </w:rPr>
              <w:t xml:space="preserve">No statement found in the 10A, 10Q, the three MBGL transcripts or the SPGI Mobility commentary searched. B2B growth is "primarily due to continued new business growth" </w:t>
            </w:r>
            <w:r>
              <w:rPr>
                <w:b/>
                <w:color w:val="2E548C"/>
                <w:sz w:val="12"/>
              </w:rPr>
              <w:t>[D]</w:t>
            </w:r>
            <w:r>
              <w:rPr>
                <w:b w:val="0"/>
                <w:i w:val="0"/>
                <w:sz w:val="15"/>
              </w:rPr>
              <w:t xml:space="preserve"> (10Q p.29). The Planning competitor is called a "low-cost alternative" </w:t>
            </w:r>
            <w:r>
              <w:rPr>
                <w:b/>
                <w:color w:val="2E548C"/>
                <w:sz w:val="12"/>
              </w:rPr>
              <w:t>[IR]</w:t>
            </w:r>
            <w:r>
              <w:rPr>
                <w:b w:val="0"/>
                <w:i w:val="0"/>
                <w:sz w:val="15"/>
              </w:rPr>
              <w:t>.</w:t>
            </w:r>
          </w:p>
        </w:tc>
        <w:tc>
          <w:tcPr>
            <w:tcW w:type="dxa" w:w="2592"/>
          </w:tcPr>
          <w:p>
            <w:pPr>
              <w:spacing w:after="0" w:line="240" w:lineRule="auto"/>
            </w:pPr>
            <w:r>
              <w:rPr>
                <w:b/>
                <w:i w:val="0"/>
                <w:sz w:val="15"/>
              </w:rPr>
              <w:t>None.</w:t>
            </w:r>
          </w:p>
        </w:tc>
      </w:tr>
      <w:tr>
        <w:trPr>
          <w:cantSplit/>
        </w:trPr>
        <w:tc>
          <w:tcPr>
            <w:tcW w:type="dxa" w:w="2016"/>
            <w:shd w:val="clear" w:color="auto" w:fill="D9E1F2"/>
          </w:tcPr>
          <w:p>
            <w:pPr>
              <w:spacing w:after="0" w:line="240" w:lineRule="auto"/>
            </w:pPr>
            <w:r>
              <w:rPr>
                <w:b/>
                <w:i w:val="0"/>
                <w:sz w:val="15"/>
              </w:rPr>
              <w:t>BIG / Financials (lenders, insurers)</w:t>
            </w:r>
          </w:p>
        </w:tc>
        <w:tc>
          <w:tcPr>
            <w:tcW w:type="dxa" w:w="5184"/>
            <w:shd w:val="clear" w:color="auto" w:fill="D9E1F2"/>
          </w:tcPr>
          <w:p>
            <w:pPr>
              <w:spacing w:after="0" w:line="240" w:lineRule="auto"/>
            </w:pPr>
            <w:r>
              <w:rPr>
                <w:b w:val="0"/>
                <w:i w:val="0"/>
                <w:sz w:val="15"/>
              </w:rPr>
              <w:t>SPGI: "Financials and other increased 5%, as the business line benefited from strong underwriting volumes and price increases" (Q4-23); "price increases" again in Q1-24; "favorable pricing environment" (Q2-23). Since 2024: "underwriting volumes and commercial momentum".</w:t>
            </w:r>
          </w:p>
        </w:tc>
        <w:tc>
          <w:tcPr>
            <w:tcW w:type="dxa" w:w="2592"/>
            <w:shd w:val="clear" w:color="auto" w:fill="D9E1F2"/>
          </w:tcPr>
          <w:p>
            <w:pPr>
              <w:spacing w:after="0" w:line="240" w:lineRule="auto"/>
            </w:pPr>
            <w:r>
              <w:rPr>
                <w:b w:val="0"/>
                <w:i w:val="0"/>
                <w:sz w:val="15"/>
              </w:rPr>
              <w:t xml:space="preserve">Underwriting volumes $13m (FY25), $17m (FY24), $2m (Q1-26) </w:t>
            </w:r>
            <w:r>
              <w:rPr>
                <w:b/>
                <w:color w:val="2E548C"/>
                <w:sz w:val="12"/>
              </w:rPr>
              <w:t>[D]</w:t>
            </w:r>
            <w:r>
              <w:rPr>
                <w:b w:val="0"/>
                <w:i w:val="0"/>
                <w:sz w:val="15"/>
              </w:rPr>
              <w:t xml:space="preserve"> (10A p.347–350). No price $.</w:t>
            </w:r>
          </w:p>
        </w:tc>
      </w:tr>
      <w:tr>
        <w:trPr>
          <w:cantSplit/>
        </w:trPr>
        <w:tc>
          <w:tcPr>
            <w:tcW w:type="dxa" w:w="2016"/>
          </w:tcPr>
          <w:p>
            <w:pPr>
              <w:spacing w:after="0" w:line="240" w:lineRule="auto"/>
            </w:pPr>
            <w:r>
              <w:rPr>
                <w:b/>
                <w:i w:val="0"/>
                <w:sz w:val="15"/>
              </w:rPr>
              <w:t>Value-based / bundle pricing</w:t>
            </w:r>
          </w:p>
        </w:tc>
        <w:tc>
          <w:tcPr>
            <w:tcW w:type="dxa" w:w="5184"/>
          </w:tcPr>
          <w:p>
            <w:pPr>
              <w:spacing w:after="0" w:line="240" w:lineRule="auto"/>
            </w:pPr>
            <w:r>
              <w:rPr>
                <w:b w:val="0"/>
                <w:i w:val="0"/>
                <w:sz w:val="15"/>
              </w:rPr>
              <w:t xml:space="preserve">Lifetime Dealer Program bundle (Advantage + Listings + Service Loyalty) launched Q4-25. 1,600 dealers </w:t>
            </w:r>
            <w:r>
              <w:rPr>
                <w:b/>
                <w:color w:val="2E548C"/>
                <w:sz w:val="12"/>
              </w:rPr>
              <w:t>[D]</w:t>
            </w:r>
            <w:r>
              <w:rPr>
                <w:b w:val="0"/>
                <w:i w:val="0"/>
                <w:sz w:val="15"/>
              </w:rPr>
              <w:t xml:space="preserve"> (ID-deck p.73). It lengthened sales cycles and was reversed in June 2026 to "selling the products individually" [Q2 call : Eager : 2026-08-07 : 1811.22s]. Homegrown and AMM SMS offers are bundled into base subscriptions for "future price capture" (GS summary). Showroom is a paid add-on.</w:t>
            </w:r>
          </w:p>
        </w:tc>
        <w:tc>
          <w:tcPr>
            <w:tcW w:type="dxa" w:w="2592"/>
          </w:tcPr>
          <w:p>
            <w:pPr>
              <w:spacing w:after="0" w:line="240" w:lineRule="auto"/>
            </w:pPr>
            <w:r>
              <w:rPr>
                <w:b/>
                <w:i w:val="0"/>
                <w:sz w:val="15"/>
              </w:rPr>
              <w:t>None.</w:t>
            </w:r>
            <w:r>
              <w:rPr>
                <w:b w:val="0"/>
                <w:i w:val="0"/>
                <w:sz w:val="15"/>
              </w:rPr>
              <w:t xml:space="preserve"> Bundle price or uplift is not disclosed.</w:t>
            </w:r>
          </w:p>
        </w:tc>
      </w:tr>
      <w:tr>
        <w:trPr>
          <w:cantSplit/>
        </w:trPr>
        <w:tc>
          <w:tcPr>
            <w:tcW w:type="dxa" w:w="2016"/>
            <w:shd w:val="clear" w:color="auto" w:fill="D9E1F2"/>
          </w:tcPr>
          <w:p>
            <w:pPr>
              <w:spacing w:after="0" w:line="240" w:lineRule="auto"/>
            </w:pPr>
            <w:r>
              <w:rPr>
                <w:b/>
                <w:i w:val="0"/>
                <w:sz w:val="15"/>
              </w:rPr>
              <w:t>Upsell / attach (price per dealer)</w:t>
            </w:r>
          </w:p>
        </w:tc>
        <w:tc>
          <w:tcPr>
            <w:tcW w:type="dxa" w:w="5184"/>
            <w:shd w:val="clear" w:color="auto" w:fill="D9E1F2"/>
          </w:tcPr>
          <w:p>
            <w:pPr>
              <w:spacing w:after="0" w:line="240" w:lineRule="auto"/>
            </w:pPr>
            <w:r>
              <w:rPr>
                <w:b w:val="0"/>
                <w:i w:val="0"/>
                <w:sz w:val="15"/>
              </w:rPr>
              <w:t xml:space="preserve">"Most dealers are only on 1.5 products. We know that we can sell three or four or five products to those dealers." [Investor Day : Fredericks : 2026-05-12 : 6197.77s]. Q2 call: "between one and a half and two products" </w:t>
            </w:r>
            <w:r>
              <w:rPr>
                <w:b/>
                <w:color w:val="2E548C"/>
                <w:sz w:val="12"/>
              </w:rPr>
              <w:t>[IR]</w:t>
            </w:r>
            <w:r>
              <w:rPr>
                <w:b w:val="0"/>
                <w:i w:val="0"/>
                <w:sz w:val="15"/>
              </w:rPr>
              <w:t>.</w:t>
            </w:r>
          </w:p>
        </w:tc>
        <w:tc>
          <w:tcPr>
            <w:tcW w:type="dxa" w:w="2592"/>
            <w:shd w:val="clear" w:color="auto" w:fill="D9E1F2"/>
          </w:tcPr>
          <w:p>
            <w:pPr>
              <w:spacing w:after="0" w:line="240" w:lineRule="auto"/>
            </w:pPr>
            <w:r>
              <w:rPr>
                <w:b w:val="0"/>
                <w:i w:val="0"/>
                <w:sz w:val="15"/>
              </w:rPr>
              <w:t>Product count only. No ARPU.</w:t>
            </w:r>
          </w:p>
        </w:tc>
      </w:tr>
      <w:tr>
        <w:trPr>
          <w:cantSplit/>
        </w:trPr>
        <w:tc>
          <w:tcPr>
            <w:tcW w:type="dxa" w:w="2016"/>
          </w:tcPr>
          <w:p>
            <w:pPr>
              <w:spacing w:after="0" w:line="240" w:lineRule="auto"/>
            </w:pPr>
            <w:r>
              <w:rPr>
                <w:b/>
                <w:i w:val="0"/>
                <w:sz w:val="15"/>
              </w:rPr>
              <w:t>AI monetization</w:t>
            </w:r>
          </w:p>
        </w:tc>
        <w:tc>
          <w:tcPr>
            <w:tcW w:type="dxa" w:w="5184"/>
          </w:tcPr>
          <w:p>
            <w:pPr>
              <w:spacing w:after="0" w:line="240" w:lineRule="auto"/>
            </w:pPr>
            <w:r>
              <w:rPr>
                <w:b w:val="0"/>
                <w:i w:val="0"/>
                <w:sz w:val="15"/>
              </w:rPr>
              <w:t xml:space="preserve">"We're designing infrastructure to monetize those agents." [Investor Day : Morehouse : 2026-05-12 : 7570.63s]. Q2: "AI gateways and agentic platforms" </w:t>
            </w:r>
            <w:r>
              <w:rPr>
                <w:b/>
                <w:color w:val="2E548C"/>
                <w:sz w:val="12"/>
              </w:rPr>
              <w:t>[IR]</w:t>
            </w:r>
            <w:r>
              <w:rPr>
                <w:b w:val="0"/>
                <w:i w:val="0"/>
                <w:sz w:val="15"/>
              </w:rPr>
              <w:t xml:space="preserve">. GS: AI is an "accelerant"; savings "reinvesting most of that" </w:t>
            </w:r>
            <w:r>
              <w:rPr>
                <w:b/>
                <w:color w:val="2E548C"/>
                <w:sz w:val="12"/>
              </w:rPr>
              <w:t>[IR]</w:t>
            </w:r>
            <w:r>
              <w:rPr>
                <w:b w:val="0"/>
                <w:i w:val="0"/>
                <w:sz w:val="15"/>
              </w:rPr>
              <w:t>.</w:t>
            </w:r>
          </w:p>
        </w:tc>
        <w:tc>
          <w:tcPr>
            <w:tcW w:type="dxa" w:w="2592"/>
          </w:tcPr>
          <w:p>
            <w:pPr>
              <w:spacing w:after="0" w:line="240" w:lineRule="auto"/>
            </w:pPr>
            <w:r>
              <w:rPr>
                <w:b/>
                <w:i w:val="0"/>
                <w:sz w:val="15"/>
              </w:rPr>
              <w:t>None.</w:t>
            </w:r>
            <w:r>
              <w:rPr>
                <w:b w:val="0"/>
                <w:i w:val="0"/>
                <w:sz w:val="15"/>
              </w:rPr>
              <w:t xml:space="preserve"> No AI revenue, pricing model or usage metric. The former parent is discussing value-based plus volumetric/MCP pricing for its own data </w:t>
            </w:r>
            <w:r>
              <w:rPr>
                <w:b/>
                <w:color w:val="2E548C"/>
                <w:sz w:val="12"/>
              </w:rPr>
              <w:t>[IR, SPGI Barclays 2026]</w:t>
            </w:r>
            <w:r>
              <w:rPr>
                <w:b w:val="0"/>
                <w:i w:val="0"/>
                <w:sz w:val="15"/>
              </w:rPr>
              <w:t>, but that is S&amp;P Global, not MBGL.</w:t>
            </w:r>
          </w:p>
        </w:tc>
      </w:tr>
    </w:tbl>
    <w:p>
      <w:pPr>
        <w:spacing w:after="120"/>
      </w:pPr>
      <w:r>
        <w:rPr>
          <w:b w:val="0"/>
          <w:i/>
          <w:color w:val="595959"/>
          <w:sz w:val="15"/>
        </w:rPr>
        <w:t>Source: analysis/D7_pricing.md §3.</w:t>
      </w:r>
    </w:p>
    <w:p>
      <w:pPr>
        <w:keepNext/>
        <w:spacing w:before="80" w:after="40"/>
      </w:pPr>
      <w:r>
        <w:rPr>
          <w:b/>
          <w:i w:val="0"/>
          <w:color w:val="1F3864"/>
          <w:sz w:val="17"/>
        </w:rPr>
        <w:t>Exhibit 11.3 — Pricing episode timeline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728"/>
        <w:gridCol w:w="5184"/>
        <w:gridCol w:w="2880"/>
      </w:tblGrid>
      <w:tr>
        <w:trPr>
          <w:cantSplit/>
          <w:tblHeader/>
        </w:trPr>
        <w:tc>
          <w:tcPr>
            <w:tcW w:type="dxa" w:w="1728"/>
            <w:shd w:val="clear" w:color="auto" w:fill="1F3864"/>
          </w:tcPr>
          <w:p>
            <w:pPr>
              <w:spacing w:after="0" w:line="240" w:lineRule="auto"/>
            </w:pPr>
            <w:r>
              <w:rPr>
                <w:b/>
                <w:i w:val="0"/>
                <w:color w:val="FFFFFF"/>
                <w:sz w:val="15"/>
              </w:rPr>
              <w:t>Date</w:t>
            </w:r>
          </w:p>
        </w:tc>
        <w:tc>
          <w:tcPr>
            <w:tcW w:type="dxa" w:w="5184"/>
            <w:shd w:val="clear" w:color="auto" w:fill="1F3864"/>
          </w:tcPr>
          <w:p>
            <w:pPr>
              <w:spacing w:after="0" w:line="240" w:lineRule="auto"/>
            </w:pPr>
            <w:r>
              <w:rPr>
                <w:b/>
                <w:i w:val="0"/>
                <w:color w:val="FFFFFF"/>
                <w:sz w:val="15"/>
              </w:rPr>
              <w:t>Episode</w:t>
            </w:r>
          </w:p>
        </w:tc>
        <w:tc>
          <w:tcPr>
            <w:tcW w:type="dxa" w:w="2880"/>
            <w:shd w:val="clear" w:color="auto" w:fill="1F3864"/>
          </w:tcPr>
          <w:p>
            <w:pPr>
              <w:spacing w:after="0" w:line="240" w:lineRule="auto"/>
            </w:pPr>
            <w:r>
              <w:rPr>
                <w:b/>
                <w:i w:val="0"/>
                <w:color w:val="FFFFFF"/>
                <w:sz w:val="15"/>
              </w:rPr>
              <w:t>Source / tier</w:t>
            </w:r>
          </w:p>
        </w:tc>
      </w:tr>
      <w:tr>
        <w:trPr>
          <w:cantSplit/>
        </w:trPr>
        <w:tc>
          <w:tcPr>
            <w:tcW w:type="dxa" w:w="1728"/>
          </w:tcPr>
          <w:p>
            <w:pPr>
              <w:spacing w:after="0" w:line="240" w:lineRule="auto"/>
            </w:pPr>
            <w:r>
              <w:rPr>
                <w:b w:val="0"/>
                <w:i w:val="0"/>
                <w:sz w:val="15"/>
              </w:rPr>
              <w:t>FY2020 (INFO, Nov FYE)</w:t>
            </w:r>
          </w:p>
        </w:tc>
        <w:tc>
          <w:tcPr>
            <w:tcW w:type="dxa" w:w="5184"/>
          </w:tcPr>
          <w:p>
            <w:pPr>
              <w:spacing w:after="0" w:line="240" w:lineRule="auto"/>
            </w:pPr>
            <w:r>
              <w:rPr>
                <w:b w:val="0"/>
                <w:i w:val="0"/>
                <w:sz w:val="15"/>
              </w:rPr>
              <w:t>COVID: Transportation organic decline included "temporary dealer price relief". This is a summary of the 10-K narrative, not a verbatim quote.</w:t>
            </w:r>
          </w:p>
        </w:tc>
        <w:tc>
          <w:tcPr>
            <w:tcW w:type="dxa" w:w="2880"/>
          </w:tcPr>
          <w:p>
            <w:pPr>
              <w:spacing w:after="0" w:line="240" w:lineRule="auto"/>
            </w:pPr>
            <w:r>
              <w:rPr>
                <w:b w:val="0"/>
                <w:i w:val="0"/>
                <w:sz w:val="15"/>
              </w:rPr>
              <w:t xml:space="preserve">INFO10K-FY2021 p.73; INFO10K-FY2020 p.78 </w:t>
            </w:r>
            <w:r>
              <w:rPr>
                <w:b/>
                <w:color w:val="2E548C"/>
                <w:sz w:val="12"/>
              </w:rPr>
              <w:t>[D]</w:t>
            </w:r>
          </w:p>
        </w:tc>
      </w:tr>
      <w:tr>
        <w:trPr>
          <w:cantSplit/>
        </w:trPr>
        <w:tc>
          <w:tcPr>
            <w:tcW w:type="dxa" w:w="1728"/>
            <w:shd w:val="clear" w:color="auto" w:fill="D9E1F2"/>
          </w:tcPr>
          <w:p>
            <w:pPr>
              <w:spacing w:after="0" w:line="240" w:lineRule="auto"/>
            </w:pPr>
            <w:r>
              <w:rPr>
                <w:b w:val="0"/>
                <w:i w:val="0"/>
                <w:sz w:val="15"/>
              </w:rPr>
              <w:t>Q1-22 (SPGI)</w:t>
            </w:r>
          </w:p>
        </w:tc>
        <w:tc>
          <w:tcPr>
            <w:tcW w:type="dxa" w:w="5184"/>
            <w:shd w:val="clear" w:color="auto" w:fill="D9E1F2"/>
          </w:tcPr>
          <w:p>
            <w:pPr>
              <w:spacing w:after="0" w:line="240" w:lineRule="auto"/>
            </w:pPr>
            <w:r>
              <w:rPr>
                <w:b w:val="0"/>
                <w:i w:val="0"/>
                <w:sz w:val="15"/>
              </w:rPr>
              <w:t>"Dealer revenue increased 12% year-over-year, benefiting from successful prior period promotions and from retention rates that remain above pre-COVID levels."</w:t>
            </w:r>
          </w:p>
        </w:tc>
        <w:tc>
          <w:tcPr>
            <w:tcW w:type="dxa" w:w="2880"/>
            <w:shd w:val="clear" w:color="auto" w:fill="D9E1F2"/>
          </w:tcPr>
          <w:p>
            <w:pPr>
              <w:spacing w:after="0" w:line="240" w:lineRule="auto"/>
            </w:pPr>
            <w:r>
              <w:rPr>
                <w:b w:val="0"/>
                <w:i w:val="0"/>
                <w:sz w:val="15"/>
              </w:rPr>
              <w:t>[SPGI Q1-22 : Steenbergen : 1705.28s]</w:t>
            </w:r>
          </w:p>
        </w:tc>
      </w:tr>
      <w:tr>
        <w:trPr>
          <w:cantSplit/>
        </w:trPr>
        <w:tc>
          <w:tcPr>
            <w:tcW w:type="dxa" w:w="1728"/>
          </w:tcPr>
          <w:p>
            <w:pPr>
              <w:spacing w:after="0" w:line="240" w:lineRule="auto"/>
            </w:pPr>
            <w:r>
              <w:rPr>
                <w:b w:val="0"/>
                <w:i w:val="0"/>
                <w:sz w:val="15"/>
              </w:rPr>
              <w:t>Q1-23 (SPGI)</w:t>
            </w:r>
          </w:p>
        </w:tc>
        <w:tc>
          <w:tcPr>
            <w:tcW w:type="dxa" w:w="5184"/>
          </w:tcPr>
          <w:p>
            <w:pPr>
              <w:spacing w:after="0" w:line="240" w:lineRule="auto"/>
            </w:pPr>
            <w:r>
              <w:rPr>
                <w:b w:val="0"/>
                <w:i w:val="0"/>
                <w:sz w:val="15"/>
              </w:rPr>
              <w:t>"Dealer revenue increased 10% year-over-year, driven by price increases and new store growth"</w:t>
            </w:r>
          </w:p>
        </w:tc>
        <w:tc>
          <w:tcPr>
            <w:tcW w:type="dxa" w:w="2880"/>
          </w:tcPr>
          <w:p>
            <w:pPr>
              <w:spacing w:after="0" w:line="240" w:lineRule="auto"/>
            </w:pPr>
            <w:r>
              <w:rPr>
                <w:b w:val="0"/>
                <w:i w:val="0"/>
                <w:sz w:val="15"/>
              </w:rPr>
              <w:t>[SPGI Q1-23 : Steenbergen : 2023-04-27 : 1373.78s]</w:t>
            </w:r>
          </w:p>
        </w:tc>
      </w:tr>
      <w:tr>
        <w:trPr>
          <w:cantSplit/>
        </w:trPr>
        <w:tc>
          <w:tcPr>
            <w:tcW w:type="dxa" w:w="1728"/>
            <w:shd w:val="clear" w:color="auto" w:fill="D9E1F2"/>
          </w:tcPr>
          <w:p>
            <w:pPr>
              <w:spacing w:after="0" w:line="240" w:lineRule="auto"/>
            </w:pPr>
            <w:r>
              <w:rPr>
                <w:b w:val="0"/>
                <w:i w:val="0"/>
                <w:sz w:val="15"/>
              </w:rPr>
              <w:t>Q2-23 (SPGI)</w:t>
            </w:r>
          </w:p>
        </w:tc>
        <w:tc>
          <w:tcPr>
            <w:tcW w:type="dxa" w:w="5184"/>
            <w:shd w:val="clear" w:color="auto" w:fill="D9E1F2"/>
          </w:tcPr>
          <w:p>
            <w:pPr>
              <w:spacing w:after="0" w:line="240" w:lineRule="auto"/>
            </w:pPr>
            <w:r>
              <w:rPr>
                <w:b w:val="0"/>
                <w:i w:val="0"/>
                <w:sz w:val="15"/>
              </w:rPr>
              <w:t>"driven by the continued benefit of price increases within the last year and new store growth"; Financials: "a favorable pricing environment"</w:t>
            </w:r>
          </w:p>
        </w:tc>
        <w:tc>
          <w:tcPr>
            <w:tcW w:type="dxa" w:w="2880"/>
            <w:shd w:val="clear" w:color="auto" w:fill="D9E1F2"/>
          </w:tcPr>
          <w:p>
            <w:pPr>
              <w:spacing w:after="0" w:line="240" w:lineRule="auto"/>
            </w:pPr>
            <w:r>
              <w:rPr>
                <w:b w:val="0"/>
                <w:i w:val="0"/>
                <w:sz w:val="15"/>
              </w:rPr>
              <w:t>[SPGI Q2-23 : Steenbergen : 2023-07-27 : 1601.21s]</w:t>
            </w:r>
          </w:p>
        </w:tc>
      </w:tr>
      <w:tr>
        <w:trPr>
          <w:cantSplit/>
        </w:trPr>
        <w:tc>
          <w:tcPr>
            <w:tcW w:type="dxa" w:w="1728"/>
          </w:tcPr>
          <w:p>
            <w:pPr>
              <w:spacing w:after="0" w:line="240" w:lineRule="auto"/>
            </w:pPr>
            <w:r>
              <w:rPr>
                <w:b w:val="0"/>
                <w:i w:val="0"/>
                <w:sz w:val="15"/>
              </w:rPr>
              <w:t>Q3-23 (SPGI)</w:t>
            </w:r>
          </w:p>
        </w:tc>
        <w:tc>
          <w:tcPr>
            <w:tcW w:type="dxa" w:w="5184"/>
          </w:tcPr>
          <w:p>
            <w:pPr>
              <w:spacing w:after="0" w:line="240" w:lineRule="auto"/>
            </w:pPr>
            <w:r>
              <w:rPr>
                <w:b w:val="0"/>
                <w:i w:val="0"/>
                <w:sz w:val="15"/>
              </w:rPr>
              <w:t>"driven by the continued benefit of price realization within the last year and new store growth"</w:t>
            </w:r>
          </w:p>
        </w:tc>
        <w:tc>
          <w:tcPr>
            <w:tcW w:type="dxa" w:w="2880"/>
          </w:tcPr>
          <w:p>
            <w:pPr>
              <w:spacing w:after="0" w:line="240" w:lineRule="auto"/>
            </w:pPr>
            <w:r>
              <w:rPr>
                <w:b w:val="0"/>
                <w:i w:val="0"/>
                <w:sz w:val="15"/>
              </w:rPr>
              <w:t>[SPGI Q3-23 : Steenbergen : 2023-11-02 : 1443.6s]</w:t>
            </w:r>
          </w:p>
        </w:tc>
      </w:tr>
      <w:tr>
        <w:trPr>
          <w:cantSplit/>
        </w:trPr>
        <w:tc>
          <w:tcPr>
            <w:tcW w:type="dxa" w:w="1728"/>
            <w:shd w:val="clear" w:color="auto" w:fill="D9E1F2"/>
          </w:tcPr>
          <w:p>
            <w:pPr>
              <w:spacing w:after="0" w:line="240" w:lineRule="auto"/>
            </w:pPr>
            <w:r>
              <w:rPr>
                <w:b w:val="0"/>
                <w:i w:val="0"/>
                <w:sz w:val="15"/>
              </w:rPr>
              <w:t>Q4-23 (SPGI)</w:t>
            </w:r>
          </w:p>
        </w:tc>
        <w:tc>
          <w:tcPr>
            <w:tcW w:type="dxa" w:w="5184"/>
            <w:shd w:val="clear" w:color="auto" w:fill="D9E1F2"/>
          </w:tcPr>
          <w:p>
            <w:pPr>
              <w:spacing w:after="0" w:line="240" w:lineRule="auto"/>
            </w:pPr>
            <w:r>
              <w:rPr>
                <w:b w:val="0"/>
                <w:i w:val="0"/>
                <w:sz w:val="15"/>
              </w:rPr>
              <w:t>Dealer +14% on "price realization"; Financials +5% on "underwriting volumes and price increases"</w:t>
            </w:r>
          </w:p>
        </w:tc>
        <w:tc>
          <w:tcPr>
            <w:tcW w:type="dxa" w:w="2880"/>
            <w:shd w:val="clear" w:color="auto" w:fill="D9E1F2"/>
          </w:tcPr>
          <w:p>
            <w:pPr>
              <w:spacing w:after="0" w:line="240" w:lineRule="auto"/>
            </w:pPr>
            <w:r>
              <w:rPr>
                <w:b w:val="0"/>
                <w:i w:val="0"/>
                <w:sz w:val="15"/>
              </w:rPr>
              <w:t>[SPGI Q4-23 : Steenbergen : 2024-02-08 : 1674.03s]</w:t>
            </w:r>
          </w:p>
        </w:tc>
      </w:tr>
      <w:tr>
        <w:trPr>
          <w:cantSplit/>
        </w:trPr>
        <w:tc>
          <w:tcPr>
            <w:tcW w:type="dxa" w:w="1728"/>
          </w:tcPr>
          <w:p>
            <w:pPr>
              <w:spacing w:after="0" w:line="240" w:lineRule="auto"/>
            </w:pPr>
            <w:r>
              <w:rPr>
                <w:b w:val="0"/>
                <w:i w:val="0"/>
                <w:sz w:val="15"/>
              </w:rPr>
              <w:t>Q1-24 (SPGI)</w:t>
            </w:r>
          </w:p>
        </w:tc>
        <w:tc>
          <w:tcPr>
            <w:tcW w:type="dxa" w:w="5184"/>
          </w:tcPr>
          <w:p>
            <w:pPr>
              <w:spacing w:after="0" w:line="240" w:lineRule="auto"/>
            </w:pPr>
            <w:r>
              <w:rPr>
                <w:b w:val="0"/>
                <w:i w:val="0"/>
                <w:sz w:val="15"/>
              </w:rPr>
              <w:t xml:space="preserve">Dealer +12% on "new business growth in products such as new car listings and CARFAX for Life, as well as the addition of Market Scan". </w:t>
            </w:r>
            <w:r>
              <w:rPr>
                <w:b/>
                <w:i w:val="0"/>
                <w:sz w:val="15"/>
              </w:rPr>
              <w:t>Price is no longer named for Dealer.</w:t>
            </w:r>
            <w:r>
              <w:rPr>
                <w:b w:val="0"/>
                <w:i w:val="0"/>
                <w:sz w:val="15"/>
              </w:rPr>
              <w:t xml:space="preserve"> Financials: "price increases".</w:t>
            </w:r>
          </w:p>
        </w:tc>
        <w:tc>
          <w:tcPr>
            <w:tcW w:type="dxa" w:w="2880"/>
          </w:tcPr>
          <w:p>
            <w:pPr>
              <w:spacing w:after="0" w:line="240" w:lineRule="auto"/>
            </w:pPr>
            <w:r>
              <w:rPr>
                <w:b w:val="0"/>
                <w:i w:val="0"/>
                <w:sz w:val="15"/>
              </w:rPr>
              <w:t>[SPGI Q1-24 : Craig : 2024-04-25 : 1112.89s]</w:t>
            </w:r>
          </w:p>
        </w:tc>
      </w:tr>
      <w:tr>
        <w:trPr>
          <w:cantSplit/>
        </w:trPr>
        <w:tc>
          <w:tcPr>
            <w:tcW w:type="dxa" w:w="1728"/>
            <w:shd w:val="clear" w:color="auto" w:fill="D9E1F2"/>
          </w:tcPr>
          <w:p>
            <w:pPr>
              <w:spacing w:after="0" w:line="240" w:lineRule="auto"/>
            </w:pPr>
            <w:r>
              <w:rPr>
                <w:b w:val="0"/>
                <w:i w:val="0"/>
                <w:sz w:val="15"/>
              </w:rPr>
              <w:t>Q2-24 → Q1-26 (SPGI, 8 quarters)</w:t>
            </w:r>
          </w:p>
        </w:tc>
        <w:tc>
          <w:tcPr>
            <w:tcW w:type="dxa" w:w="5184"/>
            <w:shd w:val="clear" w:color="auto" w:fill="D9E1F2"/>
          </w:tcPr>
          <w:p>
            <w:pPr>
              <w:spacing w:after="0" w:line="240" w:lineRule="auto"/>
            </w:pPr>
            <w:r>
              <w:rPr>
                <w:b w:val="0"/>
                <w:i w:val="0"/>
                <w:sz w:val="15"/>
              </w:rPr>
              <w:t xml:space="preserve">Dealer drivers are always "new business growth" / "new customer growth" at CARFAX and aM. </w:t>
            </w:r>
            <w:r>
              <w:rPr>
                <w:b/>
                <w:i w:val="0"/>
                <w:sz w:val="15"/>
              </w:rPr>
              <w:t>Price is not named in any Mobility segment commentary found.</w:t>
            </w:r>
          </w:p>
        </w:tc>
        <w:tc>
          <w:tcPr>
            <w:tcW w:type="dxa" w:w="2880"/>
            <w:shd w:val="clear" w:color="auto" w:fill="D9E1F2"/>
          </w:tcPr>
          <w:p>
            <w:pPr>
              <w:spacing w:after="0" w:line="240" w:lineRule="auto"/>
            </w:pPr>
            <w:r>
              <w:rPr>
                <w:b w:val="0"/>
                <w:i w:val="0"/>
                <w:sz w:val="15"/>
              </w:rPr>
              <w:t xml:space="preserve">SPGI calls Q2-24…Q1-26 (search of "Dealer revenue increased") </w:t>
            </w:r>
            <w:r>
              <w:rPr>
                <w:b/>
                <w:color w:val="2E548C"/>
                <w:sz w:val="12"/>
              </w:rPr>
              <w:t>[IR]</w:t>
            </w:r>
          </w:p>
        </w:tc>
      </w:tr>
      <w:tr>
        <w:trPr>
          <w:cantSplit/>
        </w:trPr>
        <w:tc>
          <w:tcPr>
            <w:tcW w:type="dxa" w:w="1728"/>
          </w:tcPr>
          <w:p>
            <w:pPr>
              <w:spacing w:after="0" w:line="240" w:lineRule="auto"/>
            </w:pPr>
            <w:r>
              <w:rPr>
                <w:b w:val="0"/>
                <w:i w:val="0"/>
                <w:sz w:val="15"/>
              </w:rPr>
              <w:t>Q4-25</w:t>
            </w:r>
          </w:p>
        </w:tc>
        <w:tc>
          <w:tcPr>
            <w:tcW w:type="dxa" w:w="5184"/>
          </w:tcPr>
          <w:p>
            <w:pPr>
              <w:spacing w:after="0" w:line="240" w:lineRule="auto"/>
            </w:pPr>
            <w:r>
              <w:rPr>
                <w:b w:val="0"/>
                <w:i w:val="0"/>
                <w:sz w:val="15"/>
              </w:rPr>
              <w:t>Lifetime Dealer bundle launched (1,600 dealers by May-26)</w:t>
            </w:r>
          </w:p>
        </w:tc>
        <w:tc>
          <w:tcPr>
            <w:tcW w:type="dxa" w:w="2880"/>
          </w:tcPr>
          <w:p>
            <w:pPr>
              <w:spacing w:after="0" w:line="240" w:lineRule="auto"/>
            </w:pPr>
            <w:r>
              <w:rPr>
                <w:b w:val="0"/>
                <w:i w:val="0"/>
                <w:sz w:val="15"/>
              </w:rPr>
              <w:t xml:space="preserve">ID-deck p.73 </w:t>
            </w:r>
            <w:r>
              <w:rPr>
                <w:b/>
                <w:color w:val="2E548C"/>
                <w:sz w:val="12"/>
              </w:rPr>
              <w:t>[D]</w:t>
            </w:r>
          </w:p>
        </w:tc>
      </w:tr>
      <w:tr>
        <w:trPr>
          <w:cantSplit/>
        </w:trPr>
        <w:tc>
          <w:tcPr>
            <w:tcW w:type="dxa" w:w="1728"/>
            <w:shd w:val="clear" w:color="auto" w:fill="D9E1F2"/>
          </w:tcPr>
          <w:p>
            <w:pPr>
              <w:spacing w:after="0" w:line="240" w:lineRule="auto"/>
            </w:pPr>
            <w:r>
              <w:rPr>
                <w:b w:val="0"/>
                <w:i w:val="0"/>
                <w:sz w:val="15"/>
              </w:rPr>
              <w:t>2026-05-27 (10A)</w:t>
            </w:r>
          </w:p>
        </w:tc>
        <w:tc>
          <w:tcPr>
            <w:tcW w:type="dxa" w:w="5184"/>
            <w:shd w:val="clear" w:color="auto" w:fill="D9E1F2"/>
          </w:tcPr>
          <w:p>
            <w:pPr>
              <w:spacing w:after="0" w:line="240" w:lineRule="auto"/>
            </w:pPr>
            <w:r>
              <w:rPr>
                <w:b w:val="0"/>
                <w:i w:val="0"/>
                <w:sz w:val="15"/>
              </w:rPr>
              <w:t xml:space="preserve">FY24/FY25/Q1-26 subscription growth attributed to "continued new business growth" + underwriting, "and the remaining increase driven by improved contract terms". Implied residual ≈ $34m in FY25 </w:t>
            </w:r>
            <w:r>
              <w:rPr>
                <w:b/>
                <w:color w:val="2E548C"/>
                <w:sz w:val="12"/>
              </w:rPr>
              <w:t>[C]</w:t>
            </w:r>
            <w:r>
              <w:rPr>
                <w:b w:val="0"/>
                <w:i w:val="0"/>
                <w:sz w:val="15"/>
              </w:rPr>
              <w:t xml:space="preserve"> (subscription +123 − 76 − 13).</w:t>
            </w:r>
          </w:p>
        </w:tc>
        <w:tc>
          <w:tcPr>
            <w:tcW w:type="dxa" w:w="2880"/>
            <w:shd w:val="clear" w:color="auto" w:fill="D9E1F2"/>
          </w:tcPr>
          <w:p>
            <w:pPr>
              <w:spacing w:after="0" w:line="240" w:lineRule="auto"/>
            </w:pPr>
            <w:r>
              <w:rPr>
                <w:b w:val="0"/>
                <w:i w:val="0"/>
                <w:sz w:val="15"/>
              </w:rPr>
              <w:t xml:space="preserve">10A p.347, 349–350 </w:t>
            </w:r>
            <w:r>
              <w:rPr>
                <w:b/>
                <w:color w:val="2E548C"/>
                <w:sz w:val="12"/>
              </w:rPr>
              <w:t>[D]</w:t>
            </w:r>
          </w:p>
        </w:tc>
      </w:tr>
      <w:tr>
        <w:trPr>
          <w:cantSplit/>
        </w:trPr>
        <w:tc>
          <w:tcPr>
            <w:tcW w:type="dxa" w:w="1728"/>
          </w:tcPr>
          <w:p>
            <w:pPr>
              <w:spacing w:after="0" w:line="240" w:lineRule="auto"/>
            </w:pPr>
            <w:r>
              <w:rPr>
                <w:b w:val="0"/>
                <w:i w:val="0"/>
                <w:sz w:val="15"/>
              </w:rPr>
              <w:t>2026-05-12 (ID)</w:t>
            </w:r>
          </w:p>
        </w:tc>
        <w:tc>
          <w:tcPr>
            <w:tcW w:type="dxa" w:w="5184"/>
          </w:tcPr>
          <w:p>
            <w:pPr>
              <w:spacing w:after="0" w:line="240" w:lineRule="auto"/>
            </w:pPr>
            <w:r>
              <w:rPr>
                <w:b w:val="0"/>
                <w:i w:val="0"/>
                <w:sz w:val="15"/>
              </w:rPr>
              <w:t>Doctrine: value not escalators; "majority … in value"</w:t>
            </w:r>
          </w:p>
        </w:tc>
        <w:tc>
          <w:tcPr>
            <w:tcW w:type="dxa" w:w="2880"/>
          </w:tcPr>
          <w:p>
            <w:pPr>
              <w:spacing w:after="0" w:line="240" w:lineRule="auto"/>
            </w:pPr>
            <w:r>
              <w:rPr>
                <w:b w:val="0"/>
                <w:i w:val="0"/>
                <w:sz w:val="15"/>
              </w:rPr>
              <w:t xml:space="preserve">§2 </w:t>
            </w:r>
            <w:r>
              <w:rPr>
                <w:b/>
                <w:color w:val="2E548C"/>
                <w:sz w:val="12"/>
              </w:rPr>
              <w:t>[IR]</w:t>
            </w:r>
          </w:p>
        </w:tc>
      </w:tr>
      <w:tr>
        <w:trPr>
          <w:cantSplit/>
        </w:trPr>
        <w:tc>
          <w:tcPr>
            <w:tcW w:type="dxa" w:w="1728"/>
            <w:shd w:val="clear" w:color="auto" w:fill="D9E1F2"/>
          </w:tcPr>
          <w:p>
            <w:pPr>
              <w:spacing w:after="0" w:line="240" w:lineRule="auto"/>
            </w:pPr>
            <w:r>
              <w:rPr>
                <w:b w:val="0"/>
                <w:i w:val="0"/>
                <w:sz w:val="15"/>
              </w:rPr>
              <w:t>2026-06</w:t>
            </w:r>
          </w:p>
        </w:tc>
        <w:tc>
          <w:tcPr>
            <w:tcW w:type="dxa" w:w="5184"/>
            <w:shd w:val="clear" w:color="auto" w:fill="D9E1F2"/>
          </w:tcPr>
          <w:p>
            <w:pPr>
              <w:spacing w:after="0" w:line="240" w:lineRule="auto"/>
            </w:pPr>
            <w:r>
              <w:rPr>
                <w:b w:val="0"/>
                <w:i w:val="0"/>
                <w:sz w:val="15"/>
              </w:rPr>
              <w:t>Bundle selling abandoned; reps re-incentivised. "I think we made that pivot in June."</w:t>
            </w:r>
          </w:p>
        </w:tc>
        <w:tc>
          <w:tcPr>
            <w:tcW w:type="dxa" w:w="2880"/>
            <w:shd w:val="clear" w:color="auto" w:fill="D9E1F2"/>
          </w:tcPr>
          <w:p>
            <w:pPr>
              <w:spacing w:after="0" w:line="240" w:lineRule="auto"/>
            </w:pPr>
            <w:r>
              <w:rPr>
                <w:b w:val="0"/>
                <w:i w:val="0"/>
                <w:sz w:val="15"/>
              </w:rPr>
              <w:t>[Q2 call : Calderone : 3045.34s]</w:t>
            </w:r>
          </w:p>
        </w:tc>
      </w:tr>
      <w:tr>
        <w:trPr>
          <w:cantSplit/>
        </w:trPr>
        <w:tc>
          <w:tcPr>
            <w:tcW w:type="dxa" w:w="1728"/>
          </w:tcPr>
          <w:p>
            <w:pPr>
              <w:spacing w:after="0" w:line="240" w:lineRule="auto"/>
            </w:pPr>
            <w:r>
              <w:rPr>
                <w:b w:val="0"/>
                <w:i w:val="0"/>
                <w:sz w:val="15"/>
              </w:rPr>
              <w:t>2026-08-07 (10Q)</w:t>
            </w:r>
          </w:p>
        </w:tc>
        <w:tc>
          <w:tcPr>
            <w:tcW w:type="dxa" w:w="5184"/>
          </w:tcPr>
          <w:p>
            <w:pPr>
              <w:spacing w:after="0" w:line="240" w:lineRule="auto"/>
            </w:pPr>
            <w:r>
              <w:rPr>
                <w:b/>
                <w:i w:val="0"/>
                <w:sz w:val="15"/>
              </w:rPr>
              <w:t>First quantification:</w:t>
            </w:r>
            <w:r>
              <w:rPr>
                <w:b w:val="0"/>
                <w:i w:val="0"/>
                <w:sz w:val="15"/>
              </w:rPr>
              <w:t xml:space="preserve"> price ~$16m Q2 / ~$36m 6M; new business ~$8m / ~$20m</w:t>
            </w:r>
          </w:p>
        </w:tc>
        <w:tc>
          <w:tcPr>
            <w:tcW w:type="dxa" w:w="2880"/>
          </w:tcPr>
          <w:p>
            <w:pPr>
              <w:spacing w:after="0" w:line="240" w:lineRule="auto"/>
            </w:pPr>
            <w:r>
              <w:rPr>
                <w:b w:val="0"/>
                <w:i w:val="0"/>
                <w:sz w:val="15"/>
              </w:rPr>
              <w:t xml:space="preserve">10Q p.27 </w:t>
            </w:r>
            <w:r>
              <w:rPr>
                <w:b/>
                <w:color w:val="2E548C"/>
                <w:sz w:val="12"/>
              </w:rPr>
              <w:t>[D]</w:t>
            </w:r>
          </w:p>
        </w:tc>
      </w:tr>
      <w:tr>
        <w:trPr>
          <w:cantSplit/>
        </w:trPr>
        <w:tc>
          <w:tcPr>
            <w:tcW w:type="dxa" w:w="1728"/>
            <w:shd w:val="clear" w:color="auto" w:fill="D9E1F2"/>
          </w:tcPr>
          <w:p>
            <w:pPr>
              <w:spacing w:after="0" w:line="240" w:lineRule="auto"/>
            </w:pPr>
            <w:r>
              <w:rPr>
                <w:b w:val="0"/>
                <w:i w:val="0"/>
                <w:sz w:val="15"/>
              </w:rPr>
              <w:t>2026-09-10 (GS)</w:t>
            </w:r>
          </w:p>
        </w:tc>
        <w:tc>
          <w:tcPr>
            <w:tcW w:type="dxa" w:w="5184"/>
            <w:shd w:val="clear" w:color="auto" w:fill="D9E1F2"/>
          </w:tcPr>
          <w:p>
            <w:pPr>
              <w:spacing w:after="0" w:line="240" w:lineRule="auto"/>
            </w:pPr>
            <w:r>
              <w:rPr>
                <w:b w:val="0"/>
                <w:i w:val="0"/>
                <w:sz w:val="15"/>
              </w:rPr>
              <w:t>New features go into the base subscription to support price "in subsequent years"; Showroom is paid</w:t>
            </w:r>
          </w:p>
        </w:tc>
        <w:tc>
          <w:tcPr>
            <w:tcW w:type="dxa" w:w="2880"/>
            <w:shd w:val="clear" w:color="auto" w:fill="D9E1F2"/>
          </w:tcPr>
          <w:p>
            <w:pPr>
              <w:spacing w:after="0" w:line="240" w:lineRule="auto"/>
            </w:pPr>
            <w:r>
              <w:rPr>
                <w:b w:val="0"/>
                <w:i w:val="0"/>
                <w:sz w:val="15"/>
              </w:rPr>
              <w:t xml:space="preserve">§2 </w:t>
            </w:r>
            <w:r>
              <w:rPr>
                <w:b/>
                <w:color w:val="2E548C"/>
                <w:sz w:val="12"/>
              </w:rPr>
              <w:t>[IR]</w:t>
            </w:r>
          </w:p>
        </w:tc>
      </w:tr>
    </w:tbl>
    <w:p>
      <w:pPr>
        <w:spacing w:after="120"/>
      </w:pPr>
      <w:r>
        <w:rPr>
          <w:b w:val="0"/>
          <w:i/>
          <w:color w:val="595959"/>
          <w:sz w:val="15"/>
        </w:rPr>
        <w:t>Source: analysis/D7_pricing.md §4.</w:t>
      </w:r>
    </w:p>
    <w:p>
      <w:r>
        <w:rPr>
          <w:b/>
          <w:i w:val="0"/>
        </w:rPr>
        <w:t>Inference (D7 §5).</w:t>
      </w:r>
      <w:r>
        <w:rPr>
          <w:b w:val="0"/>
          <w:i w:val="0"/>
        </w:rPr>
        <w:t xml:space="preserve"> Price is the larger share and new business is fading; Q2 price (~$16m) was below implied Q1 (~$20m), consistent with early-year pricing, so 2H growth leans on new business recovering. The “5–7% core, majority value” algorithm matches ~4pt price + ~2pt new business </w:t>
      </w:r>
      <w:r>
        <w:rPr>
          <w:b/>
          <w:color w:val="2E548C"/>
          <w:sz w:val="16"/>
        </w:rPr>
        <w:t>[C]</w:t>
      </w:r>
      <w:r>
        <w:rPr>
          <w:b w:val="0"/>
          <w:i w:val="0"/>
        </w:rPr>
        <w:t>, but the volume leg is visible only in dollars.</w:t>
      </w:r>
    </w:p>
    <w:p>
      <w:r>
        <w:rPr>
          <w:b w:val="0"/>
          <w:i w:val="0"/>
        </w:rPr>
        <w:t xml:space="preserve">Data that does not exist in any filing, deck or transcript read: </w:t>
      </w:r>
      <w:r>
        <w:rPr>
          <w:b/>
          <w:color w:val="E36C09"/>
        </w:rPr>
        <w:t>[TO COLLECT #54: price per dealer location and share of dealers taking a price increase at last renewal]</w:t>
      </w:r>
      <w:r>
        <w:rPr>
          <w:b w:val="0"/>
          <w:i w:val="0"/>
        </w:rPr>
        <w:t xml:space="preserve">; </w:t>
      </w:r>
      <w:r>
        <w:rPr>
          <w:b/>
          <w:color w:val="E36C09"/>
        </w:rPr>
        <w:t>[TO COLLECT #55: dealer rooftop counts by product]</w:t>
      </w:r>
      <w:r>
        <w:rPr>
          <w:b w:val="0"/>
          <w:i w:val="0"/>
        </w:rPr>
        <w:t xml:space="preserve">; </w:t>
      </w:r>
      <w:r>
        <w:rPr>
          <w:b/>
          <w:color w:val="E36C09"/>
        </w:rPr>
        <w:t>[TO COLLECT #56: B2B price escalator terms]</w:t>
      </w:r>
      <w:r>
        <w:rPr>
          <w:b w:val="0"/>
          <w:i w:val="0"/>
        </w:rPr>
        <w:t xml:space="preserve">; </w:t>
      </w:r>
      <w:r>
        <w:rPr>
          <w:b/>
          <w:color w:val="E36C09"/>
        </w:rPr>
        <w:t>[TO COLLECT #57: Lifetime bundle pricing and uplift]</w:t>
      </w:r>
      <w:r>
        <w:rPr>
          <w:b w:val="0"/>
          <w:i w:val="0"/>
        </w:rPr>
        <w:t xml:space="preserve">; </w:t>
      </w:r>
      <w:r>
        <w:rPr>
          <w:b/>
          <w:color w:val="E36C09"/>
        </w:rPr>
        <w:t>[TO COLLECT #58: AI / agent monetisation pricing model and revenue]</w:t>
      </w:r>
      <w:r>
        <w:rPr>
          <w:b w:val="0"/>
          <w:i w:val="0"/>
        </w:rPr>
        <w:t>.</w:t>
      </w:r>
    </w:p>
    <w:p>
      <w:pPr>
        <w:pStyle w:val="Heading1"/>
        <w:pageBreakBefore/>
      </w:pPr>
      <w:r>
        <w:t>12 Demand drivers &amp; cyclicality</w:t>
      </w:r>
    </w:p>
    <w:p>
      <w:pPr>
        <w:pStyle w:val="ListBullet"/>
      </w:pPr>
      <w:r>
        <w:rPr>
          <w:b/>
          <w:i w:val="0"/>
        </w:rPr>
        <w:t>Management never quantifies a macro sensitivity</w:t>
      </w:r>
      <w:r>
        <w:rPr>
          <w:b w:val="0"/>
          <w:i w:val="0"/>
        </w:rPr>
        <w:t xml:space="preserve"> (10/A, 10-Q, three MBGL events, 16 SPGI calls 2022–25). It says the company is “relatively acyclical”, has a “natural hedge” from new to used, and that transactional revenue is “non-cyclical” </w:t>
      </w:r>
      <w:r>
        <w:rPr>
          <w:b/>
          <w:color w:val="2E548C"/>
          <w:sz w:val="16"/>
        </w:rPr>
        <w:t>[IR]</w:t>
      </w:r>
      <w:r>
        <w:rPr>
          <w:b w:val="0"/>
          <w:i w:val="0"/>
        </w:rPr>
        <w:t>/</w:t>
      </w:r>
      <w:r>
        <w:rPr>
          <w:b/>
          <w:color w:val="2E548C"/>
          <w:sz w:val="16"/>
        </w:rPr>
        <w:t>[D]</w:t>
      </w:r>
      <w:r>
        <w:rPr>
          <w:b w:val="0"/>
          <w:i w:val="0"/>
        </w:rPr>
        <w:t>.</w:t>
      </w:r>
    </w:p>
    <w:p>
      <w:pPr>
        <w:pStyle w:val="ListBullet"/>
      </w:pPr>
      <w:r>
        <w:rPr>
          <w:b/>
          <w:i w:val="0"/>
        </w:rPr>
        <w:t>Growth has decoupled from the industry except in a real shock.</w:t>
      </w:r>
      <w:r>
        <w:rPr>
          <w:b w:val="0"/>
          <w:i w:val="0"/>
        </w:rPr>
        <w:t xml:space="preserve"> Slide-91 organic growth was 9–18% in every year 2015–25 except 2020 (−2%) while US vehicle sales growth ranged −15% to +13% </w:t>
      </w:r>
      <w:r>
        <w:rPr>
          <w:b/>
          <w:color w:val="2E548C"/>
          <w:sz w:val="16"/>
        </w:rPr>
        <w:t>[D-deck]</w:t>
      </w:r>
      <w:r>
        <w:rPr>
          <w:b w:val="0"/>
          <w:i w:val="0"/>
        </w:rPr>
        <w:t xml:space="preserve">. Correlation 0.54 full sample; −0.39 excluding 2020–21 </w:t>
      </w:r>
      <w:r>
        <w:rPr>
          <w:b/>
          <w:color w:val="2E548C"/>
          <w:sz w:val="16"/>
        </w:rPr>
        <w:t>[C]</w:t>
      </w:r>
      <w:r>
        <w:rPr>
          <w:b w:val="0"/>
          <w:i w:val="0"/>
        </w:rPr>
        <w:t>.</w:t>
      </w:r>
    </w:p>
    <w:p>
      <w:pPr>
        <w:pStyle w:val="ListBullet"/>
      </w:pPr>
      <w:r>
        <w:rPr>
          <w:b/>
          <w:i w:val="0"/>
        </w:rPr>
        <w:t>The real exposures are second-order and sit in the minority lines:</w:t>
      </w:r>
      <w:r>
        <w:rPr>
          <w:b w:val="0"/>
          <w:i w:val="0"/>
        </w:rPr>
        <w:t xml:space="preserve"> B2B transactional and Planning (OEM discretionary spend, tariffs, recall timing), international transactional (Canada 2026), and slow dealer consolidation. The 81% subscription base is driven by price and product adoption, not volumes </w:t>
      </w:r>
      <w:r>
        <w:rPr>
          <w:b/>
          <w:color w:val="2E548C"/>
          <w:sz w:val="16"/>
        </w:rPr>
        <w:t>[D]</w:t>
      </w:r>
      <w:r>
        <w:rPr>
          <w:b w:val="0"/>
          <w:i w:val="0"/>
        </w:rPr>
        <w:t>/</w:t>
      </w:r>
      <w:r>
        <w:rPr>
          <w:b/>
          <w:color w:val="2E548C"/>
          <w:sz w:val="16"/>
        </w:rPr>
        <w:t>[IR]</w:t>
      </w:r>
      <w:r>
        <w:rPr>
          <w:b w:val="0"/>
          <w:i w:val="0"/>
        </w:rPr>
        <w:t>.</w:t>
      </w:r>
    </w:p>
    <w:p>
      <w:pPr>
        <w:pStyle w:val="ListBullet"/>
      </w:pPr>
      <w:r>
        <w:rPr>
          <w:b/>
          <w:i w:val="0"/>
        </w:rPr>
        <w:t>Inference (D9):</w:t>
      </w:r>
      <w:r>
        <w:rPr>
          <w:b w:val="0"/>
          <w:i w:val="0"/>
        </w:rPr>
        <w:t xml:space="preserve"> the right driver model is price + attach on a slowly drifting rooftop base, plus a ~19% transactional “beta” sleeve; a regression of revenue on SAAR or used units is the wrong shape.</w:t>
      </w:r>
    </w:p>
    <w:tbl>
      <w:tblPr>
        <w:tblW w:type="auto" w:w="0"/>
        <w:jc w:val="center"/>
        <w:tblLook w:firstColumn="1" w:firstRow="1" w:lastColumn="0" w:lastRow="0" w:noHBand="0" w:noVBand="1" w:val="04A0"/>
        <w:tblBorders>
          <w:top w:val="nil" w:sz="0" w:space="0" w:color="auto"/>
          <w:left w:val="single" w:sz="24" w:space="0" w:color="1F3864"/>
          <w:bottom w:val="nil" w:sz="0" w:space="0" w:color="auto"/>
          <w:right w:val="nil" w:sz="0" w:space="0" w:color="auto"/>
          <w:insideH w:val="nil" w:sz="0" w:space="0" w:color="auto"/>
          <w:insideV w:val="nil" w:sz="0" w:space="0" w:color="auto"/>
        </w:tblBorders>
        <w:tblCellMar>
          <w:top w:w="90" w:type="dxa"/>
          <w:left w:w="160" w:type="dxa"/>
          <w:bottom w:w="90" w:type="dxa"/>
          <w:right w:w="120" w:type="dxa"/>
        </w:tblCellMar>
      </w:tblPr>
      <w:tblGrid>
        <w:gridCol w:w="8928"/>
      </w:tblGrid>
      <w:tr>
        <w:trPr>
          <w:cantSplit/>
        </w:trPr>
        <w:tc>
          <w:tcPr>
            <w:tcW w:type="dxa" w:w="8928"/>
            <w:shd w:val="clear" w:color="auto" w:fill="EEF2F9"/>
          </w:tcPr>
          <w:p>
            <w:pPr>
              <w:spacing w:after="60"/>
            </w:pPr>
            <w:r>
              <w:rPr>
                <w:i/>
                <w:color w:val="262626"/>
                <w:sz w:val="19"/>
              </w:rPr>
              <w:t>“The point of this chart is we are not just counter-cyclical, we're relatively acyclical.”</w:t>
            </w:r>
          </w:p>
          <w:p>
            <w:pPr>
              <w:spacing w:after="0"/>
            </w:pPr>
            <w:r>
              <w:rPr>
                <w:b w:val="0"/>
                <w:i w:val="0"/>
                <w:color w:val="1F3864"/>
                <w:sz w:val="15"/>
              </w:rPr>
              <w:t xml:space="preserve">— Matt Calderone (CFO), Investor Day 2026, 2026-05-12 · Quartr t=8064.02s </w:t>
            </w:r>
            <w:r>
              <w:rPr>
                <w:b/>
                <w:color w:val="2E548C"/>
                <w:sz w:val="12"/>
              </w:rPr>
              <w:t>[IR]</w:t>
            </w:r>
          </w:p>
        </w:tc>
      </w:tr>
    </w:tbl>
    <w:p>
      <w:pPr>
        <w:spacing w:after="40"/>
      </w:pPr>
    </w:p>
    <w:p>
      <w:pPr>
        <w:keepNext/>
        <w:spacing w:before="80" w:after="40"/>
      </w:pPr>
      <w:r>
        <w:rPr>
          <w:b/>
          <w:i w:val="0"/>
          <w:color w:val="1F3864"/>
          <w:sz w:val="17"/>
        </w:rPr>
        <w:t>Exhibit 12.1 — Exposure map</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3456"/>
        <w:gridCol w:w="2880"/>
        <w:gridCol w:w="3456"/>
      </w:tblGrid>
      <w:tr>
        <w:trPr>
          <w:cantSplit/>
          <w:tblHeader/>
        </w:trPr>
        <w:tc>
          <w:tcPr>
            <w:tcW w:type="dxa" w:w="3456"/>
            <w:shd w:val="clear" w:color="auto" w:fill="1F3864"/>
          </w:tcPr>
          <w:p>
            <w:pPr>
              <w:spacing w:after="0" w:line="240" w:lineRule="auto"/>
            </w:pPr>
            <w:r>
              <w:rPr>
                <w:b/>
                <w:i w:val="0"/>
                <w:color w:val="FFFFFF"/>
                <w:sz w:val="16"/>
              </w:rPr>
              <w:t>Exposure</w:t>
            </w:r>
          </w:p>
        </w:tc>
        <w:tc>
          <w:tcPr>
            <w:tcW w:type="dxa" w:w="2880"/>
            <w:shd w:val="clear" w:color="auto" w:fill="1F3864"/>
          </w:tcPr>
          <w:p>
            <w:pPr>
              <w:spacing w:after="0" w:line="240" w:lineRule="auto"/>
            </w:pPr>
            <w:r>
              <w:rPr>
                <w:b/>
                <w:i w:val="0"/>
                <w:color w:val="FFFFFF"/>
                <w:sz w:val="16"/>
              </w:rPr>
              <w:t>Size</w:t>
            </w:r>
          </w:p>
        </w:tc>
        <w:tc>
          <w:tcPr>
            <w:tcW w:type="dxa" w:w="3456"/>
            <w:shd w:val="clear" w:color="auto" w:fill="1F3864"/>
          </w:tcPr>
          <w:p>
            <w:pPr>
              <w:spacing w:after="0" w:line="240" w:lineRule="auto"/>
            </w:pPr>
            <w:r>
              <w:rPr>
                <w:b/>
                <w:i w:val="0"/>
                <w:color w:val="FFFFFF"/>
                <w:sz w:val="16"/>
              </w:rPr>
              <w:t>Tier / source</w:t>
            </w:r>
          </w:p>
        </w:tc>
      </w:tr>
      <w:tr>
        <w:trPr>
          <w:cantSplit/>
        </w:trPr>
        <w:tc>
          <w:tcPr>
            <w:tcW w:type="dxa" w:w="3456"/>
          </w:tcPr>
          <w:p>
            <w:pPr>
              <w:spacing w:after="0" w:line="240" w:lineRule="auto"/>
            </w:pPr>
            <w:r>
              <w:rPr>
                <w:b w:val="0"/>
                <w:i w:val="0"/>
                <w:sz w:val="16"/>
              </w:rPr>
              <w:t>Dealership customer group</w:t>
            </w:r>
          </w:p>
        </w:tc>
        <w:tc>
          <w:tcPr>
            <w:tcW w:type="dxa" w:w="2880"/>
          </w:tcPr>
          <w:p>
            <w:pPr>
              <w:spacing w:after="0" w:line="240" w:lineRule="auto"/>
            </w:pPr>
            <w:r>
              <w:rPr>
                <w:b w:val="0"/>
                <w:i w:val="0"/>
                <w:sz w:val="16"/>
              </w:rPr>
              <w:t>~60% of revenue</w:t>
            </w:r>
          </w:p>
        </w:tc>
        <w:tc>
          <w:tcPr>
            <w:tcW w:type="dxa" w:w="3456"/>
          </w:tcPr>
          <w:p>
            <w:pPr>
              <w:spacing w:after="0" w:line="240" w:lineRule="auto"/>
            </w:pPr>
            <w:r>
              <w:rPr>
                <w:b/>
                <w:color w:val="2E548C"/>
                <w:sz w:val="13"/>
              </w:rPr>
              <w:t>[D]</w:t>
            </w:r>
            <w:r>
              <w:rPr>
                <w:b w:val="0"/>
                <w:i w:val="0"/>
                <w:sz w:val="16"/>
              </w:rPr>
              <w:t xml:space="preserve"> 10/A p.299</w:t>
            </w:r>
          </w:p>
        </w:tc>
      </w:tr>
      <w:tr>
        <w:trPr>
          <w:cantSplit/>
        </w:trPr>
        <w:tc>
          <w:tcPr>
            <w:tcW w:type="dxa" w:w="3456"/>
            <w:shd w:val="clear" w:color="auto" w:fill="D9E1F2"/>
          </w:tcPr>
          <w:p>
            <w:pPr>
              <w:spacing w:after="0" w:line="240" w:lineRule="auto"/>
            </w:pPr>
            <w:r>
              <w:rPr>
                <w:b w:val="0"/>
                <w:i w:val="0"/>
                <w:sz w:val="16"/>
              </w:rPr>
              <w:t>OEM customer group</w:t>
            </w:r>
          </w:p>
        </w:tc>
        <w:tc>
          <w:tcPr>
            <w:tcW w:type="dxa" w:w="2880"/>
            <w:shd w:val="clear" w:color="auto" w:fill="D9E1F2"/>
          </w:tcPr>
          <w:p>
            <w:pPr>
              <w:spacing w:after="0" w:line="240" w:lineRule="auto"/>
            </w:pPr>
            <w:r>
              <w:rPr>
                <w:b w:val="0"/>
                <w:i w:val="0"/>
                <w:sz w:val="16"/>
              </w:rPr>
              <w:t>~10% of revenue</w:t>
            </w:r>
          </w:p>
        </w:tc>
        <w:tc>
          <w:tcPr>
            <w:tcW w:type="dxa" w:w="3456"/>
            <w:shd w:val="clear" w:color="auto" w:fill="D9E1F2"/>
          </w:tcPr>
          <w:p>
            <w:pPr>
              <w:spacing w:after="0" w:line="240" w:lineRule="auto"/>
            </w:pPr>
            <w:r>
              <w:rPr>
                <w:b/>
                <w:color w:val="2E548C"/>
                <w:sz w:val="13"/>
              </w:rPr>
              <w:t>[D]</w:t>
            </w:r>
            <w:r>
              <w:rPr>
                <w:b w:val="0"/>
                <w:i w:val="0"/>
                <w:sz w:val="16"/>
              </w:rPr>
              <w:t xml:space="preserve"> 10/A p.299</w:t>
            </w:r>
          </w:p>
        </w:tc>
      </w:tr>
      <w:tr>
        <w:trPr>
          <w:cantSplit/>
        </w:trPr>
        <w:tc>
          <w:tcPr>
            <w:tcW w:type="dxa" w:w="3456"/>
          </w:tcPr>
          <w:p>
            <w:pPr>
              <w:spacing w:after="0" w:line="240" w:lineRule="auto"/>
            </w:pPr>
            <w:r>
              <w:rPr>
                <w:b w:val="0"/>
                <w:i w:val="0"/>
                <w:sz w:val="16"/>
              </w:rPr>
              <w:t>"Used car related"</w:t>
            </w:r>
          </w:p>
        </w:tc>
        <w:tc>
          <w:tcPr>
            <w:tcW w:type="dxa" w:w="2880"/>
          </w:tcPr>
          <w:p>
            <w:pPr>
              <w:spacing w:after="0" w:line="240" w:lineRule="auto"/>
            </w:pPr>
            <w:r>
              <w:rPr>
                <w:b w:val="0"/>
                <w:i w:val="0"/>
                <w:sz w:val="16"/>
              </w:rPr>
              <w:t>"about 70%" (SPGI framing)</w:t>
            </w:r>
          </w:p>
        </w:tc>
        <w:tc>
          <w:tcPr>
            <w:tcW w:type="dxa" w:w="3456"/>
          </w:tcPr>
          <w:p>
            <w:pPr>
              <w:spacing w:after="0" w:line="240" w:lineRule="auto"/>
            </w:pPr>
            <w:r>
              <w:rPr>
                <w:b/>
                <w:color w:val="2E548C"/>
                <w:sz w:val="13"/>
              </w:rPr>
              <w:t>[IR]</w:t>
            </w:r>
            <w:r>
              <w:rPr>
                <w:b w:val="0"/>
                <w:i w:val="0"/>
                <w:sz w:val="16"/>
              </w:rPr>
              <w:t xml:space="preserve"> Cheung, SPGI Q1-25 / Bernstein 2025 (below)</w:t>
            </w:r>
          </w:p>
        </w:tc>
      </w:tr>
      <w:tr>
        <w:trPr>
          <w:cantSplit/>
        </w:trPr>
        <w:tc>
          <w:tcPr>
            <w:tcW w:type="dxa" w:w="3456"/>
            <w:shd w:val="clear" w:color="auto" w:fill="D9E1F2"/>
          </w:tcPr>
          <w:p>
            <w:pPr>
              <w:spacing w:after="0" w:line="240" w:lineRule="auto"/>
            </w:pPr>
            <w:r>
              <w:rPr>
                <w:b w:val="0"/>
                <w:i w:val="0"/>
                <w:sz w:val="16"/>
              </w:rPr>
              <w:t>Subscription / non-subscription</w:t>
            </w:r>
          </w:p>
        </w:tc>
        <w:tc>
          <w:tcPr>
            <w:tcW w:type="dxa" w:w="2880"/>
            <w:shd w:val="clear" w:color="auto" w:fill="D9E1F2"/>
          </w:tcPr>
          <w:p>
            <w:pPr>
              <w:spacing w:after="0" w:line="240" w:lineRule="auto"/>
            </w:pPr>
            <w:r>
              <w:rPr>
                <w:b w:val="0"/>
                <w:i w:val="0"/>
                <w:sz w:val="16"/>
              </w:rPr>
              <w:t>81% / 19% (FY25)</w:t>
            </w:r>
          </w:p>
        </w:tc>
        <w:tc>
          <w:tcPr>
            <w:tcW w:type="dxa" w:w="3456"/>
            <w:shd w:val="clear" w:color="auto" w:fill="D9E1F2"/>
          </w:tcPr>
          <w:p>
            <w:pPr>
              <w:spacing w:after="0" w:line="240" w:lineRule="auto"/>
            </w:pPr>
            <w:r>
              <w:rPr>
                <w:b/>
                <w:color w:val="2E548C"/>
                <w:sz w:val="13"/>
              </w:rPr>
              <w:t>[D]</w:t>
            </w:r>
            <w:r>
              <w:rPr>
                <w:b w:val="0"/>
                <w:i w:val="0"/>
                <w:sz w:val="16"/>
              </w:rPr>
              <w:t xml:space="preserve"> SPGI FY25 10-K p.61 (predecessor.csv)</w:t>
            </w:r>
          </w:p>
        </w:tc>
      </w:tr>
      <w:tr>
        <w:trPr>
          <w:cantSplit/>
        </w:trPr>
        <w:tc>
          <w:tcPr>
            <w:tcW w:type="dxa" w:w="3456"/>
          </w:tcPr>
          <w:p>
            <w:pPr>
              <w:spacing w:after="0" w:line="240" w:lineRule="auto"/>
            </w:pPr>
            <w:r>
              <w:rPr>
                <w:b w:val="0"/>
                <w:i w:val="0"/>
                <w:sz w:val="16"/>
              </w:rPr>
              <w:t>International (non-US)</w:t>
            </w:r>
          </w:p>
        </w:tc>
        <w:tc>
          <w:tcPr>
            <w:tcW w:type="dxa" w:w="2880"/>
          </w:tcPr>
          <w:p>
            <w:pPr>
              <w:spacing w:after="0" w:line="240" w:lineRule="auto"/>
            </w:pPr>
            <w:r>
              <w:rPr>
                <w:b w:val="0"/>
                <w:i w:val="0"/>
                <w:sz w:val="16"/>
              </w:rPr>
              <w:t>$296m / $1,747m = 17% (FY25)</w:t>
            </w:r>
          </w:p>
        </w:tc>
        <w:tc>
          <w:tcPr>
            <w:tcW w:type="dxa" w:w="3456"/>
          </w:tcPr>
          <w:p>
            <w:pPr>
              <w:spacing w:after="0" w:line="240" w:lineRule="auto"/>
            </w:pPr>
            <w:r>
              <w:rPr>
                <w:b/>
                <w:color w:val="2E548C"/>
                <w:sz w:val="13"/>
              </w:rPr>
              <w:t>[D]</w:t>
            </w:r>
            <w:r>
              <w:rPr>
                <w:b w:val="0"/>
                <w:i w:val="0"/>
                <w:sz w:val="16"/>
              </w:rPr>
              <w:t xml:space="preserve"> SPGI FY25 10-K p.61; % </w:t>
            </w:r>
            <w:r>
              <w:rPr>
                <w:b/>
                <w:color w:val="2E548C"/>
                <w:sz w:val="13"/>
              </w:rPr>
              <w:t>[C]</w:t>
            </w:r>
          </w:p>
        </w:tc>
      </w:tr>
      <w:tr>
        <w:trPr>
          <w:cantSplit/>
        </w:trPr>
        <w:tc>
          <w:tcPr>
            <w:tcW w:type="dxa" w:w="3456"/>
            <w:shd w:val="clear" w:color="auto" w:fill="D9E1F2"/>
          </w:tcPr>
          <w:p>
            <w:pPr>
              <w:spacing w:after="0" w:line="240" w:lineRule="auto"/>
            </w:pPr>
            <w:r>
              <w:rPr>
                <w:b w:val="0"/>
                <w:i w:val="0"/>
                <w:sz w:val="16"/>
              </w:rPr>
              <w:t>CARFAX / B2B</w:t>
            </w:r>
          </w:p>
        </w:tc>
        <w:tc>
          <w:tcPr>
            <w:tcW w:type="dxa" w:w="2880"/>
            <w:shd w:val="clear" w:color="auto" w:fill="D9E1F2"/>
          </w:tcPr>
          <w:p>
            <w:pPr>
              <w:spacing w:after="0" w:line="240" w:lineRule="auto"/>
            </w:pPr>
            <w:r>
              <w:rPr>
                <w:b w:val="0"/>
                <w:i w:val="0"/>
                <w:sz w:val="16"/>
              </w:rPr>
              <w:t>~65% / ~35%</w:t>
            </w:r>
          </w:p>
        </w:tc>
        <w:tc>
          <w:tcPr>
            <w:tcW w:type="dxa" w:w="3456"/>
            <w:shd w:val="clear" w:color="auto" w:fill="D9E1F2"/>
          </w:tcPr>
          <w:p>
            <w:pPr>
              <w:spacing w:after="0" w:line="240" w:lineRule="auto"/>
            </w:pPr>
            <w:r>
              <w:rPr>
                <w:b/>
                <w:color w:val="2E548C"/>
                <w:sz w:val="13"/>
              </w:rPr>
              <w:t>[IR]</w:t>
            </w:r>
            <w:r>
              <w:rPr>
                <w:b w:val="0"/>
                <w:i w:val="0"/>
                <w:sz w:val="16"/>
              </w:rPr>
              <w:t xml:space="preserve"> ID26</w:t>
            </w:r>
          </w:p>
        </w:tc>
      </w:tr>
      <w:tr>
        <w:trPr>
          <w:cantSplit/>
        </w:trPr>
        <w:tc>
          <w:tcPr>
            <w:tcW w:type="dxa" w:w="3456"/>
          </w:tcPr>
          <w:p>
            <w:pPr>
              <w:spacing w:after="0" w:line="240" w:lineRule="auto"/>
            </w:pPr>
            <w:r>
              <w:rPr>
                <w:b w:val="0"/>
                <w:i w:val="0"/>
                <w:sz w:val="16"/>
              </w:rPr>
              <w:t>Planning (Strategy &amp; Planning)</w:t>
            </w:r>
          </w:p>
        </w:tc>
        <w:tc>
          <w:tcPr>
            <w:tcW w:type="dxa" w:w="2880"/>
          </w:tcPr>
          <w:p>
            <w:pPr>
              <w:spacing w:after="0" w:line="240" w:lineRule="auto"/>
            </w:pPr>
            <w:r>
              <w:rPr>
                <w:b w:val="0"/>
                <w:i w:val="0"/>
                <w:sz w:val="16"/>
              </w:rPr>
              <w:t>~9% of total</w:t>
            </w:r>
          </w:p>
        </w:tc>
        <w:tc>
          <w:tcPr>
            <w:tcW w:type="dxa" w:w="3456"/>
          </w:tcPr>
          <w:p>
            <w:pPr>
              <w:spacing w:after="0" w:line="240" w:lineRule="auto"/>
            </w:pPr>
            <w:r>
              <w:rPr>
                <w:b/>
                <w:color w:val="2E548C"/>
                <w:sz w:val="13"/>
              </w:rPr>
              <w:t>[C]</w:t>
            </w:r>
            <w:r>
              <w:rPr>
                <w:b w:val="0"/>
                <w:i w:val="0"/>
                <w:sz w:val="16"/>
              </w:rPr>
              <w:t xml:space="preserve"> slide 93 mapping, presentations_NOTES</w:t>
            </w:r>
          </w:p>
        </w:tc>
      </w:tr>
    </w:tbl>
    <w:p>
      <w:pPr>
        <w:spacing w:after="120"/>
      </w:pPr>
      <w:r>
        <w:rPr>
          <w:b w:val="0"/>
          <w:i/>
          <w:color w:val="595959"/>
          <w:sz w:val="15"/>
        </w:rPr>
        <w:t>Source: analysis/D9_demand_drivers.md §1. “70% used” (SPGI) and “60% dealer + 10% OEM” (10/A) are different, non-additive bases.</w:t>
      </w:r>
    </w:p>
    <w:p>
      <w:pPr>
        <w:keepNext/>
        <w:spacing w:before="80" w:after="40"/>
      </w:pPr>
      <w:r>
        <w:rPr>
          <w:b/>
          <w:i w:val="0"/>
          <w:color w:val="1F3864"/>
          <w:sz w:val="17"/>
        </w:rPr>
        <w:t>Exhibit 12.2 — Organic growth vs US vehicle sales, 2015–2025</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152"/>
        <w:gridCol w:w="2591"/>
        <w:gridCol w:w="3167"/>
        <w:gridCol w:w="2879"/>
      </w:tblGrid>
      <w:tr>
        <w:trPr>
          <w:cantSplit/>
          <w:tblHeader/>
        </w:trPr>
        <w:tc>
          <w:tcPr>
            <w:tcW w:type="dxa" w:w="1152"/>
            <w:shd w:val="clear" w:color="auto" w:fill="1F3864"/>
          </w:tcPr>
          <w:p>
            <w:pPr>
              <w:spacing w:after="0" w:line="240" w:lineRule="auto"/>
            </w:pPr>
            <w:r>
              <w:rPr>
                <w:b/>
                <w:i w:val="0"/>
                <w:color w:val="FFFFFF"/>
                <w:sz w:val="16"/>
              </w:rPr>
              <w:t>FY</w:t>
            </w:r>
          </w:p>
        </w:tc>
        <w:tc>
          <w:tcPr>
            <w:tcW w:type="dxa" w:w="2592"/>
            <w:shd w:val="clear" w:color="auto" w:fill="1F3864"/>
          </w:tcPr>
          <w:p>
            <w:pPr>
              <w:spacing w:after="0" w:line="240" w:lineRule="auto"/>
              <w:jc w:val="right"/>
            </w:pPr>
            <w:r>
              <w:rPr>
                <w:b/>
                <w:i w:val="0"/>
                <w:color w:val="FFFFFF"/>
                <w:sz w:val="16"/>
              </w:rPr>
              <w:t xml:space="preserve">MBGL organic, % </w:t>
            </w:r>
            <w:r>
              <w:rPr>
                <w:b/>
                <w:color w:val="FFFFFF"/>
                <w:sz w:val="13"/>
              </w:rPr>
              <w:t>[D-deck]</w:t>
            </w:r>
          </w:p>
        </w:tc>
        <w:tc>
          <w:tcPr>
            <w:tcW w:type="dxa" w:w="3168"/>
            <w:shd w:val="clear" w:color="auto" w:fill="1F3864"/>
          </w:tcPr>
          <w:p>
            <w:pPr>
              <w:spacing w:after="0" w:line="240" w:lineRule="auto"/>
              <w:jc w:val="right"/>
            </w:pPr>
            <w:r>
              <w:rPr>
                <w:b/>
                <w:i w:val="0"/>
                <w:color w:val="FFFFFF"/>
                <w:sz w:val="16"/>
              </w:rPr>
              <w:t xml:space="preserve">INFO Transportation organic, % </w:t>
            </w:r>
            <w:r>
              <w:rPr>
                <w:b/>
                <w:color w:val="FFFFFF"/>
                <w:sz w:val="13"/>
              </w:rPr>
              <w:t>[D]</w:t>
            </w:r>
          </w:p>
        </w:tc>
        <w:tc>
          <w:tcPr>
            <w:tcW w:type="dxa" w:w="2880"/>
            <w:shd w:val="clear" w:color="auto" w:fill="1F3864"/>
          </w:tcPr>
          <w:p>
            <w:pPr>
              <w:spacing w:after="0" w:line="240" w:lineRule="auto"/>
              <w:jc w:val="right"/>
            </w:pPr>
            <w:r>
              <w:rPr>
                <w:b/>
                <w:i w:val="0"/>
                <w:color w:val="FFFFFF"/>
                <w:sz w:val="16"/>
              </w:rPr>
              <w:t xml:space="preserve">US vehicle sales growth, % </w:t>
            </w:r>
            <w:r>
              <w:rPr>
                <w:b/>
                <w:color w:val="FFFFFF"/>
                <w:sz w:val="13"/>
              </w:rPr>
              <w:t>[D-deck]</w:t>
            </w:r>
          </w:p>
        </w:tc>
      </w:tr>
      <w:tr>
        <w:trPr>
          <w:cantSplit/>
        </w:trPr>
        <w:tc>
          <w:tcPr>
            <w:tcW w:type="dxa" w:w="1152"/>
          </w:tcPr>
          <w:p>
            <w:pPr>
              <w:spacing w:after="0" w:line="240" w:lineRule="auto"/>
            </w:pPr>
            <w:r>
              <w:rPr>
                <w:b w:val="0"/>
                <w:i w:val="0"/>
                <w:sz w:val="16"/>
              </w:rPr>
              <w:t>2015</w:t>
            </w:r>
          </w:p>
        </w:tc>
        <w:tc>
          <w:tcPr>
            <w:tcW w:type="dxa" w:w="2592"/>
          </w:tcPr>
          <w:p>
            <w:pPr>
              <w:spacing w:after="0" w:line="240" w:lineRule="auto"/>
              <w:jc w:val="right"/>
            </w:pPr>
            <w:r>
              <w:rPr>
                <w:b w:val="0"/>
                <w:i w:val="0"/>
                <w:sz w:val="16"/>
              </w:rPr>
              <w:t>10</w:t>
            </w:r>
          </w:p>
        </w:tc>
        <w:tc>
          <w:tcPr>
            <w:tcW w:type="dxa" w:w="3168"/>
          </w:tcPr>
          <w:p>
            <w:pPr>
              <w:spacing w:after="0" w:line="240" w:lineRule="auto"/>
              <w:jc w:val="right"/>
            </w:pPr>
            <w:r>
              <w:rPr>
                <w:b w:val="0"/>
                <w:i w:val="0"/>
                <w:sz w:val="16"/>
              </w:rPr>
              <w:t>9</w:t>
            </w:r>
          </w:p>
        </w:tc>
        <w:tc>
          <w:tcPr>
            <w:tcW w:type="dxa" w:w="2880"/>
          </w:tcPr>
          <w:p>
            <w:pPr>
              <w:spacing w:after="0" w:line="240" w:lineRule="auto"/>
              <w:jc w:val="right"/>
            </w:pPr>
            <w:r>
              <w:rPr>
                <w:b w:val="0"/>
                <w:i w:val="0"/>
                <w:sz w:val="16"/>
              </w:rPr>
              <w:t>6</w:t>
            </w:r>
          </w:p>
        </w:tc>
      </w:tr>
      <w:tr>
        <w:trPr>
          <w:cantSplit/>
        </w:trPr>
        <w:tc>
          <w:tcPr>
            <w:tcW w:type="dxa" w:w="1152"/>
            <w:shd w:val="clear" w:color="auto" w:fill="D9E1F2"/>
          </w:tcPr>
          <w:p>
            <w:pPr>
              <w:spacing w:after="0" w:line="240" w:lineRule="auto"/>
            </w:pPr>
            <w:r>
              <w:rPr>
                <w:b w:val="0"/>
                <w:i w:val="0"/>
                <w:sz w:val="16"/>
              </w:rPr>
              <w:t>2016</w:t>
            </w:r>
          </w:p>
        </w:tc>
        <w:tc>
          <w:tcPr>
            <w:tcW w:type="dxa" w:w="2592"/>
            <w:shd w:val="clear" w:color="auto" w:fill="D9E1F2"/>
          </w:tcPr>
          <w:p>
            <w:pPr>
              <w:spacing w:after="0" w:line="240" w:lineRule="auto"/>
              <w:jc w:val="right"/>
            </w:pPr>
            <w:r>
              <w:rPr>
                <w:b w:val="0"/>
                <w:i w:val="0"/>
                <w:sz w:val="16"/>
              </w:rPr>
              <w:t>11</w:t>
            </w:r>
          </w:p>
        </w:tc>
        <w:tc>
          <w:tcPr>
            <w:tcW w:type="dxa" w:w="3168"/>
            <w:shd w:val="clear" w:color="auto" w:fill="D9E1F2"/>
          </w:tcPr>
          <w:p>
            <w:pPr>
              <w:spacing w:after="0" w:line="240" w:lineRule="auto"/>
              <w:jc w:val="right"/>
            </w:pPr>
            <w:r>
              <w:rPr>
                <w:b w:val="0"/>
                <w:i w:val="0"/>
                <w:sz w:val="16"/>
              </w:rPr>
              <w:t>10</w:t>
            </w:r>
          </w:p>
        </w:tc>
        <w:tc>
          <w:tcPr>
            <w:tcW w:type="dxa" w:w="2880"/>
            <w:shd w:val="clear" w:color="auto" w:fill="D9E1F2"/>
          </w:tcPr>
          <w:p>
            <w:pPr>
              <w:spacing w:after="0" w:line="240" w:lineRule="auto"/>
              <w:jc w:val="right"/>
            </w:pPr>
            <w:r>
              <w:rPr>
                <w:b w:val="0"/>
                <w:i w:val="0"/>
                <w:sz w:val="16"/>
              </w:rPr>
              <w:t>0</w:t>
            </w:r>
          </w:p>
        </w:tc>
      </w:tr>
      <w:tr>
        <w:trPr>
          <w:cantSplit/>
        </w:trPr>
        <w:tc>
          <w:tcPr>
            <w:tcW w:type="dxa" w:w="1152"/>
          </w:tcPr>
          <w:p>
            <w:pPr>
              <w:spacing w:after="0" w:line="240" w:lineRule="auto"/>
            </w:pPr>
            <w:r>
              <w:rPr>
                <w:b w:val="0"/>
                <w:i w:val="0"/>
                <w:sz w:val="16"/>
              </w:rPr>
              <w:t>2017</w:t>
            </w:r>
          </w:p>
        </w:tc>
        <w:tc>
          <w:tcPr>
            <w:tcW w:type="dxa" w:w="2592"/>
          </w:tcPr>
          <w:p>
            <w:pPr>
              <w:spacing w:after="0" w:line="240" w:lineRule="auto"/>
              <w:jc w:val="right"/>
            </w:pPr>
            <w:r>
              <w:rPr>
                <w:b w:val="0"/>
                <w:i w:val="0"/>
                <w:sz w:val="16"/>
              </w:rPr>
              <w:t>14</w:t>
            </w:r>
          </w:p>
        </w:tc>
        <w:tc>
          <w:tcPr>
            <w:tcW w:type="dxa" w:w="3168"/>
          </w:tcPr>
          <w:p>
            <w:pPr>
              <w:spacing w:after="0" w:line="240" w:lineRule="auto"/>
              <w:jc w:val="right"/>
            </w:pPr>
            <w:r>
              <w:rPr>
                <w:b w:val="0"/>
                <w:i w:val="0"/>
                <w:sz w:val="16"/>
              </w:rPr>
              <w:t>10</w:t>
            </w:r>
          </w:p>
        </w:tc>
        <w:tc>
          <w:tcPr>
            <w:tcW w:type="dxa" w:w="2880"/>
          </w:tcPr>
          <w:p>
            <w:pPr>
              <w:spacing w:after="0" w:line="240" w:lineRule="auto"/>
              <w:jc w:val="right"/>
            </w:pPr>
            <w:r>
              <w:rPr>
                <w:b w:val="0"/>
                <w:i w:val="0"/>
                <w:sz w:val="16"/>
              </w:rPr>
              <w:t>-2</w:t>
            </w:r>
          </w:p>
        </w:tc>
      </w:tr>
      <w:tr>
        <w:trPr>
          <w:cantSplit/>
        </w:trPr>
        <w:tc>
          <w:tcPr>
            <w:tcW w:type="dxa" w:w="1152"/>
            <w:shd w:val="clear" w:color="auto" w:fill="D9E1F2"/>
          </w:tcPr>
          <w:p>
            <w:pPr>
              <w:spacing w:after="0" w:line="240" w:lineRule="auto"/>
            </w:pPr>
            <w:r>
              <w:rPr>
                <w:b w:val="0"/>
                <w:i w:val="0"/>
                <w:sz w:val="16"/>
              </w:rPr>
              <w:t>2018</w:t>
            </w:r>
          </w:p>
        </w:tc>
        <w:tc>
          <w:tcPr>
            <w:tcW w:type="dxa" w:w="2592"/>
            <w:shd w:val="clear" w:color="auto" w:fill="D9E1F2"/>
          </w:tcPr>
          <w:p>
            <w:pPr>
              <w:spacing w:after="0" w:line="240" w:lineRule="auto"/>
              <w:jc w:val="right"/>
            </w:pPr>
            <w:r>
              <w:rPr>
                <w:b w:val="0"/>
                <w:i w:val="0"/>
                <w:sz w:val="16"/>
              </w:rPr>
              <w:t>11</w:t>
            </w:r>
          </w:p>
        </w:tc>
        <w:tc>
          <w:tcPr>
            <w:tcW w:type="dxa" w:w="3168"/>
            <w:shd w:val="clear" w:color="auto" w:fill="D9E1F2"/>
          </w:tcPr>
          <w:p>
            <w:pPr>
              <w:spacing w:after="0" w:line="240" w:lineRule="auto"/>
              <w:jc w:val="right"/>
            </w:pPr>
            <w:r>
              <w:rPr>
                <w:b w:val="0"/>
                <w:i w:val="0"/>
                <w:sz w:val="16"/>
              </w:rPr>
              <w:t>11</w:t>
            </w:r>
          </w:p>
        </w:tc>
        <w:tc>
          <w:tcPr>
            <w:tcW w:type="dxa" w:w="2880"/>
            <w:shd w:val="clear" w:color="auto" w:fill="D9E1F2"/>
          </w:tcPr>
          <w:p>
            <w:pPr>
              <w:spacing w:after="0" w:line="240" w:lineRule="auto"/>
              <w:jc w:val="right"/>
            </w:pPr>
            <w:r>
              <w:rPr>
                <w:b w:val="0"/>
                <w:i w:val="0"/>
                <w:sz w:val="16"/>
              </w:rPr>
              <w:t>1</w:t>
            </w:r>
          </w:p>
        </w:tc>
      </w:tr>
      <w:tr>
        <w:trPr>
          <w:cantSplit/>
        </w:trPr>
        <w:tc>
          <w:tcPr>
            <w:tcW w:type="dxa" w:w="1152"/>
          </w:tcPr>
          <w:p>
            <w:pPr>
              <w:spacing w:after="0" w:line="240" w:lineRule="auto"/>
            </w:pPr>
            <w:r>
              <w:rPr>
                <w:b w:val="0"/>
                <w:i w:val="0"/>
                <w:sz w:val="16"/>
              </w:rPr>
              <w:t>2019</w:t>
            </w:r>
          </w:p>
        </w:tc>
        <w:tc>
          <w:tcPr>
            <w:tcW w:type="dxa" w:w="2592"/>
          </w:tcPr>
          <w:p>
            <w:pPr>
              <w:spacing w:after="0" w:line="240" w:lineRule="auto"/>
              <w:jc w:val="right"/>
            </w:pPr>
            <w:r>
              <w:rPr>
                <w:b w:val="0"/>
                <w:i w:val="0"/>
                <w:sz w:val="16"/>
              </w:rPr>
              <w:t>10</w:t>
            </w:r>
          </w:p>
        </w:tc>
        <w:tc>
          <w:tcPr>
            <w:tcW w:type="dxa" w:w="3168"/>
          </w:tcPr>
          <w:p>
            <w:pPr>
              <w:spacing w:after="0" w:line="240" w:lineRule="auto"/>
              <w:jc w:val="right"/>
            </w:pPr>
            <w:r>
              <w:rPr>
                <w:b w:val="0"/>
                <w:i w:val="0"/>
                <w:sz w:val="16"/>
              </w:rPr>
              <w:t>8</w:t>
            </w:r>
          </w:p>
        </w:tc>
        <w:tc>
          <w:tcPr>
            <w:tcW w:type="dxa" w:w="2880"/>
          </w:tcPr>
          <w:p>
            <w:pPr>
              <w:spacing w:after="0" w:line="240" w:lineRule="auto"/>
              <w:jc w:val="right"/>
            </w:pPr>
            <w:r>
              <w:rPr>
                <w:b w:val="0"/>
                <w:i w:val="0"/>
                <w:sz w:val="16"/>
              </w:rPr>
              <w:t>-1</w:t>
            </w:r>
          </w:p>
        </w:tc>
      </w:tr>
      <w:tr>
        <w:trPr>
          <w:cantSplit/>
        </w:trPr>
        <w:tc>
          <w:tcPr>
            <w:tcW w:type="dxa" w:w="1152"/>
            <w:shd w:val="clear" w:color="auto" w:fill="D9E1F2"/>
          </w:tcPr>
          <w:p>
            <w:pPr>
              <w:spacing w:after="0" w:line="240" w:lineRule="auto"/>
            </w:pPr>
            <w:r>
              <w:rPr>
                <w:b w:val="0"/>
                <w:i w:val="0"/>
                <w:sz w:val="16"/>
              </w:rPr>
              <w:t>2020</w:t>
            </w:r>
          </w:p>
        </w:tc>
        <w:tc>
          <w:tcPr>
            <w:tcW w:type="dxa" w:w="2592"/>
            <w:shd w:val="clear" w:color="auto" w:fill="D9E1F2"/>
          </w:tcPr>
          <w:p>
            <w:pPr>
              <w:spacing w:after="0" w:line="240" w:lineRule="auto"/>
              <w:jc w:val="right"/>
            </w:pPr>
            <w:r>
              <w:rPr>
                <w:b w:val="0"/>
                <w:i w:val="0"/>
                <w:sz w:val="16"/>
              </w:rPr>
              <w:t>-2</w:t>
            </w:r>
          </w:p>
        </w:tc>
        <w:tc>
          <w:tcPr>
            <w:tcW w:type="dxa" w:w="3168"/>
            <w:shd w:val="clear" w:color="auto" w:fill="D9E1F2"/>
          </w:tcPr>
          <w:p>
            <w:pPr>
              <w:spacing w:after="0" w:line="240" w:lineRule="auto"/>
              <w:jc w:val="right"/>
            </w:pPr>
            <w:r>
              <w:rPr>
                <w:b w:val="0"/>
                <w:i w:val="0"/>
                <w:sz w:val="16"/>
              </w:rPr>
              <w:t>-2</w:t>
            </w:r>
          </w:p>
        </w:tc>
        <w:tc>
          <w:tcPr>
            <w:tcW w:type="dxa" w:w="2880"/>
            <w:shd w:val="clear" w:color="auto" w:fill="D9E1F2"/>
          </w:tcPr>
          <w:p>
            <w:pPr>
              <w:spacing w:after="0" w:line="240" w:lineRule="auto"/>
              <w:jc w:val="right"/>
            </w:pPr>
            <w:r>
              <w:rPr>
                <w:b w:val="0"/>
                <w:i w:val="0"/>
                <w:sz w:val="16"/>
              </w:rPr>
              <w:t>-15</w:t>
            </w:r>
          </w:p>
        </w:tc>
      </w:tr>
      <w:tr>
        <w:trPr>
          <w:cantSplit/>
        </w:trPr>
        <w:tc>
          <w:tcPr>
            <w:tcW w:type="dxa" w:w="1152"/>
          </w:tcPr>
          <w:p>
            <w:pPr>
              <w:spacing w:after="0" w:line="240" w:lineRule="auto"/>
            </w:pPr>
            <w:r>
              <w:rPr>
                <w:b w:val="0"/>
                <w:i w:val="0"/>
                <w:sz w:val="16"/>
              </w:rPr>
              <w:t>2021</w:t>
            </w:r>
          </w:p>
        </w:tc>
        <w:tc>
          <w:tcPr>
            <w:tcW w:type="dxa" w:w="2592"/>
          </w:tcPr>
          <w:p>
            <w:pPr>
              <w:spacing w:after="0" w:line="240" w:lineRule="auto"/>
              <w:jc w:val="right"/>
            </w:pPr>
            <w:r>
              <w:rPr>
                <w:b w:val="0"/>
                <w:i w:val="0"/>
                <w:sz w:val="16"/>
              </w:rPr>
              <w:t>18</w:t>
            </w:r>
          </w:p>
        </w:tc>
        <w:tc>
          <w:tcPr>
            <w:tcW w:type="dxa" w:w="3168"/>
          </w:tcPr>
          <w:p>
            <w:pPr>
              <w:spacing w:after="0" w:line="240" w:lineRule="auto"/>
              <w:jc w:val="right"/>
            </w:pPr>
            <w:r>
              <w:rPr>
                <w:b w:val="0"/>
                <w:i w:val="0"/>
                <w:sz w:val="16"/>
              </w:rPr>
              <w:t>16</w:t>
            </w:r>
          </w:p>
        </w:tc>
        <w:tc>
          <w:tcPr>
            <w:tcW w:type="dxa" w:w="2880"/>
          </w:tcPr>
          <w:p>
            <w:pPr>
              <w:spacing w:after="0" w:line="240" w:lineRule="auto"/>
              <w:jc w:val="right"/>
            </w:pPr>
            <w:r>
              <w:rPr>
                <w:b w:val="0"/>
                <w:i w:val="0"/>
                <w:sz w:val="16"/>
              </w:rPr>
              <w:t>4</w:t>
            </w:r>
          </w:p>
        </w:tc>
      </w:tr>
      <w:tr>
        <w:trPr>
          <w:cantSplit/>
        </w:trPr>
        <w:tc>
          <w:tcPr>
            <w:tcW w:type="dxa" w:w="1152"/>
            <w:shd w:val="clear" w:color="auto" w:fill="D9E1F2"/>
          </w:tcPr>
          <w:p>
            <w:pPr>
              <w:spacing w:after="0" w:line="240" w:lineRule="auto"/>
            </w:pPr>
            <w:r>
              <w:rPr>
                <w:b w:val="0"/>
                <w:i w:val="0"/>
                <w:sz w:val="16"/>
              </w:rPr>
              <w:t>2022</w:t>
            </w:r>
          </w:p>
        </w:tc>
        <w:tc>
          <w:tcPr>
            <w:tcW w:type="dxa" w:w="2592"/>
            <w:shd w:val="clear" w:color="auto" w:fill="D9E1F2"/>
          </w:tcPr>
          <w:p>
            <w:pPr>
              <w:spacing w:after="0" w:line="240" w:lineRule="auto"/>
              <w:jc w:val="right"/>
            </w:pPr>
            <w:r>
              <w:rPr>
                <w:b w:val="0"/>
                <w:i w:val="0"/>
                <w:sz w:val="16"/>
              </w:rPr>
              <w:t>10</w:t>
            </w:r>
          </w:p>
        </w:tc>
        <w:tc>
          <w:tcPr>
            <w:tcW w:type="dxa" w:w="3168"/>
            <w:shd w:val="clear" w:color="auto" w:fill="D9E1F2"/>
          </w:tcPr>
          <w:p>
            <w:pPr>
              <w:spacing w:after="0" w:line="240" w:lineRule="auto"/>
              <w:jc w:val="right"/>
            </w:pPr>
            <w:r>
              <w:rPr>
                <w:b w:val="0"/>
                <w:i w:val="0"/>
                <w:sz w:val="16"/>
              </w:rPr>
              <w:t>n/a</w:t>
            </w:r>
          </w:p>
        </w:tc>
        <w:tc>
          <w:tcPr>
            <w:tcW w:type="dxa" w:w="2880"/>
            <w:shd w:val="clear" w:color="auto" w:fill="D9E1F2"/>
          </w:tcPr>
          <w:p>
            <w:pPr>
              <w:spacing w:after="0" w:line="240" w:lineRule="auto"/>
              <w:jc w:val="right"/>
            </w:pPr>
            <w:r>
              <w:rPr>
                <w:b w:val="0"/>
                <w:i w:val="0"/>
                <w:sz w:val="16"/>
              </w:rPr>
              <w:t>-8</w:t>
            </w:r>
          </w:p>
        </w:tc>
      </w:tr>
      <w:tr>
        <w:trPr>
          <w:cantSplit/>
        </w:trPr>
        <w:tc>
          <w:tcPr>
            <w:tcW w:type="dxa" w:w="1152"/>
          </w:tcPr>
          <w:p>
            <w:pPr>
              <w:spacing w:after="0" w:line="240" w:lineRule="auto"/>
            </w:pPr>
            <w:r>
              <w:rPr>
                <w:b w:val="0"/>
                <w:i w:val="0"/>
                <w:sz w:val="16"/>
              </w:rPr>
              <w:t>2023</w:t>
            </w:r>
          </w:p>
        </w:tc>
        <w:tc>
          <w:tcPr>
            <w:tcW w:type="dxa" w:w="2592"/>
          </w:tcPr>
          <w:p>
            <w:pPr>
              <w:spacing w:after="0" w:line="240" w:lineRule="auto"/>
              <w:jc w:val="right"/>
            </w:pPr>
            <w:r>
              <w:rPr>
                <w:b w:val="0"/>
                <w:i w:val="0"/>
                <w:sz w:val="16"/>
              </w:rPr>
              <w:t>9</w:t>
            </w:r>
          </w:p>
        </w:tc>
        <w:tc>
          <w:tcPr>
            <w:tcW w:type="dxa" w:w="3168"/>
          </w:tcPr>
          <w:p>
            <w:pPr>
              <w:spacing w:after="0" w:line="240" w:lineRule="auto"/>
              <w:jc w:val="right"/>
            </w:pPr>
            <w:r>
              <w:rPr>
                <w:b w:val="0"/>
                <w:i w:val="0"/>
                <w:sz w:val="16"/>
              </w:rPr>
              <w:t>n/a</w:t>
            </w:r>
          </w:p>
        </w:tc>
        <w:tc>
          <w:tcPr>
            <w:tcW w:type="dxa" w:w="2880"/>
          </w:tcPr>
          <w:p>
            <w:pPr>
              <w:spacing w:after="0" w:line="240" w:lineRule="auto"/>
              <w:jc w:val="right"/>
            </w:pPr>
            <w:r>
              <w:rPr>
                <w:b w:val="0"/>
                <w:i w:val="0"/>
                <w:sz w:val="16"/>
              </w:rPr>
              <w:t>13</w:t>
            </w:r>
          </w:p>
        </w:tc>
      </w:tr>
      <w:tr>
        <w:trPr>
          <w:cantSplit/>
        </w:trPr>
        <w:tc>
          <w:tcPr>
            <w:tcW w:type="dxa" w:w="1152"/>
            <w:shd w:val="clear" w:color="auto" w:fill="D9E1F2"/>
          </w:tcPr>
          <w:p>
            <w:pPr>
              <w:spacing w:after="0" w:line="240" w:lineRule="auto"/>
            </w:pPr>
            <w:r>
              <w:rPr>
                <w:b w:val="0"/>
                <w:i w:val="0"/>
                <w:sz w:val="16"/>
              </w:rPr>
              <w:t>2024</w:t>
            </w:r>
          </w:p>
        </w:tc>
        <w:tc>
          <w:tcPr>
            <w:tcW w:type="dxa" w:w="2592"/>
            <w:shd w:val="clear" w:color="auto" w:fill="D9E1F2"/>
          </w:tcPr>
          <w:p>
            <w:pPr>
              <w:spacing w:after="0" w:line="240" w:lineRule="auto"/>
              <w:jc w:val="right"/>
            </w:pPr>
            <w:r>
              <w:rPr>
                <w:b w:val="0"/>
                <w:i w:val="0"/>
                <w:sz w:val="16"/>
              </w:rPr>
              <w:t>9</w:t>
            </w:r>
          </w:p>
        </w:tc>
        <w:tc>
          <w:tcPr>
            <w:tcW w:type="dxa" w:w="3168"/>
            <w:shd w:val="clear" w:color="auto" w:fill="D9E1F2"/>
          </w:tcPr>
          <w:p>
            <w:pPr>
              <w:spacing w:after="0" w:line="240" w:lineRule="auto"/>
              <w:jc w:val="right"/>
            </w:pPr>
            <w:r>
              <w:rPr>
                <w:b w:val="0"/>
                <w:i w:val="0"/>
                <w:sz w:val="16"/>
              </w:rPr>
              <w:t>n/a</w:t>
            </w:r>
          </w:p>
        </w:tc>
        <w:tc>
          <w:tcPr>
            <w:tcW w:type="dxa" w:w="2880"/>
            <w:shd w:val="clear" w:color="auto" w:fill="D9E1F2"/>
          </w:tcPr>
          <w:p>
            <w:pPr>
              <w:spacing w:after="0" w:line="240" w:lineRule="auto"/>
              <w:jc w:val="right"/>
            </w:pPr>
            <w:r>
              <w:rPr>
                <w:b w:val="0"/>
                <w:i w:val="0"/>
                <w:sz w:val="16"/>
              </w:rPr>
              <w:t>2</w:t>
            </w:r>
          </w:p>
        </w:tc>
      </w:tr>
      <w:tr>
        <w:trPr>
          <w:cantSplit/>
        </w:trPr>
        <w:tc>
          <w:tcPr>
            <w:tcW w:type="dxa" w:w="1152"/>
          </w:tcPr>
          <w:p>
            <w:pPr>
              <w:spacing w:after="0" w:line="240" w:lineRule="auto"/>
            </w:pPr>
            <w:r>
              <w:rPr>
                <w:b w:val="0"/>
                <w:i w:val="0"/>
                <w:sz w:val="16"/>
              </w:rPr>
              <w:t>2025</w:t>
            </w:r>
          </w:p>
        </w:tc>
        <w:tc>
          <w:tcPr>
            <w:tcW w:type="dxa" w:w="2592"/>
          </w:tcPr>
          <w:p>
            <w:pPr>
              <w:spacing w:after="0" w:line="240" w:lineRule="auto"/>
              <w:jc w:val="right"/>
            </w:pPr>
            <w:r>
              <w:rPr>
                <w:b w:val="0"/>
                <w:i w:val="0"/>
                <w:sz w:val="16"/>
              </w:rPr>
              <w:t>9</w:t>
            </w:r>
          </w:p>
        </w:tc>
        <w:tc>
          <w:tcPr>
            <w:tcW w:type="dxa" w:w="3168"/>
          </w:tcPr>
          <w:p>
            <w:pPr>
              <w:spacing w:after="0" w:line="240" w:lineRule="auto"/>
              <w:jc w:val="right"/>
            </w:pPr>
            <w:r>
              <w:rPr>
                <w:b w:val="0"/>
                <w:i w:val="0"/>
                <w:sz w:val="16"/>
              </w:rPr>
              <w:t>n/a</w:t>
            </w:r>
          </w:p>
        </w:tc>
        <w:tc>
          <w:tcPr>
            <w:tcW w:type="dxa" w:w="2880"/>
          </w:tcPr>
          <w:p>
            <w:pPr>
              <w:spacing w:after="0" w:line="240" w:lineRule="auto"/>
              <w:jc w:val="right"/>
            </w:pPr>
            <w:r>
              <w:rPr>
                <w:b w:val="0"/>
                <w:i w:val="0"/>
                <w:sz w:val="16"/>
              </w:rPr>
              <w:t>2</w:t>
            </w:r>
          </w:p>
        </w:tc>
      </w:tr>
    </w:tbl>
    <w:p>
      <w:pPr>
        <w:spacing w:after="120"/>
      </w:pPr>
      <w:r>
        <w:rPr>
          <w:b w:val="0"/>
          <w:i/>
          <w:color w:val="595959"/>
          <w:sz w:val="15"/>
        </w:rPr>
        <w:t xml:space="preserve">Source: K_session_tables.md (D9). </w:t>
      </w:r>
      <w:r>
        <w:rPr>
          <w:b/>
          <w:color w:val="2E548C"/>
          <w:sz w:val="12"/>
        </w:rPr>
        <w:t>[C]</w:t>
      </w:r>
      <w:r>
        <w:rPr>
          <w:b w:val="0"/>
          <w:i/>
          <w:color w:val="595959"/>
          <w:sz w:val="15"/>
        </w:rPr>
        <w:t xml:space="preserve"> mean organic 9.9% (sd 4.8) vs industry 0.2% (sd 7.2); OLS beta 0.36 full sample, −0.11 ex-2020/21; lag-1 correlation −0.32.</w:t>
      </w:r>
    </w:p>
    <w:p>
      <w:pPr>
        <w:keepNext/>
        <w:spacing w:before="80" w:after="40"/>
      </w:pPr>
      <w:r>
        <w:rPr>
          <w:b/>
          <w:i w:val="0"/>
          <w:color w:val="1F3864"/>
          <w:sz w:val="17"/>
        </w:rPr>
        <w:t>Exhibit 12.3 — Downturn evidence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584"/>
        <w:gridCol w:w="4176"/>
        <w:gridCol w:w="1152"/>
        <w:gridCol w:w="2880"/>
      </w:tblGrid>
      <w:tr>
        <w:trPr>
          <w:cantSplit/>
          <w:tblHeader/>
        </w:trPr>
        <w:tc>
          <w:tcPr>
            <w:tcW w:type="dxa" w:w="1584"/>
            <w:shd w:val="clear" w:color="auto" w:fill="1F3864"/>
          </w:tcPr>
          <w:p>
            <w:pPr>
              <w:spacing w:after="0" w:line="240" w:lineRule="auto"/>
            </w:pPr>
            <w:r>
              <w:rPr>
                <w:b/>
                <w:i w:val="0"/>
                <w:color w:val="FFFFFF"/>
                <w:sz w:val="15"/>
              </w:rPr>
              <w:t>Episode</w:t>
            </w:r>
          </w:p>
        </w:tc>
        <w:tc>
          <w:tcPr>
            <w:tcW w:type="dxa" w:w="4176"/>
            <w:shd w:val="clear" w:color="auto" w:fill="1F3864"/>
          </w:tcPr>
          <w:p>
            <w:pPr>
              <w:spacing w:after="0" w:line="240" w:lineRule="auto"/>
            </w:pPr>
            <w:r>
              <w:rPr>
                <w:b/>
                <w:i w:val="0"/>
                <w:color w:val="FFFFFF"/>
                <w:sz w:val="15"/>
              </w:rPr>
              <w:t>Evidence</w:t>
            </w:r>
          </w:p>
        </w:tc>
        <w:tc>
          <w:tcPr>
            <w:tcW w:type="dxa" w:w="1152"/>
            <w:shd w:val="clear" w:color="auto" w:fill="1F3864"/>
          </w:tcPr>
          <w:p>
            <w:pPr>
              <w:spacing w:after="0" w:line="240" w:lineRule="auto"/>
            </w:pPr>
            <w:r>
              <w:rPr>
                <w:b/>
                <w:i w:val="0"/>
                <w:color w:val="FFFFFF"/>
                <w:sz w:val="15"/>
              </w:rPr>
              <w:t>Tier</w:t>
            </w:r>
          </w:p>
        </w:tc>
        <w:tc>
          <w:tcPr>
            <w:tcW w:type="dxa" w:w="2880"/>
            <w:shd w:val="clear" w:color="auto" w:fill="1F3864"/>
          </w:tcPr>
          <w:p>
            <w:pPr>
              <w:spacing w:after="0" w:line="240" w:lineRule="auto"/>
            </w:pPr>
            <w:r>
              <w:rPr>
                <w:b/>
                <w:i w:val="0"/>
                <w:color w:val="FFFFFF"/>
                <w:sz w:val="15"/>
              </w:rPr>
              <w:t>Read-across</w:t>
            </w:r>
          </w:p>
        </w:tc>
      </w:tr>
      <w:tr>
        <w:trPr>
          <w:cantSplit/>
        </w:trPr>
        <w:tc>
          <w:tcPr>
            <w:tcW w:type="dxa" w:w="1584"/>
          </w:tcPr>
          <w:p>
            <w:pPr>
              <w:spacing w:after="0" w:line="240" w:lineRule="auto"/>
            </w:pPr>
            <w:r>
              <w:rPr>
                <w:b/>
                <w:i w:val="0"/>
                <w:sz w:val="15"/>
              </w:rPr>
              <w:t>2008–09</w:t>
            </w:r>
          </w:p>
        </w:tc>
        <w:tc>
          <w:tcPr>
            <w:tcW w:type="dxa" w:w="4176"/>
          </w:tcPr>
          <w:p>
            <w:pPr>
              <w:spacing w:after="0" w:line="240" w:lineRule="auto"/>
            </w:pPr>
            <w:r>
              <w:rPr>
                <w:b/>
                <w:i w:val="0"/>
                <w:sz w:val="15"/>
              </w:rPr>
              <w:t>No data.</w:t>
            </w:r>
            <w:r>
              <w:rPr>
                <w:b w:val="0"/>
                <w:i w:val="0"/>
                <w:sz w:val="15"/>
              </w:rPr>
              <w:t xml:space="preserve"> Pre-2016 IHS filings are not on Quartr, and CARFAX/Polk were private before IHS bought Polk in 2013 [PRED "IHS Inc. pre-2016"]. </w:t>
            </w:r>
            <w:r>
              <w:rPr>
                <w:b/>
                <w:color w:val="2E548C"/>
                <w:sz w:val="12"/>
              </w:rPr>
              <w:t>[context]</w:t>
            </w:r>
            <w:r>
              <w:rPr>
                <w:b/>
                <w:i w:val="0"/>
                <w:sz w:val="15"/>
              </w:rPr>
              <w:t>:</w:t>
            </w:r>
            <w:r>
              <w:rPr>
                <w:b w:val="0"/>
                <w:i w:val="0"/>
                <w:sz w:val="15"/>
              </w:rPr>
              <w:t xml:space="preserve"> US new light-vehicle sales fell ~35% from 2007 to 2009, and used-vehicle volumes fell much less.</w:t>
            </w:r>
          </w:p>
        </w:tc>
        <w:tc>
          <w:tcPr>
            <w:tcW w:type="dxa" w:w="1152"/>
          </w:tcPr>
          <w:p>
            <w:pPr>
              <w:spacing w:after="0" w:line="240" w:lineRule="auto"/>
            </w:pPr>
            <w:r>
              <w:rPr>
                <w:b w:val="0"/>
                <w:i w:val="0"/>
                <w:sz w:val="15"/>
              </w:rPr>
              <w:t xml:space="preserve">gap / </w:t>
            </w:r>
            <w:r>
              <w:rPr>
                <w:b/>
                <w:color w:val="2E548C"/>
                <w:sz w:val="12"/>
              </w:rPr>
              <w:t>[context]</w:t>
            </w:r>
          </w:p>
        </w:tc>
        <w:tc>
          <w:tcPr>
            <w:tcW w:type="dxa" w:w="2880"/>
          </w:tcPr>
          <w:p>
            <w:pPr>
              <w:spacing w:after="0" w:line="240" w:lineRule="auto"/>
            </w:pPr>
            <w:r>
              <w:rPr>
                <w:b/>
                <w:i w:val="0"/>
                <w:sz w:val="15"/>
              </w:rPr>
              <w:t>Cannot be adjudicated.</w:t>
            </w:r>
            <w:r>
              <w:rPr>
                <w:b w:val="0"/>
                <w:i w:val="0"/>
                <w:sz w:val="15"/>
              </w:rPr>
              <w:t xml:space="preserve"> Management's "acyclical" claim [ID : Calderone] rests on a series that starts in 2014.</w:t>
            </w:r>
          </w:p>
        </w:tc>
      </w:tr>
      <w:tr>
        <w:trPr>
          <w:cantSplit/>
        </w:trPr>
        <w:tc>
          <w:tcPr>
            <w:tcW w:type="dxa" w:w="1584"/>
            <w:shd w:val="clear" w:color="auto" w:fill="D9E1F2"/>
          </w:tcPr>
          <w:p>
            <w:pPr>
              <w:spacing w:after="0" w:line="240" w:lineRule="auto"/>
            </w:pPr>
            <w:r>
              <w:rPr>
                <w:b/>
                <w:i w:val="0"/>
                <w:sz w:val="15"/>
              </w:rPr>
              <w:t>2020 (COVID)</w:t>
            </w:r>
          </w:p>
        </w:tc>
        <w:tc>
          <w:tcPr>
            <w:tcW w:type="dxa" w:w="4176"/>
            <w:shd w:val="clear" w:color="auto" w:fill="D9E1F2"/>
          </w:tcPr>
          <w:p>
            <w:pPr>
              <w:spacing w:after="0" w:line="240" w:lineRule="auto"/>
            </w:pPr>
            <w:r>
              <w:rPr>
                <w:b w:val="0"/>
                <w:i w:val="0"/>
                <w:sz w:val="15"/>
              </w:rPr>
              <w:t xml:space="preserve">Transportation organic −2%, but </w:t>
            </w:r>
            <w:r>
              <w:rPr>
                <w:b/>
                <w:i w:val="0"/>
                <w:sz w:val="15"/>
              </w:rPr>
              <w:t>recurring organic +3%</w:t>
            </w:r>
            <w:r>
              <w:rPr>
                <w:b w:val="0"/>
                <w:i w:val="0"/>
                <w:sz w:val="15"/>
              </w:rPr>
              <w:t xml:space="preserve"> </w:t>
            </w:r>
            <w:r>
              <w:rPr>
                <w:b/>
                <w:color w:val="2E548C"/>
                <w:sz w:val="12"/>
              </w:rPr>
              <w:t>[D INFO20 : 80]</w:t>
            </w:r>
            <w:r>
              <w:rPr>
                <w:b w:val="0"/>
                <w:i w:val="0"/>
                <w:sz w:val="15"/>
              </w:rPr>
              <w:t xml:space="preserve">. The decline came from "temporary dealer price relief, paused new sales, cancellations" and lower recall/marketing non-recurring revenue </w:t>
            </w:r>
            <w:r>
              <w:rPr>
                <w:b/>
                <w:color w:val="2E548C"/>
                <w:sz w:val="12"/>
              </w:rPr>
              <w:t>[D INFO20 : 78]</w:t>
            </w:r>
            <w:r>
              <w:rPr>
                <w:b w:val="0"/>
                <w:i w:val="0"/>
                <w:sz w:val="15"/>
              </w:rPr>
              <w:t xml:space="preserve">. Adj. EBITDA fell only −1% while the margin rose from 41.8% to 44.7% </w:t>
            </w:r>
            <w:r>
              <w:rPr>
                <w:b/>
                <w:color w:val="2E548C"/>
                <w:sz w:val="12"/>
              </w:rPr>
              <w:t>[D INFO20 : 84]</w:t>
            </w:r>
            <w:r>
              <w:rPr>
                <w:b w:val="0"/>
                <w:i w:val="0"/>
                <w:sz w:val="15"/>
              </w:rPr>
              <w:t>. Automotive organic −2% vs industry −15% [PRES s.91].</w:t>
            </w:r>
          </w:p>
        </w:tc>
        <w:tc>
          <w:tcPr>
            <w:tcW w:type="dxa" w:w="1152"/>
            <w:shd w:val="clear" w:color="auto" w:fill="D9E1F2"/>
          </w:tcPr>
          <w:p>
            <w:pPr>
              <w:spacing w:after="0" w:line="240" w:lineRule="auto"/>
            </w:pPr>
            <w:r>
              <w:rPr>
                <w:b/>
                <w:color w:val="2E548C"/>
                <w:sz w:val="12"/>
              </w:rPr>
              <w:t>[D]</w:t>
            </w:r>
            <w:r>
              <w:rPr>
                <w:b w:val="0"/>
                <w:i w:val="0"/>
                <w:sz w:val="15"/>
              </w:rPr>
              <w:t xml:space="preserve"> / </w:t>
            </w:r>
            <w:r>
              <w:rPr>
                <w:b/>
                <w:color w:val="2E548C"/>
                <w:sz w:val="12"/>
              </w:rPr>
              <w:t>[D-pres]</w:t>
            </w:r>
          </w:p>
        </w:tc>
        <w:tc>
          <w:tcPr>
            <w:tcW w:type="dxa" w:w="2880"/>
            <w:shd w:val="clear" w:color="auto" w:fill="D9E1F2"/>
          </w:tcPr>
          <w:p>
            <w:pPr>
              <w:spacing w:after="0" w:line="240" w:lineRule="auto"/>
            </w:pPr>
            <w:r>
              <w:rPr>
                <w:b w:val="0"/>
                <w:i w:val="0"/>
                <w:sz w:val="15"/>
              </w:rPr>
              <w:t xml:space="preserve">The subscription base held. The damage was confined to discretionary and transactional lines and to *price relief*. </w:t>
            </w:r>
            <w:r>
              <w:rPr>
                <w:b/>
                <w:i w:val="0"/>
                <w:sz w:val="15"/>
              </w:rPr>
              <w:t>Inference:</w:t>
            </w:r>
            <w:r>
              <w:rPr>
                <w:b w:val="0"/>
                <w:i w:val="0"/>
                <w:sz w:val="15"/>
              </w:rPr>
              <w:t xml:space="preserve"> in a severe shock, dealers win price concessions rather than cancelling.</w:t>
            </w:r>
          </w:p>
        </w:tc>
      </w:tr>
      <w:tr>
        <w:trPr>
          <w:cantSplit/>
        </w:trPr>
        <w:tc>
          <w:tcPr>
            <w:tcW w:type="dxa" w:w="1584"/>
          </w:tcPr>
          <w:p>
            <w:pPr>
              <w:spacing w:after="0" w:line="240" w:lineRule="auto"/>
            </w:pPr>
            <w:r>
              <w:rPr>
                <w:b/>
                <w:i w:val="0"/>
                <w:sz w:val="15"/>
              </w:rPr>
              <w:t>2021 rebound</w:t>
            </w:r>
          </w:p>
        </w:tc>
        <w:tc>
          <w:tcPr>
            <w:tcW w:type="dxa" w:w="4176"/>
          </w:tcPr>
          <w:p>
            <w:pPr>
              <w:spacing w:after="0" w:line="240" w:lineRule="auto"/>
            </w:pPr>
            <w:r>
              <w:rPr>
                <w:b w:val="0"/>
                <w:i w:val="0"/>
                <w:sz w:val="15"/>
              </w:rPr>
              <w:t xml:space="preserve">Organic +16% (Transportation) and +18% (automotive). "Led by dealer-facing offerings (CARFAX, automotiveMastermind) rebounding" </w:t>
            </w:r>
            <w:r>
              <w:rPr>
                <w:b/>
                <w:color w:val="2E548C"/>
                <w:sz w:val="12"/>
              </w:rPr>
              <w:t>[D INFO21 : 73]</w:t>
            </w:r>
            <w:r>
              <w:rPr>
                <w:b w:val="0"/>
                <w:i w:val="0"/>
                <w:sz w:val="15"/>
              </w:rPr>
              <w:t>.</w:t>
            </w:r>
          </w:p>
        </w:tc>
        <w:tc>
          <w:tcPr>
            <w:tcW w:type="dxa" w:w="1152"/>
          </w:tcPr>
          <w:p>
            <w:pPr>
              <w:spacing w:after="0" w:line="240" w:lineRule="auto"/>
            </w:pPr>
            <w:r>
              <w:rPr>
                <w:b/>
                <w:color w:val="2E548C"/>
                <w:sz w:val="12"/>
              </w:rPr>
              <w:t>[D]</w:t>
            </w:r>
          </w:p>
        </w:tc>
        <w:tc>
          <w:tcPr>
            <w:tcW w:type="dxa" w:w="2880"/>
          </w:tcPr>
          <w:p>
            <w:pPr>
              <w:spacing w:after="0" w:line="240" w:lineRule="auto"/>
            </w:pPr>
            <w:r>
              <w:rPr>
                <w:b w:val="0"/>
                <w:i w:val="0"/>
                <w:sz w:val="15"/>
              </w:rPr>
              <w:t>Price relief reversed.</w:t>
            </w:r>
          </w:p>
        </w:tc>
      </w:tr>
      <w:tr>
        <w:trPr>
          <w:cantSplit/>
        </w:trPr>
        <w:tc>
          <w:tcPr>
            <w:tcW w:type="dxa" w:w="1584"/>
            <w:shd w:val="clear" w:color="auto" w:fill="D9E1F2"/>
          </w:tcPr>
          <w:p>
            <w:pPr>
              <w:spacing w:after="0" w:line="240" w:lineRule="auto"/>
            </w:pPr>
            <w:r>
              <w:rPr>
                <w:b/>
                <w:i w:val="0"/>
                <w:sz w:val="15"/>
              </w:rPr>
              <w:t>2022–23 (chip shortage and rate shock)</w:t>
            </w:r>
          </w:p>
        </w:tc>
        <w:tc>
          <w:tcPr>
            <w:tcW w:type="dxa" w:w="4176"/>
            <w:shd w:val="clear" w:color="auto" w:fill="D9E1F2"/>
          </w:tcPr>
          <w:p>
            <w:pPr>
              <w:spacing w:after="0" w:line="240" w:lineRule="auto"/>
            </w:pPr>
            <w:r>
              <w:rPr>
                <w:b w:val="0"/>
                <w:i w:val="0"/>
                <w:sz w:val="15"/>
              </w:rPr>
              <w:t xml:space="preserve">Automotive organic +10% vs industry −8% (2022). B2B OEM/supplier subscriptions "actually grew" in the hardest years [ID : LaFeir]. FY24 non-subscription −2% with recall −$15m </w:t>
            </w:r>
            <w:r>
              <w:rPr>
                <w:b/>
                <w:color w:val="2E548C"/>
                <w:sz w:val="12"/>
              </w:rPr>
              <w:t>[D 10A : 350]</w:t>
            </w:r>
            <w:r>
              <w:rPr>
                <w:b w:val="0"/>
                <w:i w:val="0"/>
                <w:sz w:val="15"/>
              </w:rPr>
              <w:t>.</w:t>
            </w:r>
          </w:p>
        </w:tc>
        <w:tc>
          <w:tcPr>
            <w:tcW w:type="dxa" w:w="1152"/>
            <w:shd w:val="clear" w:color="auto" w:fill="D9E1F2"/>
          </w:tcPr>
          <w:p>
            <w:pPr>
              <w:spacing w:after="0" w:line="240" w:lineRule="auto"/>
            </w:pPr>
            <w:r>
              <w:rPr>
                <w:b/>
                <w:color w:val="2E548C"/>
                <w:sz w:val="12"/>
              </w:rPr>
              <w:t>[D]</w:t>
            </w:r>
            <w:r>
              <w:rPr>
                <w:b w:val="0"/>
                <w:i w:val="0"/>
                <w:sz w:val="15"/>
              </w:rPr>
              <w:t xml:space="preserve"> / </w:t>
            </w:r>
            <w:r>
              <w:rPr>
                <w:b/>
                <w:color w:val="2E548C"/>
                <w:sz w:val="12"/>
              </w:rPr>
              <w:t>[IR]</w:t>
            </w:r>
          </w:p>
        </w:tc>
        <w:tc>
          <w:tcPr>
            <w:tcW w:type="dxa" w:w="2880"/>
            <w:shd w:val="clear" w:color="auto" w:fill="D9E1F2"/>
          </w:tcPr>
          <w:p>
            <w:pPr>
              <w:spacing w:after="0" w:line="240" w:lineRule="auto"/>
            </w:pPr>
            <w:r>
              <w:rPr>
                <w:b w:val="0"/>
                <w:i w:val="0"/>
                <w:sz w:val="15"/>
              </w:rPr>
              <w:t xml:space="preserve">Recall and transactional revenue are the cyclical part, at ~19% of revenue </w:t>
            </w:r>
            <w:r>
              <w:rPr>
                <w:b/>
                <w:color w:val="2E548C"/>
                <w:sz w:val="12"/>
              </w:rPr>
              <w:t>[D]</w:t>
            </w:r>
            <w:r>
              <w:rPr>
                <w:b w:val="0"/>
                <w:i w:val="0"/>
                <w:sz w:val="15"/>
              </w:rPr>
              <w:t>.</w:t>
            </w:r>
          </w:p>
        </w:tc>
      </w:tr>
      <w:tr>
        <w:trPr>
          <w:cantSplit/>
        </w:trPr>
        <w:tc>
          <w:tcPr>
            <w:tcW w:type="dxa" w:w="1584"/>
          </w:tcPr>
          <w:p>
            <w:pPr>
              <w:spacing w:after="0" w:line="240" w:lineRule="auto"/>
            </w:pPr>
            <w:r>
              <w:rPr>
                <w:b/>
                <w:i w:val="0"/>
                <w:sz w:val="15"/>
              </w:rPr>
              <w:t>2026 (soft ex-US)</w:t>
            </w:r>
          </w:p>
        </w:tc>
        <w:tc>
          <w:tcPr>
            <w:tcW w:type="dxa" w:w="4176"/>
          </w:tcPr>
          <w:p>
            <w:pPr>
              <w:spacing w:after="0" w:line="240" w:lineRule="auto"/>
            </w:pPr>
            <w:r>
              <w:rPr>
                <w:b w:val="0"/>
                <w:i w:val="0"/>
                <w:sz w:val="15"/>
              </w:rPr>
              <w:t>Q2-26: B2B transactional −4%; CARFAX Canada transactional soft; Planning projects delayed; FY26 guide cut to 6.9–7.7% [Q2].</w:t>
            </w:r>
          </w:p>
        </w:tc>
        <w:tc>
          <w:tcPr>
            <w:tcW w:type="dxa" w:w="1152"/>
          </w:tcPr>
          <w:p>
            <w:pPr>
              <w:spacing w:after="0" w:line="240" w:lineRule="auto"/>
            </w:pPr>
            <w:r>
              <w:rPr>
                <w:b/>
                <w:color w:val="2E548C"/>
                <w:sz w:val="12"/>
              </w:rPr>
              <w:t>[IR]</w:t>
            </w:r>
          </w:p>
        </w:tc>
        <w:tc>
          <w:tcPr>
            <w:tcW w:type="dxa" w:w="2880"/>
          </w:tcPr>
          <w:p>
            <w:pPr>
              <w:spacing w:after="0" w:line="240" w:lineRule="auto"/>
            </w:pPr>
            <w:r>
              <w:rPr>
                <w:b w:val="0"/>
                <w:i w:val="0"/>
                <w:sz w:val="15"/>
              </w:rPr>
              <w:t>Even a mild ex-US softening shows up within one quarter in the transactional ~19%.</w:t>
            </w:r>
          </w:p>
        </w:tc>
      </w:tr>
    </w:tbl>
    <w:p>
      <w:pPr>
        <w:spacing w:after="120"/>
      </w:pPr>
      <w:r>
        <w:rPr>
          <w:b w:val="0"/>
          <w:i/>
          <w:color w:val="595959"/>
          <w:sz w:val="15"/>
        </w:rPr>
        <w:t>Source: analysis/D1_moat.md §4.2.</w:t>
      </w:r>
    </w:p>
    <w:p>
      <w:pPr>
        <w:keepNext/>
        <w:spacing w:before="80" w:after="40"/>
      </w:pPr>
      <w:r>
        <w:rPr>
          <w:b/>
          <w:i w:val="0"/>
          <w:color w:val="1F3864"/>
          <w:sz w:val="17"/>
        </w:rPr>
        <w:t>Exhibit 12.4 — Driver-by-driver summary</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015"/>
        <w:gridCol w:w="4176"/>
        <w:gridCol w:w="1296"/>
        <w:gridCol w:w="2304"/>
      </w:tblGrid>
      <w:tr>
        <w:trPr>
          <w:cantSplit/>
          <w:tblHeader/>
        </w:trPr>
        <w:tc>
          <w:tcPr>
            <w:tcW w:type="dxa" w:w="2016"/>
            <w:shd w:val="clear" w:color="auto" w:fill="1F3864"/>
          </w:tcPr>
          <w:p>
            <w:pPr>
              <w:spacing w:after="0" w:line="240" w:lineRule="auto"/>
            </w:pPr>
            <w:r>
              <w:rPr>
                <w:b/>
                <w:i w:val="0"/>
                <w:color w:val="FFFFFF"/>
                <w:sz w:val="15"/>
              </w:rPr>
              <w:t>Driver</w:t>
            </w:r>
          </w:p>
        </w:tc>
        <w:tc>
          <w:tcPr>
            <w:tcW w:type="dxa" w:w="4176"/>
            <w:shd w:val="clear" w:color="auto" w:fill="1F3864"/>
          </w:tcPr>
          <w:p>
            <w:pPr>
              <w:spacing w:after="0" w:line="240" w:lineRule="auto"/>
            </w:pPr>
            <w:r>
              <w:rPr>
                <w:b/>
                <w:i w:val="0"/>
                <w:color w:val="FFFFFF"/>
                <w:sz w:val="15"/>
              </w:rPr>
              <w:t>Stated relationship / evidence</w:t>
            </w:r>
          </w:p>
        </w:tc>
        <w:tc>
          <w:tcPr>
            <w:tcW w:type="dxa" w:w="1296"/>
            <w:shd w:val="clear" w:color="auto" w:fill="1F3864"/>
          </w:tcPr>
          <w:p>
            <w:pPr>
              <w:spacing w:after="0" w:line="240" w:lineRule="auto"/>
            </w:pPr>
            <w:r>
              <w:rPr>
                <w:b/>
                <w:i w:val="0"/>
                <w:color w:val="FFFFFF"/>
                <w:sz w:val="15"/>
              </w:rPr>
              <w:t>Quantified sensitivity</w:t>
            </w:r>
          </w:p>
        </w:tc>
        <w:tc>
          <w:tcPr>
            <w:tcW w:type="dxa" w:w="2304"/>
            <w:shd w:val="clear" w:color="auto" w:fill="1F3864"/>
          </w:tcPr>
          <w:p>
            <w:pPr>
              <w:spacing w:after="0" w:line="240" w:lineRule="auto"/>
            </w:pPr>
            <w:r>
              <w:rPr>
                <w:b/>
                <w:i w:val="0"/>
                <w:color w:val="FFFFFF"/>
                <w:sz w:val="15"/>
              </w:rPr>
              <w:t>Series needed</w:t>
            </w:r>
          </w:p>
        </w:tc>
      </w:tr>
      <w:tr>
        <w:trPr>
          <w:cantSplit/>
        </w:trPr>
        <w:tc>
          <w:tcPr>
            <w:tcW w:type="dxa" w:w="2016"/>
          </w:tcPr>
          <w:p>
            <w:pPr>
              <w:spacing w:after="0" w:line="240" w:lineRule="auto"/>
            </w:pPr>
            <w:r>
              <w:rPr>
                <w:b w:val="0"/>
                <w:i w:val="0"/>
                <w:sz w:val="15"/>
              </w:rPr>
              <w:t>Used-vehicle retail transactions</w:t>
            </w:r>
          </w:p>
        </w:tc>
        <w:tc>
          <w:tcPr>
            <w:tcW w:type="dxa" w:w="4176"/>
          </w:tcPr>
          <w:p>
            <w:pPr>
              <w:spacing w:after="0" w:line="240" w:lineRule="auto"/>
            </w:pPr>
            <w:r>
              <w:rPr>
                <w:b w:val="0"/>
                <w:i w:val="0"/>
                <w:sz w:val="15"/>
              </w:rPr>
              <w:t xml:space="preserve">Supports demand; volume link denied (“not directly associated with number of transactions”) </w:t>
            </w:r>
            <w:r>
              <w:rPr>
                <w:b/>
                <w:color w:val="2E548C"/>
                <w:sz w:val="12"/>
              </w:rPr>
              <w:t>[IR]</w:t>
            </w:r>
            <w:r>
              <w:rPr>
                <w:b w:val="0"/>
                <w:i w:val="0"/>
                <w:sz w:val="15"/>
              </w:rPr>
              <w:t xml:space="preserve">; CARFAX driver definition has no transaction term </w:t>
            </w:r>
            <w:r>
              <w:rPr>
                <w:b/>
                <w:color w:val="2E548C"/>
                <w:sz w:val="12"/>
              </w:rPr>
              <w:t>[D]</w:t>
            </w:r>
          </w:p>
        </w:tc>
        <w:tc>
          <w:tcPr>
            <w:tcW w:type="dxa" w:w="1296"/>
          </w:tcPr>
          <w:p>
            <w:pPr>
              <w:spacing w:after="0" w:line="240" w:lineRule="auto"/>
            </w:pPr>
            <w:r>
              <w:rPr>
                <w:b w:val="0"/>
                <w:i w:val="0"/>
                <w:sz w:val="15"/>
              </w:rPr>
              <w:t>None</w:t>
            </w:r>
          </w:p>
        </w:tc>
        <w:tc>
          <w:tcPr>
            <w:tcW w:type="dxa" w:w="2304"/>
          </w:tcPr>
          <w:p>
            <w:pPr>
              <w:spacing w:after="0" w:line="240" w:lineRule="auto"/>
            </w:pPr>
            <w:r>
              <w:rPr>
                <w:b/>
                <w:color w:val="E36C09"/>
                <w:sz w:val="15"/>
              </w:rPr>
              <w:t>[TO COLLECT #59: used retail units series for elasticity test]</w:t>
            </w:r>
          </w:p>
        </w:tc>
      </w:tr>
      <w:tr>
        <w:trPr>
          <w:cantSplit/>
        </w:trPr>
        <w:tc>
          <w:tcPr>
            <w:tcW w:type="dxa" w:w="2016"/>
            <w:shd w:val="clear" w:color="auto" w:fill="D9E1F2"/>
          </w:tcPr>
          <w:p>
            <w:pPr>
              <w:spacing w:after="0" w:line="240" w:lineRule="auto"/>
            </w:pPr>
            <w:r>
              <w:rPr>
                <w:b w:val="0"/>
                <w:i w:val="0"/>
                <w:sz w:val="15"/>
              </w:rPr>
              <w:t>New-vehicle SAAR</w:t>
            </w:r>
          </w:p>
        </w:tc>
        <w:tc>
          <w:tcPr>
            <w:tcW w:type="dxa" w:w="4176"/>
            <w:shd w:val="clear" w:color="auto" w:fill="D9E1F2"/>
          </w:tcPr>
          <w:p>
            <w:pPr>
              <w:spacing w:after="0" w:line="240" w:lineRule="auto"/>
            </w:pPr>
            <w:r>
              <w:rPr>
                <w:b w:val="0"/>
                <w:i w:val="0"/>
                <w:sz w:val="15"/>
              </w:rPr>
              <w:t xml:space="preserve">Hits aM / Marketing &amp; Sales and Planning </w:t>
            </w:r>
            <w:r>
              <w:rPr>
                <w:b/>
                <w:color w:val="2E548C"/>
                <w:sz w:val="12"/>
              </w:rPr>
              <w:t>[D]</w:t>
            </w:r>
          </w:p>
        </w:tc>
        <w:tc>
          <w:tcPr>
            <w:tcW w:type="dxa" w:w="1296"/>
            <w:shd w:val="clear" w:color="auto" w:fill="D9E1F2"/>
          </w:tcPr>
          <w:p>
            <w:pPr>
              <w:spacing w:after="0" w:line="240" w:lineRule="auto"/>
            </w:pPr>
            <w:r>
              <w:rPr>
                <w:b w:val="0"/>
                <w:i w:val="0"/>
                <w:sz w:val="15"/>
              </w:rPr>
              <w:t>None</w:t>
            </w:r>
          </w:p>
        </w:tc>
        <w:tc>
          <w:tcPr>
            <w:tcW w:type="dxa" w:w="2304"/>
            <w:shd w:val="clear" w:color="auto" w:fill="D9E1F2"/>
          </w:tcPr>
          <w:p>
            <w:pPr>
              <w:spacing w:after="0" w:line="240" w:lineRule="auto"/>
            </w:pPr>
            <w:r>
              <w:rPr>
                <w:b/>
                <w:color w:val="E36C09"/>
                <w:sz w:val="15"/>
              </w:rPr>
              <w:t>[TO COLLECT #60: SAAR monthly series]</w:t>
            </w:r>
          </w:p>
        </w:tc>
      </w:tr>
      <w:tr>
        <w:trPr>
          <w:cantSplit/>
        </w:trPr>
        <w:tc>
          <w:tcPr>
            <w:tcW w:type="dxa" w:w="2016"/>
          </w:tcPr>
          <w:p>
            <w:pPr>
              <w:spacing w:after="0" w:line="240" w:lineRule="auto"/>
            </w:pPr>
            <w:r>
              <w:rPr>
                <w:b w:val="0"/>
                <w:i w:val="0"/>
                <w:sz w:val="15"/>
              </w:rPr>
              <w:t>Dealer count / consolidation</w:t>
            </w:r>
          </w:p>
        </w:tc>
        <w:tc>
          <w:tcPr>
            <w:tcW w:type="dxa" w:w="4176"/>
          </w:tcPr>
          <w:p>
            <w:pPr>
              <w:spacing w:after="0" w:line="240" w:lineRule="auto"/>
            </w:pPr>
            <w:r>
              <w:rPr>
                <w:b w:val="0"/>
                <w:i w:val="0"/>
                <w:sz w:val="15"/>
              </w:rPr>
              <w:t xml:space="preserve">Consolidation and OEM direct sales can reduce revenue </w:t>
            </w:r>
            <w:r>
              <w:rPr>
                <w:b/>
                <w:color w:val="2E548C"/>
                <w:sz w:val="12"/>
              </w:rPr>
              <w:t>[D]</w:t>
            </w:r>
            <w:r>
              <w:rPr>
                <w:b w:val="0"/>
                <w:i w:val="0"/>
                <w:sz w:val="15"/>
              </w:rPr>
              <w:t xml:space="preserve"> (10A p.299)</w:t>
            </w:r>
          </w:p>
        </w:tc>
        <w:tc>
          <w:tcPr>
            <w:tcW w:type="dxa" w:w="1296"/>
          </w:tcPr>
          <w:p>
            <w:pPr>
              <w:spacing w:after="0" w:line="240" w:lineRule="auto"/>
            </w:pPr>
            <w:r>
              <w:rPr>
                <w:b w:val="0"/>
                <w:i w:val="0"/>
                <w:sz w:val="15"/>
              </w:rPr>
              <w:t>None</w:t>
            </w:r>
          </w:p>
        </w:tc>
        <w:tc>
          <w:tcPr>
            <w:tcW w:type="dxa" w:w="2304"/>
          </w:tcPr>
          <w:p>
            <w:pPr>
              <w:spacing w:after="0" w:line="240" w:lineRule="auto"/>
            </w:pPr>
            <w:r>
              <w:rPr>
                <w:b/>
                <w:color w:val="E36C09"/>
                <w:sz w:val="15"/>
              </w:rPr>
              <w:t>[TO COLLECT #61: rooftop counts and buy-sell deal counts (NADA, Haig)]</w:t>
            </w:r>
          </w:p>
        </w:tc>
      </w:tr>
      <w:tr>
        <w:trPr>
          <w:cantSplit/>
        </w:trPr>
        <w:tc>
          <w:tcPr>
            <w:tcW w:type="dxa" w:w="2016"/>
            <w:shd w:val="clear" w:color="auto" w:fill="D9E1F2"/>
          </w:tcPr>
          <w:p>
            <w:pPr>
              <w:spacing w:after="0" w:line="240" w:lineRule="auto"/>
            </w:pPr>
            <w:r>
              <w:rPr>
                <w:b w:val="0"/>
                <w:i w:val="0"/>
                <w:sz w:val="15"/>
              </w:rPr>
              <w:t>OEM marketing / recall</w:t>
            </w:r>
          </w:p>
        </w:tc>
        <w:tc>
          <w:tcPr>
            <w:tcW w:type="dxa" w:w="4176"/>
            <w:shd w:val="clear" w:color="auto" w:fill="D9E1F2"/>
          </w:tcPr>
          <w:p>
            <w:pPr>
              <w:spacing w:after="0" w:line="240" w:lineRule="auto"/>
            </w:pPr>
            <w:r>
              <w:rPr>
                <w:b w:val="0"/>
                <w:i w:val="0"/>
                <w:sz w:val="15"/>
              </w:rPr>
              <w:t xml:space="preserve">Recall −$15m FY24, −$3m FY25; discretionary budgets −$2m FY25 </w:t>
            </w:r>
            <w:r>
              <w:rPr>
                <w:b/>
                <w:color w:val="2E548C"/>
                <w:sz w:val="12"/>
              </w:rPr>
              <w:t>[D]</w:t>
            </w:r>
            <w:r>
              <w:rPr>
                <w:b w:val="0"/>
                <w:i w:val="0"/>
                <w:sz w:val="15"/>
              </w:rPr>
              <w:t xml:space="preserve">; recall guide cut −50bp implies ≥50% decremental </w:t>
            </w:r>
            <w:r>
              <w:rPr>
                <w:b/>
                <w:color w:val="2E548C"/>
                <w:sz w:val="12"/>
              </w:rPr>
              <w:t>[C]</w:t>
            </w:r>
          </w:p>
        </w:tc>
        <w:tc>
          <w:tcPr>
            <w:tcW w:type="dxa" w:w="1296"/>
            <w:shd w:val="clear" w:color="auto" w:fill="D9E1F2"/>
          </w:tcPr>
          <w:p>
            <w:pPr>
              <w:spacing w:after="0" w:line="240" w:lineRule="auto"/>
            </w:pPr>
            <w:r>
              <w:rPr>
                <w:b w:val="0"/>
                <w:i w:val="0"/>
                <w:sz w:val="15"/>
              </w:rPr>
              <w:t>Recall only</w:t>
            </w:r>
          </w:p>
        </w:tc>
        <w:tc>
          <w:tcPr>
            <w:tcW w:type="dxa" w:w="2304"/>
            <w:shd w:val="clear" w:color="auto" w:fill="D9E1F2"/>
          </w:tcPr>
          <w:p>
            <w:pPr>
              <w:spacing w:after="0" w:line="240" w:lineRule="auto"/>
            </w:pPr>
            <w:r>
              <w:rPr>
                <w:b/>
                <w:color w:val="E36C09"/>
                <w:sz w:val="15"/>
              </w:rPr>
              <w:t>[TO COLLECT #62: NHTSA recall volumes]</w:t>
            </w:r>
          </w:p>
        </w:tc>
      </w:tr>
      <w:tr>
        <w:trPr>
          <w:cantSplit/>
        </w:trPr>
        <w:tc>
          <w:tcPr>
            <w:tcW w:type="dxa" w:w="2016"/>
          </w:tcPr>
          <w:p>
            <w:pPr>
              <w:spacing w:after="0" w:line="240" w:lineRule="auto"/>
            </w:pPr>
            <w:r>
              <w:rPr>
                <w:b w:val="0"/>
                <w:i w:val="0"/>
                <w:sz w:val="15"/>
              </w:rPr>
              <w:t>VIO / average age</w:t>
            </w:r>
          </w:p>
        </w:tc>
        <w:tc>
          <w:tcPr>
            <w:tcW w:type="dxa" w:w="4176"/>
          </w:tcPr>
          <w:p>
            <w:pPr>
              <w:spacing w:after="0" w:line="240" w:lineRule="auto"/>
            </w:pPr>
            <w:r>
              <w:rPr>
                <w:b w:val="0"/>
                <w:i w:val="0"/>
                <w:sz w:val="15"/>
              </w:rPr>
              <w:t xml:space="preserve">TAM and whitespace; Car Care </w:t>
            </w:r>
            <w:r>
              <w:rPr>
                <w:b/>
                <w:color w:val="2E548C"/>
                <w:sz w:val="12"/>
              </w:rPr>
              <w:t>[IR]</w:t>
            </w:r>
          </w:p>
        </w:tc>
        <w:tc>
          <w:tcPr>
            <w:tcW w:type="dxa" w:w="1296"/>
          </w:tcPr>
          <w:p>
            <w:pPr>
              <w:spacing w:after="0" w:line="240" w:lineRule="auto"/>
            </w:pPr>
            <w:r>
              <w:rPr>
                <w:b w:val="0"/>
                <w:i w:val="0"/>
                <w:sz w:val="15"/>
              </w:rPr>
              <w:t>None</w:t>
            </w:r>
          </w:p>
        </w:tc>
        <w:tc>
          <w:tcPr>
            <w:tcW w:type="dxa" w:w="2304"/>
          </w:tcPr>
          <w:p>
            <w:pPr>
              <w:spacing w:after="0" w:line="240" w:lineRule="auto"/>
            </w:pPr>
            <w:r>
              <w:rPr>
                <w:b/>
                <w:color w:val="E36C09"/>
                <w:sz w:val="15"/>
              </w:rPr>
              <w:t>[TO COLLECT #63: VIO and average age]</w:t>
            </w:r>
          </w:p>
        </w:tc>
      </w:tr>
      <w:tr>
        <w:trPr>
          <w:cantSplit/>
        </w:trPr>
        <w:tc>
          <w:tcPr>
            <w:tcW w:type="dxa" w:w="2016"/>
            <w:shd w:val="clear" w:color="auto" w:fill="D9E1F2"/>
          </w:tcPr>
          <w:p>
            <w:pPr>
              <w:spacing w:after="0" w:line="240" w:lineRule="auto"/>
            </w:pPr>
            <w:r>
              <w:rPr>
                <w:b w:val="0"/>
                <w:i w:val="0"/>
                <w:sz w:val="15"/>
              </w:rPr>
              <w:t>Auto lending</w:t>
            </w:r>
          </w:p>
        </w:tc>
        <w:tc>
          <w:tcPr>
            <w:tcW w:type="dxa" w:w="4176"/>
            <w:shd w:val="clear" w:color="auto" w:fill="D9E1F2"/>
          </w:tcPr>
          <w:p>
            <w:pPr>
              <w:spacing w:after="0" w:line="240" w:lineRule="auto"/>
            </w:pPr>
            <w:r>
              <w:rPr>
                <w:b w:val="0"/>
                <w:i w:val="0"/>
                <w:sz w:val="15"/>
              </w:rPr>
              <w:t xml:space="preserve">Credit availability drives vehicle sales </w:t>
            </w:r>
            <w:r>
              <w:rPr>
                <w:b/>
                <w:color w:val="2E548C"/>
                <w:sz w:val="12"/>
              </w:rPr>
              <w:t>[D]</w:t>
            </w:r>
            <w:r>
              <w:rPr>
                <w:b w:val="0"/>
                <w:i w:val="0"/>
                <w:sz w:val="15"/>
              </w:rPr>
              <w:t xml:space="preserve">; &gt;20% of loans at 84 months </w:t>
            </w:r>
            <w:r>
              <w:rPr>
                <w:b/>
                <w:color w:val="2E548C"/>
                <w:sz w:val="12"/>
              </w:rPr>
              <w:t>[IR]</w:t>
            </w:r>
          </w:p>
        </w:tc>
        <w:tc>
          <w:tcPr>
            <w:tcW w:type="dxa" w:w="1296"/>
            <w:shd w:val="clear" w:color="auto" w:fill="D9E1F2"/>
          </w:tcPr>
          <w:p>
            <w:pPr>
              <w:spacing w:after="0" w:line="240" w:lineRule="auto"/>
            </w:pPr>
            <w:r>
              <w:rPr>
                <w:b w:val="0"/>
                <w:i w:val="0"/>
                <w:sz w:val="15"/>
              </w:rPr>
              <w:t>None</w:t>
            </w:r>
          </w:p>
        </w:tc>
        <w:tc>
          <w:tcPr>
            <w:tcW w:type="dxa" w:w="2304"/>
            <w:shd w:val="clear" w:color="auto" w:fill="D9E1F2"/>
          </w:tcPr>
          <w:p>
            <w:pPr>
              <w:spacing w:after="0" w:line="240" w:lineRule="auto"/>
            </w:pPr>
            <w:r>
              <w:rPr>
                <w:b/>
                <w:color w:val="E36C09"/>
                <w:sz w:val="15"/>
              </w:rPr>
              <w:t>[TO COLLECT #64: G.19 rates and delinquency]</w:t>
            </w:r>
          </w:p>
        </w:tc>
      </w:tr>
      <w:tr>
        <w:trPr>
          <w:cantSplit/>
        </w:trPr>
        <w:tc>
          <w:tcPr>
            <w:tcW w:type="dxa" w:w="2016"/>
          </w:tcPr>
          <w:p>
            <w:pPr>
              <w:spacing w:after="0" w:line="240" w:lineRule="auto"/>
            </w:pPr>
            <w:r>
              <w:rPr>
                <w:b w:val="0"/>
                <w:i w:val="0"/>
                <w:sz w:val="15"/>
              </w:rPr>
              <w:t>Insurance underwriting</w:t>
            </w:r>
          </w:p>
        </w:tc>
        <w:tc>
          <w:tcPr>
            <w:tcW w:type="dxa" w:w="4176"/>
          </w:tcPr>
          <w:p>
            <w:pPr>
              <w:spacing w:after="0" w:line="240" w:lineRule="auto"/>
            </w:pPr>
            <w:r>
              <w:rPr>
                <w:b w:val="0"/>
                <w:i w:val="0"/>
                <w:sz w:val="15"/>
              </w:rPr>
              <w:t xml:space="preserve">+$17m FY24, +$13m FY25, +$2m Q1-26 </w:t>
            </w:r>
            <w:r>
              <w:rPr>
                <w:b/>
                <w:color w:val="2E548C"/>
                <w:sz w:val="12"/>
              </w:rPr>
              <w:t>[D]</w:t>
            </w:r>
            <w:r>
              <w:rPr>
                <w:b w:val="0"/>
                <w:i w:val="0"/>
                <w:sz w:val="15"/>
              </w:rPr>
              <w:t xml:space="preserve"> — fading tailwind</w:t>
            </w:r>
          </w:p>
        </w:tc>
        <w:tc>
          <w:tcPr>
            <w:tcW w:type="dxa" w:w="1296"/>
          </w:tcPr>
          <w:p>
            <w:pPr>
              <w:spacing w:after="0" w:line="240" w:lineRule="auto"/>
            </w:pPr>
            <w:r>
              <w:rPr>
                <w:b w:val="0"/>
                <w:i w:val="0"/>
                <w:sz w:val="15"/>
              </w:rPr>
              <w:t>$ only</w:t>
            </w:r>
          </w:p>
        </w:tc>
        <w:tc>
          <w:tcPr>
            <w:tcW w:type="dxa" w:w="2304"/>
          </w:tcPr>
          <w:p>
            <w:pPr>
              <w:spacing w:after="0" w:line="240" w:lineRule="auto"/>
            </w:pPr>
            <w:r>
              <w:rPr>
                <w:b/>
                <w:color w:val="E36C09"/>
                <w:sz w:val="15"/>
              </w:rPr>
              <w:t>[TO COLLECT #65: insurance shopping / CPI motor insurance]</w:t>
            </w:r>
          </w:p>
        </w:tc>
      </w:tr>
      <w:tr>
        <w:trPr>
          <w:cantSplit/>
        </w:trPr>
        <w:tc>
          <w:tcPr>
            <w:tcW w:type="dxa" w:w="2016"/>
            <w:shd w:val="clear" w:color="auto" w:fill="D9E1F2"/>
          </w:tcPr>
          <w:p>
            <w:pPr>
              <w:spacing w:after="0" w:line="240" w:lineRule="auto"/>
            </w:pPr>
            <w:r>
              <w:rPr>
                <w:b w:val="0"/>
                <w:i w:val="0"/>
                <w:sz w:val="15"/>
              </w:rPr>
              <w:t>Tariffs / international</w:t>
            </w:r>
          </w:p>
        </w:tc>
        <w:tc>
          <w:tcPr>
            <w:tcW w:type="dxa" w:w="4176"/>
            <w:shd w:val="clear" w:color="auto" w:fill="D9E1F2"/>
          </w:tcPr>
          <w:p>
            <w:pPr>
              <w:spacing w:after="0" w:line="240" w:lineRule="auto"/>
            </w:pPr>
            <w:r>
              <w:rPr>
                <w:b w:val="0"/>
                <w:i w:val="0"/>
                <w:sz w:val="15"/>
              </w:rPr>
              <w:t xml:space="preserve">SPGI Manufacturing −3% Q3-25 </w:t>
            </w:r>
            <w:r>
              <w:rPr>
                <w:b/>
                <w:color w:val="2E548C"/>
                <w:sz w:val="12"/>
              </w:rPr>
              <w:t>[IR]</w:t>
            </w:r>
            <w:r>
              <w:rPr>
                <w:b w:val="0"/>
                <w:i w:val="0"/>
                <w:sz w:val="15"/>
              </w:rPr>
              <w:t xml:space="preserve">; Canada and Planning soft in Q2-26 </w:t>
            </w:r>
            <w:r>
              <w:rPr>
                <w:b/>
                <w:color w:val="2E548C"/>
                <w:sz w:val="12"/>
              </w:rPr>
              <w:t>[IR]</w:t>
            </w:r>
          </w:p>
        </w:tc>
        <w:tc>
          <w:tcPr>
            <w:tcW w:type="dxa" w:w="1296"/>
            <w:shd w:val="clear" w:color="auto" w:fill="D9E1F2"/>
          </w:tcPr>
          <w:p>
            <w:pPr>
              <w:spacing w:after="0" w:line="240" w:lineRule="auto"/>
            </w:pPr>
            <w:r>
              <w:rPr>
                <w:b w:val="0"/>
                <w:i w:val="0"/>
                <w:sz w:val="15"/>
              </w:rPr>
              <w:t>None</w:t>
            </w:r>
          </w:p>
        </w:tc>
        <w:tc>
          <w:tcPr>
            <w:tcW w:type="dxa" w:w="2304"/>
            <w:shd w:val="clear" w:color="auto" w:fill="D9E1F2"/>
          </w:tcPr>
          <w:p>
            <w:pPr>
              <w:spacing w:after="0" w:line="240" w:lineRule="auto"/>
            </w:pPr>
            <w:r>
              <w:rPr>
                <w:b/>
                <w:color w:val="E36C09"/>
                <w:sz w:val="15"/>
              </w:rPr>
              <w:t>[TO COLLECT #66: Canada and Germany market series]</w:t>
            </w:r>
          </w:p>
        </w:tc>
      </w:tr>
    </w:tbl>
    <w:p>
      <w:pPr>
        <w:spacing w:after="120"/>
      </w:pPr>
      <w:r>
        <w:rPr>
          <w:b w:val="0"/>
          <w:i/>
          <w:color w:val="595959"/>
          <w:sz w:val="15"/>
        </w:rPr>
        <w:t>Source: analysis/D9_demand_drivers.md §2.</w:t>
      </w:r>
    </w:p>
    <w:tbl>
      <w:tblPr>
        <w:tblW w:type="auto" w:w="0"/>
        <w:jc w:val="center"/>
        <w:tblLook w:firstColumn="1" w:firstRow="1" w:lastColumn="0" w:lastRow="0" w:noHBand="0" w:noVBand="1" w:val="04A0"/>
        <w:tblBorders>
          <w:top w:val="nil" w:sz="0" w:space="0" w:color="auto"/>
          <w:left w:val="single" w:sz="24" w:space="0" w:color="1F3864"/>
          <w:bottom w:val="nil" w:sz="0" w:space="0" w:color="auto"/>
          <w:right w:val="nil" w:sz="0" w:space="0" w:color="auto"/>
          <w:insideH w:val="nil" w:sz="0" w:space="0" w:color="auto"/>
          <w:insideV w:val="nil" w:sz="0" w:space="0" w:color="auto"/>
        </w:tblBorders>
        <w:tblCellMar>
          <w:top w:w="90" w:type="dxa"/>
          <w:left w:w="160" w:type="dxa"/>
          <w:bottom w:w="90" w:type="dxa"/>
          <w:right w:w="120" w:type="dxa"/>
        </w:tblCellMar>
      </w:tblPr>
      <w:tblGrid>
        <w:gridCol w:w="8928"/>
      </w:tblGrid>
      <w:tr>
        <w:trPr>
          <w:cantSplit/>
        </w:trPr>
        <w:tc>
          <w:tcPr>
            <w:tcW w:type="dxa" w:w="8928"/>
            <w:shd w:val="clear" w:color="auto" w:fill="EEF2F9"/>
          </w:tcPr>
          <w:p>
            <w:pPr>
              <w:spacing w:after="60"/>
            </w:pPr>
            <w:r>
              <w:rPr>
                <w:i/>
                <w:color w:val="262626"/>
                <w:sz w:val="19"/>
              </w:rPr>
              <w:t>“We can create demand in a lot of places. We can't create demand for recall.”</w:t>
            </w:r>
          </w:p>
          <w:p>
            <w:pPr>
              <w:spacing w:after="0"/>
            </w:pPr>
            <w:r>
              <w:rPr>
                <w:b w:val="0"/>
                <w:i w:val="0"/>
                <w:color w:val="1F3864"/>
                <w:sz w:val="15"/>
              </w:rPr>
              <w:t xml:space="preserve">— Matt Calderone (CFO), Investor Day 2026, 2026-05-12 · Quartr t=8007.2s </w:t>
            </w:r>
            <w:r>
              <w:rPr>
                <w:b/>
                <w:color w:val="2E548C"/>
                <w:sz w:val="12"/>
              </w:rPr>
              <w:t>[IR]</w:t>
            </w:r>
          </w:p>
        </w:tc>
      </w:tr>
    </w:tbl>
    <w:p>
      <w:pPr>
        <w:spacing w:after="40"/>
      </w:pPr>
    </w:p>
    <w:tbl>
      <w:tblPr>
        <w:tblW w:type="auto" w:w="0"/>
        <w:jc w:val="center"/>
        <w:tblLook w:firstColumn="1" w:firstRow="1" w:lastColumn="0" w:lastRow="0" w:noHBand="0" w:noVBand="1" w:val="04A0"/>
        <w:tblBorders>
          <w:top w:val="nil" w:sz="0" w:space="0" w:color="auto"/>
          <w:left w:val="single" w:sz="24" w:space="0" w:color="1F3864"/>
          <w:bottom w:val="nil" w:sz="0" w:space="0" w:color="auto"/>
          <w:right w:val="nil" w:sz="0" w:space="0" w:color="auto"/>
          <w:insideH w:val="nil" w:sz="0" w:space="0" w:color="auto"/>
          <w:insideV w:val="nil" w:sz="0" w:space="0" w:color="auto"/>
        </w:tblBorders>
        <w:tblCellMar>
          <w:top w:w="90" w:type="dxa"/>
          <w:left w:w="160" w:type="dxa"/>
          <w:bottom w:w="90" w:type="dxa"/>
          <w:right w:w="120" w:type="dxa"/>
        </w:tblCellMar>
      </w:tblPr>
      <w:tblGrid>
        <w:gridCol w:w="8928"/>
      </w:tblGrid>
      <w:tr>
        <w:trPr>
          <w:cantSplit/>
        </w:trPr>
        <w:tc>
          <w:tcPr>
            <w:tcW w:type="dxa" w:w="8928"/>
            <w:shd w:val="clear" w:color="auto" w:fill="EEF2F9"/>
          </w:tcPr>
          <w:p>
            <w:pPr>
              <w:spacing w:after="60"/>
            </w:pPr>
            <w:r>
              <w:rPr>
                <w:i/>
                <w:color w:val="262626"/>
                <w:sz w:val="19"/>
              </w:rPr>
              <w:t>“Secondly, softer automotive activity outside the U.S. weighed on transactional revenue this quarter.”</w:t>
            </w:r>
          </w:p>
          <w:p>
            <w:pPr>
              <w:spacing w:after="0"/>
            </w:pPr>
            <w:r>
              <w:rPr>
                <w:b w:val="0"/>
                <w:i w:val="0"/>
                <w:color w:val="1F3864"/>
                <w:sz w:val="15"/>
              </w:rPr>
              <w:t xml:space="preserve">— Bill Eager (CEO), Q2 2026 Earnings Call, 2026-08-07 · Quartr t=243.34s </w:t>
            </w:r>
            <w:r>
              <w:rPr>
                <w:b/>
                <w:color w:val="2E548C"/>
                <w:sz w:val="12"/>
              </w:rPr>
              <w:t>[IR]</w:t>
            </w:r>
          </w:p>
        </w:tc>
      </w:tr>
    </w:tbl>
    <w:p>
      <w:pPr>
        <w:spacing w:after="40"/>
      </w:pPr>
    </w:p>
    <w:p>
      <w:pPr>
        <w:keepNext/>
        <w:spacing w:before="80" w:after="40"/>
      </w:pPr>
      <w:r>
        <w:rPr>
          <w:b/>
          <w:i w:val="0"/>
          <w:color w:val="1F3864"/>
          <w:sz w:val="17"/>
        </w:rPr>
        <w:t xml:space="preserve">Exhibit 12.5 — S&amp;P Global Mobility growth by business line, as stated on SPGI calls </w:t>
      </w:r>
      <w:r>
        <w:rPr>
          <w:b/>
          <w:color w:val="2E548C"/>
          <w:sz w:val="14"/>
        </w:rPr>
        <w:t>[IR]</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440"/>
        <w:gridCol w:w="2015"/>
        <w:gridCol w:w="2015"/>
        <w:gridCol w:w="2160"/>
        <w:gridCol w:w="2160"/>
      </w:tblGrid>
      <w:tr>
        <w:trPr>
          <w:cantSplit/>
          <w:tblHeader/>
        </w:trPr>
        <w:tc>
          <w:tcPr>
            <w:tcW w:type="dxa" w:w="1440"/>
            <w:shd w:val="clear" w:color="auto" w:fill="1F3864"/>
          </w:tcPr>
          <w:p>
            <w:pPr>
              <w:spacing w:after="0" w:line="240" w:lineRule="auto"/>
            </w:pPr>
            <w:r>
              <w:rPr>
                <w:b/>
                <w:i w:val="0"/>
                <w:color w:val="FFFFFF"/>
                <w:sz w:val="16"/>
              </w:rPr>
              <w:t>Qtr</w:t>
            </w:r>
          </w:p>
        </w:tc>
        <w:tc>
          <w:tcPr>
            <w:tcW w:type="dxa" w:w="2016"/>
            <w:shd w:val="clear" w:color="auto" w:fill="1F3864"/>
          </w:tcPr>
          <w:p>
            <w:pPr>
              <w:spacing w:after="0" w:line="240" w:lineRule="auto"/>
              <w:jc w:val="right"/>
            </w:pPr>
            <w:r>
              <w:rPr>
                <w:b/>
                <w:i w:val="0"/>
                <w:color w:val="FFFFFF"/>
                <w:sz w:val="16"/>
              </w:rPr>
              <w:t>Total</w:t>
            </w:r>
          </w:p>
        </w:tc>
        <w:tc>
          <w:tcPr>
            <w:tcW w:type="dxa" w:w="2016"/>
            <w:shd w:val="clear" w:color="auto" w:fill="1F3864"/>
          </w:tcPr>
          <w:p>
            <w:pPr>
              <w:spacing w:after="0" w:line="240" w:lineRule="auto"/>
              <w:jc w:val="right"/>
            </w:pPr>
            <w:r>
              <w:rPr>
                <w:b/>
                <w:i w:val="0"/>
                <w:color w:val="FFFFFF"/>
                <w:sz w:val="16"/>
              </w:rPr>
              <w:t>Dealer</w:t>
            </w:r>
          </w:p>
        </w:tc>
        <w:tc>
          <w:tcPr>
            <w:tcW w:type="dxa" w:w="2160"/>
            <w:shd w:val="clear" w:color="auto" w:fill="1F3864"/>
          </w:tcPr>
          <w:p>
            <w:pPr>
              <w:spacing w:after="0" w:line="240" w:lineRule="auto"/>
              <w:jc w:val="right"/>
            </w:pPr>
            <w:r>
              <w:rPr>
                <w:b/>
                <w:i w:val="0"/>
                <w:color w:val="FFFFFF"/>
                <w:sz w:val="16"/>
              </w:rPr>
              <w:t>Manufacturing</w:t>
            </w:r>
          </w:p>
        </w:tc>
        <w:tc>
          <w:tcPr>
            <w:tcW w:type="dxa" w:w="2160"/>
            <w:shd w:val="clear" w:color="auto" w:fill="1F3864"/>
          </w:tcPr>
          <w:p>
            <w:pPr>
              <w:spacing w:after="0" w:line="240" w:lineRule="auto"/>
              <w:jc w:val="right"/>
            </w:pPr>
            <w:r>
              <w:rPr>
                <w:b/>
                <w:i w:val="0"/>
                <w:color w:val="FFFFFF"/>
                <w:sz w:val="16"/>
              </w:rPr>
              <w:t>Fin. &amp; Other</w:t>
            </w:r>
          </w:p>
        </w:tc>
      </w:tr>
      <w:tr>
        <w:trPr>
          <w:cantSplit/>
        </w:trPr>
        <w:tc>
          <w:tcPr>
            <w:tcW w:type="dxa" w:w="1440"/>
          </w:tcPr>
          <w:p>
            <w:pPr>
              <w:spacing w:after="0" w:line="240" w:lineRule="auto"/>
            </w:pPr>
            <w:r>
              <w:rPr>
                <w:b w:val="0"/>
                <w:i w:val="0"/>
                <w:sz w:val="16"/>
              </w:rPr>
              <w:t>Q1-22</w:t>
            </w:r>
          </w:p>
        </w:tc>
        <w:tc>
          <w:tcPr>
            <w:tcW w:type="dxa" w:w="2016"/>
          </w:tcPr>
          <w:p>
            <w:pPr>
              <w:spacing w:after="0" w:line="240" w:lineRule="auto"/>
              <w:jc w:val="right"/>
            </w:pPr>
            <w:r>
              <w:rPr>
                <w:b w:val="0"/>
                <w:i w:val="0"/>
                <w:sz w:val="16"/>
              </w:rPr>
              <w:t>10%</w:t>
            </w:r>
          </w:p>
        </w:tc>
        <w:tc>
          <w:tcPr>
            <w:tcW w:type="dxa" w:w="2016"/>
          </w:tcPr>
          <w:p>
            <w:pPr>
              <w:spacing w:after="0" w:line="240" w:lineRule="auto"/>
              <w:jc w:val="right"/>
            </w:pPr>
            <w:r>
              <w:rPr>
                <w:b w:val="0"/>
                <w:i w:val="0"/>
                <w:sz w:val="16"/>
              </w:rPr>
              <w:t>n/a</w:t>
            </w:r>
          </w:p>
        </w:tc>
        <w:tc>
          <w:tcPr>
            <w:tcW w:type="dxa" w:w="2160"/>
          </w:tcPr>
          <w:p>
            <w:pPr>
              <w:spacing w:after="0" w:line="240" w:lineRule="auto"/>
              <w:jc w:val="right"/>
            </w:pPr>
            <w:r>
              <w:rPr>
                <w:b w:val="0"/>
                <w:i w:val="0"/>
                <w:sz w:val="16"/>
              </w:rPr>
              <w:t>n/a</w:t>
            </w:r>
          </w:p>
        </w:tc>
        <w:tc>
          <w:tcPr>
            <w:tcW w:type="dxa" w:w="2160"/>
          </w:tcPr>
          <w:p>
            <w:pPr>
              <w:spacing w:after="0" w:line="240" w:lineRule="auto"/>
              <w:jc w:val="right"/>
            </w:pPr>
            <w:r>
              <w:rPr>
                <w:b w:val="0"/>
                <w:i w:val="0"/>
                <w:sz w:val="16"/>
              </w:rPr>
              <w:t>n/a</w:t>
            </w:r>
          </w:p>
        </w:tc>
      </w:tr>
      <w:tr>
        <w:trPr>
          <w:cantSplit/>
        </w:trPr>
        <w:tc>
          <w:tcPr>
            <w:tcW w:type="dxa" w:w="1440"/>
            <w:shd w:val="clear" w:color="auto" w:fill="D9E1F2"/>
          </w:tcPr>
          <w:p>
            <w:pPr>
              <w:spacing w:after="0" w:line="240" w:lineRule="auto"/>
            </w:pPr>
            <w:r>
              <w:rPr>
                <w:b w:val="0"/>
                <w:i w:val="0"/>
                <w:sz w:val="16"/>
              </w:rPr>
              <w:t>Q2-22</w:t>
            </w:r>
          </w:p>
        </w:tc>
        <w:tc>
          <w:tcPr>
            <w:tcW w:type="dxa" w:w="2016"/>
            <w:shd w:val="clear" w:color="auto" w:fill="D9E1F2"/>
          </w:tcPr>
          <w:p>
            <w:pPr>
              <w:spacing w:after="0" w:line="240" w:lineRule="auto"/>
              <w:jc w:val="right"/>
            </w:pPr>
            <w:r>
              <w:rPr>
                <w:b w:val="0"/>
                <w:i w:val="0"/>
                <w:sz w:val="16"/>
              </w:rPr>
              <w:t>7%</w:t>
            </w:r>
          </w:p>
        </w:tc>
        <w:tc>
          <w:tcPr>
            <w:tcW w:type="dxa" w:w="2016"/>
            <w:shd w:val="clear" w:color="auto" w:fill="D9E1F2"/>
          </w:tcPr>
          <w:p>
            <w:pPr>
              <w:spacing w:after="0" w:line="240" w:lineRule="auto"/>
              <w:jc w:val="right"/>
            </w:pPr>
            <w:r>
              <w:rPr>
                <w:b w:val="0"/>
                <w:i w:val="0"/>
                <w:sz w:val="16"/>
              </w:rPr>
              <w:t>10%</w:t>
            </w:r>
          </w:p>
        </w:tc>
        <w:tc>
          <w:tcPr>
            <w:tcW w:type="dxa" w:w="2160"/>
            <w:shd w:val="clear" w:color="auto" w:fill="D9E1F2"/>
          </w:tcPr>
          <w:p>
            <w:pPr>
              <w:spacing w:after="0" w:line="240" w:lineRule="auto"/>
              <w:jc w:val="right"/>
            </w:pPr>
            <w:r>
              <w:rPr>
                <w:b w:val="0"/>
                <w:i w:val="0"/>
                <w:sz w:val="16"/>
              </w:rPr>
              <w:t>3%</w:t>
            </w:r>
          </w:p>
        </w:tc>
        <w:tc>
          <w:tcPr>
            <w:tcW w:type="dxa" w:w="2160"/>
            <w:shd w:val="clear" w:color="auto" w:fill="D9E1F2"/>
          </w:tcPr>
          <w:p>
            <w:pPr>
              <w:spacing w:after="0" w:line="240" w:lineRule="auto"/>
              <w:jc w:val="right"/>
            </w:pPr>
            <w:r>
              <w:rPr>
                <w:b w:val="0"/>
                <w:i w:val="0"/>
                <w:sz w:val="16"/>
              </w:rPr>
              <w:t>3%</w:t>
            </w:r>
          </w:p>
        </w:tc>
      </w:tr>
      <w:tr>
        <w:trPr>
          <w:cantSplit/>
        </w:trPr>
        <w:tc>
          <w:tcPr>
            <w:tcW w:type="dxa" w:w="1440"/>
          </w:tcPr>
          <w:p>
            <w:pPr>
              <w:spacing w:after="0" w:line="240" w:lineRule="auto"/>
            </w:pPr>
            <w:r>
              <w:rPr>
                <w:b w:val="0"/>
                <w:i w:val="0"/>
                <w:sz w:val="16"/>
              </w:rPr>
              <w:t>Q3-22</w:t>
            </w:r>
          </w:p>
        </w:tc>
        <w:tc>
          <w:tcPr>
            <w:tcW w:type="dxa" w:w="2016"/>
          </w:tcPr>
          <w:p>
            <w:pPr>
              <w:spacing w:after="0" w:line="240" w:lineRule="auto"/>
              <w:jc w:val="right"/>
            </w:pPr>
            <w:r>
              <w:rPr>
                <w:b w:val="0"/>
                <w:i w:val="0"/>
                <w:sz w:val="16"/>
              </w:rPr>
              <w:t>n/a</w:t>
            </w:r>
          </w:p>
        </w:tc>
        <w:tc>
          <w:tcPr>
            <w:tcW w:type="dxa" w:w="2016"/>
          </w:tcPr>
          <w:p>
            <w:pPr>
              <w:spacing w:after="0" w:line="240" w:lineRule="auto"/>
              <w:jc w:val="right"/>
            </w:pPr>
            <w:r>
              <w:rPr>
                <w:b w:val="0"/>
                <w:i w:val="0"/>
                <w:sz w:val="16"/>
              </w:rPr>
              <w:t>10%</w:t>
            </w:r>
          </w:p>
        </w:tc>
        <w:tc>
          <w:tcPr>
            <w:tcW w:type="dxa" w:w="2160"/>
          </w:tcPr>
          <w:p>
            <w:pPr>
              <w:spacing w:after="0" w:line="240" w:lineRule="auto"/>
              <w:jc w:val="right"/>
            </w:pPr>
            <w:r>
              <w:rPr>
                <w:b w:val="0"/>
                <w:i w:val="0"/>
                <w:sz w:val="16"/>
              </w:rPr>
              <w:t>n/a</w:t>
            </w:r>
          </w:p>
        </w:tc>
        <w:tc>
          <w:tcPr>
            <w:tcW w:type="dxa" w:w="2160"/>
          </w:tcPr>
          <w:p>
            <w:pPr>
              <w:spacing w:after="0" w:line="240" w:lineRule="auto"/>
              <w:jc w:val="right"/>
            </w:pPr>
            <w:r>
              <w:rPr>
                <w:b w:val="0"/>
                <w:i w:val="0"/>
                <w:sz w:val="16"/>
              </w:rPr>
              <w:t>9%</w:t>
            </w:r>
          </w:p>
        </w:tc>
      </w:tr>
      <w:tr>
        <w:trPr>
          <w:cantSplit/>
        </w:trPr>
        <w:tc>
          <w:tcPr>
            <w:tcW w:type="dxa" w:w="1440"/>
            <w:shd w:val="clear" w:color="auto" w:fill="D9E1F2"/>
          </w:tcPr>
          <w:p>
            <w:pPr>
              <w:spacing w:after="0" w:line="240" w:lineRule="auto"/>
            </w:pPr>
            <w:r>
              <w:rPr>
                <w:b w:val="0"/>
                <w:i w:val="0"/>
                <w:sz w:val="16"/>
              </w:rPr>
              <w:t>Q4-22</w:t>
            </w:r>
          </w:p>
        </w:tc>
        <w:tc>
          <w:tcPr>
            <w:tcW w:type="dxa" w:w="2016"/>
            <w:shd w:val="clear" w:color="auto" w:fill="D9E1F2"/>
          </w:tcPr>
          <w:p>
            <w:pPr>
              <w:spacing w:after="0" w:line="240" w:lineRule="auto"/>
              <w:jc w:val="right"/>
            </w:pPr>
            <w:r>
              <w:rPr>
                <w:b w:val="0"/>
                <w:i w:val="0"/>
                <w:sz w:val="16"/>
              </w:rPr>
              <w:t>9%</w:t>
            </w:r>
          </w:p>
        </w:tc>
        <w:tc>
          <w:tcPr>
            <w:tcW w:type="dxa" w:w="2016"/>
            <w:shd w:val="clear" w:color="auto" w:fill="D9E1F2"/>
          </w:tcPr>
          <w:p>
            <w:pPr>
              <w:spacing w:after="0" w:line="240" w:lineRule="auto"/>
              <w:jc w:val="right"/>
            </w:pPr>
            <w:r>
              <w:rPr>
                <w:b w:val="0"/>
                <w:i w:val="0"/>
                <w:sz w:val="16"/>
              </w:rPr>
              <w:t>9%</w:t>
            </w:r>
          </w:p>
        </w:tc>
        <w:tc>
          <w:tcPr>
            <w:tcW w:type="dxa" w:w="2160"/>
            <w:shd w:val="clear" w:color="auto" w:fill="D9E1F2"/>
          </w:tcPr>
          <w:p>
            <w:pPr>
              <w:spacing w:after="0" w:line="240" w:lineRule="auto"/>
              <w:jc w:val="right"/>
            </w:pPr>
            <w:r>
              <w:rPr>
                <w:b w:val="0"/>
                <w:i w:val="0"/>
                <w:sz w:val="16"/>
              </w:rPr>
              <w:t>8%</w:t>
            </w:r>
          </w:p>
        </w:tc>
        <w:tc>
          <w:tcPr>
            <w:tcW w:type="dxa" w:w="2160"/>
            <w:shd w:val="clear" w:color="auto" w:fill="D9E1F2"/>
          </w:tcPr>
          <w:p>
            <w:pPr>
              <w:spacing w:after="0" w:line="240" w:lineRule="auto"/>
              <w:jc w:val="right"/>
            </w:pPr>
            <w:r>
              <w:rPr>
                <w:b w:val="0"/>
                <w:i w:val="0"/>
                <w:sz w:val="16"/>
              </w:rPr>
              <w:t>n/a</w:t>
            </w:r>
          </w:p>
        </w:tc>
      </w:tr>
      <w:tr>
        <w:trPr>
          <w:cantSplit/>
        </w:trPr>
        <w:tc>
          <w:tcPr>
            <w:tcW w:type="dxa" w:w="1440"/>
          </w:tcPr>
          <w:p>
            <w:pPr>
              <w:spacing w:after="0" w:line="240" w:lineRule="auto"/>
            </w:pPr>
            <w:r>
              <w:rPr>
                <w:b w:val="0"/>
                <w:i w:val="0"/>
                <w:sz w:val="16"/>
              </w:rPr>
              <w:t>Q1-23</w:t>
            </w:r>
          </w:p>
        </w:tc>
        <w:tc>
          <w:tcPr>
            <w:tcW w:type="dxa" w:w="2016"/>
          </w:tcPr>
          <w:p>
            <w:pPr>
              <w:spacing w:after="0" w:line="240" w:lineRule="auto"/>
              <w:jc w:val="right"/>
            </w:pPr>
            <w:r>
              <w:rPr>
                <w:b w:val="0"/>
                <w:i w:val="0"/>
                <w:sz w:val="16"/>
              </w:rPr>
              <w:t>10% (~1pt Market Scan)</w:t>
            </w:r>
          </w:p>
        </w:tc>
        <w:tc>
          <w:tcPr>
            <w:tcW w:type="dxa" w:w="2016"/>
          </w:tcPr>
          <w:p>
            <w:pPr>
              <w:spacing w:after="0" w:line="240" w:lineRule="auto"/>
              <w:jc w:val="right"/>
            </w:pPr>
            <w:r>
              <w:rPr>
                <w:b w:val="0"/>
                <w:i w:val="0"/>
                <w:sz w:val="16"/>
              </w:rPr>
              <w:t>10%</w:t>
            </w:r>
          </w:p>
        </w:tc>
        <w:tc>
          <w:tcPr>
            <w:tcW w:type="dxa" w:w="2160"/>
          </w:tcPr>
          <w:p>
            <w:pPr>
              <w:spacing w:after="0" w:line="240" w:lineRule="auto"/>
              <w:jc w:val="right"/>
            </w:pPr>
            <w:r>
              <w:rPr>
                <w:b w:val="0"/>
                <w:i w:val="0"/>
                <w:sz w:val="16"/>
              </w:rPr>
              <w:t>11%</w:t>
            </w:r>
          </w:p>
        </w:tc>
        <w:tc>
          <w:tcPr>
            <w:tcW w:type="dxa" w:w="2160"/>
          </w:tcPr>
          <w:p>
            <w:pPr>
              <w:spacing w:after="0" w:line="240" w:lineRule="auto"/>
              <w:jc w:val="right"/>
            </w:pPr>
            <w:r>
              <w:rPr>
                <w:b w:val="0"/>
                <w:i w:val="0"/>
                <w:sz w:val="16"/>
              </w:rPr>
              <w:t>n/a</w:t>
            </w:r>
          </w:p>
        </w:tc>
      </w:tr>
      <w:tr>
        <w:trPr>
          <w:cantSplit/>
        </w:trPr>
        <w:tc>
          <w:tcPr>
            <w:tcW w:type="dxa" w:w="1440"/>
            <w:shd w:val="clear" w:color="auto" w:fill="D9E1F2"/>
          </w:tcPr>
          <w:p>
            <w:pPr>
              <w:spacing w:after="0" w:line="240" w:lineRule="auto"/>
            </w:pPr>
            <w:r>
              <w:rPr>
                <w:b w:val="0"/>
                <w:i w:val="0"/>
                <w:sz w:val="16"/>
              </w:rPr>
              <w:t>Q2-23</w:t>
            </w:r>
          </w:p>
        </w:tc>
        <w:tc>
          <w:tcPr>
            <w:tcW w:type="dxa" w:w="2016"/>
            <w:shd w:val="clear" w:color="auto" w:fill="D9E1F2"/>
          </w:tcPr>
          <w:p>
            <w:pPr>
              <w:spacing w:after="0" w:line="240" w:lineRule="auto"/>
              <w:jc w:val="right"/>
            </w:pPr>
            <w:r>
              <w:rPr>
                <w:b w:val="0"/>
                <w:i w:val="0"/>
                <w:sz w:val="16"/>
              </w:rPr>
              <w:t>10%</w:t>
            </w:r>
          </w:p>
        </w:tc>
        <w:tc>
          <w:tcPr>
            <w:tcW w:type="dxa" w:w="2016"/>
            <w:shd w:val="clear" w:color="auto" w:fill="D9E1F2"/>
          </w:tcPr>
          <w:p>
            <w:pPr>
              <w:spacing w:after="0" w:line="240" w:lineRule="auto"/>
              <w:jc w:val="right"/>
            </w:pPr>
            <w:r>
              <w:rPr>
                <w:b w:val="0"/>
                <w:i w:val="0"/>
                <w:sz w:val="16"/>
              </w:rPr>
              <w:t>12%</w:t>
            </w:r>
          </w:p>
        </w:tc>
        <w:tc>
          <w:tcPr>
            <w:tcW w:type="dxa" w:w="2160"/>
            <w:shd w:val="clear" w:color="auto" w:fill="D9E1F2"/>
          </w:tcPr>
          <w:p>
            <w:pPr>
              <w:spacing w:after="0" w:line="240" w:lineRule="auto"/>
              <w:jc w:val="right"/>
            </w:pPr>
            <w:r>
              <w:rPr>
                <w:b w:val="0"/>
                <w:i w:val="0"/>
                <w:sz w:val="16"/>
              </w:rPr>
              <w:t>5%</w:t>
            </w:r>
          </w:p>
        </w:tc>
        <w:tc>
          <w:tcPr>
            <w:tcW w:type="dxa" w:w="2160"/>
            <w:shd w:val="clear" w:color="auto" w:fill="D9E1F2"/>
          </w:tcPr>
          <w:p>
            <w:pPr>
              <w:spacing w:after="0" w:line="240" w:lineRule="auto"/>
              <w:jc w:val="right"/>
            </w:pPr>
            <w:r>
              <w:rPr>
                <w:b w:val="0"/>
                <w:i w:val="0"/>
                <w:sz w:val="16"/>
              </w:rPr>
              <w:t>9%</w:t>
            </w:r>
          </w:p>
        </w:tc>
      </w:tr>
      <w:tr>
        <w:trPr>
          <w:cantSplit/>
        </w:trPr>
        <w:tc>
          <w:tcPr>
            <w:tcW w:type="dxa" w:w="1440"/>
          </w:tcPr>
          <w:p>
            <w:pPr>
              <w:spacing w:after="0" w:line="240" w:lineRule="auto"/>
            </w:pPr>
            <w:r>
              <w:rPr>
                <w:b w:val="0"/>
                <w:i w:val="0"/>
                <w:sz w:val="16"/>
              </w:rPr>
              <w:t>Q3-23</w:t>
            </w:r>
          </w:p>
        </w:tc>
        <w:tc>
          <w:tcPr>
            <w:tcW w:type="dxa" w:w="2016"/>
          </w:tcPr>
          <w:p>
            <w:pPr>
              <w:spacing w:after="0" w:line="240" w:lineRule="auto"/>
              <w:jc w:val="right"/>
            </w:pPr>
            <w:r>
              <w:rPr>
                <w:b w:val="0"/>
                <w:i w:val="0"/>
                <w:sz w:val="16"/>
              </w:rPr>
              <w:t>10%</w:t>
            </w:r>
          </w:p>
        </w:tc>
        <w:tc>
          <w:tcPr>
            <w:tcW w:type="dxa" w:w="2016"/>
          </w:tcPr>
          <w:p>
            <w:pPr>
              <w:spacing w:after="0" w:line="240" w:lineRule="auto"/>
              <w:jc w:val="right"/>
            </w:pPr>
            <w:r>
              <w:rPr>
                <w:b w:val="0"/>
                <w:i w:val="0"/>
                <w:sz w:val="16"/>
              </w:rPr>
              <w:t>13%</w:t>
            </w:r>
          </w:p>
        </w:tc>
        <w:tc>
          <w:tcPr>
            <w:tcW w:type="dxa" w:w="2160"/>
          </w:tcPr>
          <w:p>
            <w:pPr>
              <w:spacing w:after="0" w:line="240" w:lineRule="auto"/>
              <w:jc w:val="right"/>
            </w:pPr>
            <w:r>
              <w:rPr>
                <w:b w:val="0"/>
                <w:i w:val="0"/>
                <w:sz w:val="16"/>
              </w:rPr>
              <w:t>4%</w:t>
            </w:r>
          </w:p>
        </w:tc>
        <w:tc>
          <w:tcPr>
            <w:tcW w:type="dxa" w:w="2160"/>
          </w:tcPr>
          <w:p>
            <w:pPr>
              <w:spacing w:after="0" w:line="240" w:lineRule="auto"/>
              <w:jc w:val="right"/>
            </w:pPr>
            <w:r>
              <w:rPr>
                <w:b w:val="0"/>
                <w:i w:val="0"/>
                <w:sz w:val="16"/>
              </w:rPr>
              <w:t>9%</w:t>
            </w:r>
          </w:p>
        </w:tc>
      </w:tr>
      <w:tr>
        <w:trPr>
          <w:cantSplit/>
        </w:trPr>
        <w:tc>
          <w:tcPr>
            <w:tcW w:type="dxa" w:w="1440"/>
            <w:shd w:val="clear" w:color="auto" w:fill="D9E1F2"/>
          </w:tcPr>
          <w:p>
            <w:pPr>
              <w:spacing w:after="0" w:line="240" w:lineRule="auto"/>
            </w:pPr>
            <w:r>
              <w:rPr>
                <w:b w:val="0"/>
                <w:i w:val="0"/>
                <w:sz w:val="16"/>
              </w:rPr>
              <w:t>Q4-23</w:t>
            </w:r>
          </w:p>
        </w:tc>
        <w:tc>
          <w:tcPr>
            <w:tcW w:type="dxa" w:w="2016"/>
            <w:shd w:val="clear" w:color="auto" w:fill="D9E1F2"/>
          </w:tcPr>
          <w:p>
            <w:pPr>
              <w:spacing w:after="0" w:line="240" w:lineRule="auto"/>
              <w:jc w:val="right"/>
            </w:pPr>
            <w:r>
              <w:rPr>
                <w:b w:val="0"/>
                <w:i w:val="0"/>
                <w:sz w:val="16"/>
              </w:rPr>
              <w:t>9%</w:t>
            </w:r>
          </w:p>
        </w:tc>
        <w:tc>
          <w:tcPr>
            <w:tcW w:type="dxa" w:w="2016"/>
            <w:shd w:val="clear" w:color="auto" w:fill="D9E1F2"/>
          </w:tcPr>
          <w:p>
            <w:pPr>
              <w:spacing w:after="0" w:line="240" w:lineRule="auto"/>
              <w:jc w:val="right"/>
            </w:pPr>
            <w:r>
              <w:rPr>
                <w:b w:val="0"/>
                <w:i w:val="0"/>
                <w:sz w:val="16"/>
              </w:rPr>
              <w:t>double-digit (4th qtr)</w:t>
            </w:r>
          </w:p>
        </w:tc>
        <w:tc>
          <w:tcPr>
            <w:tcW w:type="dxa" w:w="2160"/>
            <w:shd w:val="clear" w:color="auto" w:fill="D9E1F2"/>
          </w:tcPr>
          <w:p>
            <w:pPr>
              <w:spacing w:after="0" w:line="240" w:lineRule="auto"/>
              <w:jc w:val="right"/>
            </w:pPr>
            <w:r>
              <w:rPr>
                <w:b w:val="0"/>
                <w:i w:val="0"/>
                <w:sz w:val="16"/>
              </w:rPr>
              <w:t>n/a</w:t>
            </w:r>
          </w:p>
        </w:tc>
        <w:tc>
          <w:tcPr>
            <w:tcW w:type="dxa" w:w="2160"/>
            <w:shd w:val="clear" w:color="auto" w:fill="D9E1F2"/>
          </w:tcPr>
          <w:p>
            <w:pPr>
              <w:spacing w:after="0" w:line="240" w:lineRule="auto"/>
              <w:jc w:val="right"/>
            </w:pPr>
            <w:r>
              <w:rPr>
                <w:b w:val="0"/>
                <w:i w:val="0"/>
                <w:sz w:val="16"/>
              </w:rPr>
              <w:t>n/a</w:t>
            </w:r>
          </w:p>
        </w:tc>
      </w:tr>
      <w:tr>
        <w:trPr>
          <w:cantSplit/>
        </w:trPr>
        <w:tc>
          <w:tcPr>
            <w:tcW w:type="dxa" w:w="1440"/>
          </w:tcPr>
          <w:p>
            <w:pPr>
              <w:spacing w:after="0" w:line="240" w:lineRule="auto"/>
            </w:pPr>
            <w:r>
              <w:rPr>
                <w:b w:val="0"/>
                <w:i w:val="0"/>
                <w:sz w:val="16"/>
              </w:rPr>
              <w:t>Q1-24</w:t>
            </w:r>
          </w:p>
        </w:tc>
        <w:tc>
          <w:tcPr>
            <w:tcW w:type="dxa" w:w="2016"/>
          </w:tcPr>
          <w:p>
            <w:pPr>
              <w:spacing w:after="0" w:line="240" w:lineRule="auto"/>
              <w:jc w:val="right"/>
            </w:pPr>
            <w:r>
              <w:rPr>
                <w:b w:val="0"/>
                <w:i w:val="0"/>
                <w:sz w:val="16"/>
              </w:rPr>
              <w:t>n/a</w:t>
            </w:r>
          </w:p>
        </w:tc>
        <w:tc>
          <w:tcPr>
            <w:tcW w:type="dxa" w:w="2016"/>
          </w:tcPr>
          <w:p>
            <w:pPr>
              <w:spacing w:after="0" w:line="240" w:lineRule="auto"/>
              <w:jc w:val="right"/>
            </w:pPr>
            <w:r>
              <w:rPr>
                <w:b w:val="0"/>
                <w:i w:val="0"/>
                <w:sz w:val="16"/>
              </w:rPr>
              <w:t>12%</w:t>
            </w:r>
          </w:p>
        </w:tc>
        <w:tc>
          <w:tcPr>
            <w:tcW w:type="dxa" w:w="2160"/>
          </w:tcPr>
          <w:p>
            <w:pPr>
              <w:spacing w:after="0" w:line="240" w:lineRule="auto"/>
              <w:jc w:val="right"/>
            </w:pPr>
            <w:r>
              <w:rPr>
                <w:b w:val="0"/>
                <w:i w:val="0"/>
                <w:sz w:val="16"/>
              </w:rPr>
              <w:t>(3%)</w:t>
            </w:r>
          </w:p>
        </w:tc>
        <w:tc>
          <w:tcPr>
            <w:tcW w:type="dxa" w:w="2160"/>
          </w:tcPr>
          <w:p>
            <w:pPr>
              <w:spacing w:after="0" w:line="240" w:lineRule="auto"/>
              <w:jc w:val="right"/>
            </w:pPr>
            <w:r>
              <w:rPr>
                <w:b w:val="0"/>
                <w:i w:val="0"/>
                <w:sz w:val="16"/>
              </w:rPr>
              <w:t>12%</w:t>
            </w:r>
          </w:p>
        </w:tc>
      </w:tr>
      <w:tr>
        <w:trPr>
          <w:cantSplit/>
        </w:trPr>
        <w:tc>
          <w:tcPr>
            <w:tcW w:type="dxa" w:w="1440"/>
            <w:shd w:val="clear" w:color="auto" w:fill="D9E1F2"/>
          </w:tcPr>
          <w:p>
            <w:pPr>
              <w:spacing w:after="0" w:line="240" w:lineRule="auto"/>
            </w:pPr>
            <w:r>
              <w:rPr>
                <w:b w:val="0"/>
                <w:i w:val="0"/>
                <w:sz w:val="16"/>
              </w:rPr>
              <w:t>Q2-24</w:t>
            </w:r>
          </w:p>
        </w:tc>
        <w:tc>
          <w:tcPr>
            <w:tcW w:type="dxa" w:w="2016"/>
            <w:shd w:val="clear" w:color="auto" w:fill="D9E1F2"/>
          </w:tcPr>
          <w:p>
            <w:pPr>
              <w:spacing w:after="0" w:line="240" w:lineRule="auto"/>
              <w:jc w:val="right"/>
            </w:pPr>
            <w:r>
              <w:rPr>
                <w:b w:val="0"/>
                <w:i w:val="0"/>
                <w:sz w:val="16"/>
              </w:rPr>
              <w:t>8% (9% ex-Aftersales)</w:t>
            </w:r>
          </w:p>
        </w:tc>
        <w:tc>
          <w:tcPr>
            <w:tcW w:type="dxa" w:w="2016"/>
            <w:shd w:val="clear" w:color="auto" w:fill="D9E1F2"/>
          </w:tcPr>
          <w:p>
            <w:pPr>
              <w:spacing w:after="0" w:line="240" w:lineRule="auto"/>
              <w:jc w:val="right"/>
            </w:pPr>
            <w:r>
              <w:rPr>
                <w:b w:val="0"/>
                <w:i w:val="0"/>
                <w:sz w:val="16"/>
              </w:rPr>
              <w:t>11%</w:t>
            </w:r>
          </w:p>
        </w:tc>
        <w:tc>
          <w:tcPr>
            <w:tcW w:type="dxa" w:w="2160"/>
            <w:shd w:val="clear" w:color="auto" w:fill="D9E1F2"/>
          </w:tcPr>
          <w:p>
            <w:pPr>
              <w:spacing w:after="0" w:line="240" w:lineRule="auto"/>
              <w:jc w:val="right"/>
            </w:pPr>
            <w:r>
              <w:rPr>
                <w:b w:val="0"/>
                <w:i w:val="0"/>
                <w:sz w:val="16"/>
              </w:rPr>
              <w:t>(1%)</w:t>
            </w:r>
          </w:p>
        </w:tc>
        <w:tc>
          <w:tcPr>
            <w:tcW w:type="dxa" w:w="2160"/>
            <w:shd w:val="clear" w:color="auto" w:fill="D9E1F2"/>
          </w:tcPr>
          <w:p>
            <w:pPr>
              <w:spacing w:after="0" w:line="240" w:lineRule="auto"/>
              <w:jc w:val="right"/>
            </w:pPr>
            <w:r>
              <w:rPr>
                <w:b w:val="0"/>
                <w:i w:val="0"/>
                <w:sz w:val="16"/>
              </w:rPr>
              <w:t>n/a</w:t>
            </w:r>
          </w:p>
        </w:tc>
      </w:tr>
      <w:tr>
        <w:trPr>
          <w:cantSplit/>
        </w:trPr>
        <w:tc>
          <w:tcPr>
            <w:tcW w:type="dxa" w:w="1440"/>
          </w:tcPr>
          <w:p>
            <w:pPr>
              <w:spacing w:after="0" w:line="240" w:lineRule="auto"/>
            </w:pPr>
            <w:r>
              <w:rPr>
                <w:b w:val="0"/>
                <w:i w:val="0"/>
                <w:sz w:val="16"/>
              </w:rPr>
              <w:t>Q3-24</w:t>
            </w:r>
          </w:p>
        </w:tc>
        <w:tc>
          <w:tcPr>
            <w:tcW w:type="dxa" w:w="2016"/>
          </w:tcPr>
          <w:p>
            <w:pPr>
              <w:spacing w:after="0" w:line="240" w:lineRule="auto"/>
              <w:jc w:val="right"/>
            </w:pPr>
            <w:r>
              <w:rPr>
                <w:b w:val="0"/>
                <w:i w:val="0"/>
                <w:sz w:val="16"/>
              </w:rPr>
              <w:t>9%</w:t>
            </w:r>
          </w:p>
        </w:tc>
        <w:tc>
          <w:tcPr>
            <w:tcW w:type="dxa" w:w="2016"/>
          </w:tcPr>
          <w:p>
            <w:pPr>
              <w:spacing w:after="0" w:line="240" w:lineRule="auto"/>
              <w:jc w:val="right"/>
            </w:pPr>
            <w:r>
              <w:rPr>
                <w:b w:val="0"/>
                <w:i w:val="0"/>
                <w:sz w:val="16"/>
              </w:rPr>
              <w:t>10%</w:t>
            </w:r>
          </w:p>
        </w:tc>
        <w:tc>
          <w:tcPr>
            <w:tcW w:type="dxa" w:w="2160"/>
          </w:tcPr>
          <w:p>
            <w:pPr>
              <w:spacing w:after="0" w:line="240" w:lineRule="auto"/>
              <w:jc w:val="right"/>
            </w:pPr>
            <w:r>
              <w:rPr>
                <w:b w:val="0"/>
                <w:i w:val="0"/>
                <w:sz w:val="16"/>
              </w:rPr>
              <w:t>2%</w:t>
            </w:r>
          </w:p>
        </w:tc>
        <w:tc>
          <w:tcPr>
            <w:tcW w:type="dxa" w:w="2160"/>
          </w:tcPr>
          <w:p>
            <w:pPr>
              <w:spacing w:after="0" w:line="240" w:lineRule="auto"/>
              <w:jc w:val="right"/>
            </w:pPr>
            <w:r>
              <w:rPr>
                <w:b w:val="0"/>
                <w:i w:val="0"/>
                <w:sz w:val="16"/>
              </w:rPr>
              <w:t>12%</w:t>
            </w:r>
          </w:p>
        </w:tc>
      </w:tr>
      <w:tr>
        <w:trPr>
          <w:cantSplit/>
        </w:trPr>
        <w:tc>
          <w:tcPr>
            <w:tcW w:type="dxa" w:w="1440"/>
            <w:shd w:val="clear" w:color="auto" w:fill="D9E1F2"/>
          </w:tcPr>
          <w:p>
            <w:pPr>
              <w:spacing w:after="0" w:line="240" w:lineRule="auto"/>
            </w:pPr>
            <w:r>
              <w:rPr>
                <w:b w:val="0"/>
                <w:i w:val="0"/>
                <w:sz w:val="16"/>
              </w:rPr>
              <w:t>Q4-24</w:t>
            </w:r>
          </w:p>
        </w:tc>
        <w:tc>
          <w:tcPr>
            <w:tcW w:type="dxa" w:w="2016"/>
            <w:shd w:val="clear" w:color="auto" w:fill="D9E1F2"/>
          </w:tcPr>
          <w:p>
            <w:pPr>
              <w:spacing w:after="0" w:line="240" w:lineRule="auto"/>
              <w:jc w:val="right"/>
            </w:pPr>
            <w:r>
              <w:rPr>
                <w:b w:val="0"/>
                <w:i w:val="0"/>
                <w:sz w:val="16"/>
              </w:rPr>
              <w:t>9%</w:t>
            </w:r>
          </w:p>
        </w:tc>
        <w:tc>
          <w:tcPr>
            <w:tcW w:type="dxa" w:w="2016"/>
            <w:shd w:val="clear" w:color="auto" w:fill="D9E1F2"/>
          </w:tcPr>
          <w:p>
            <w:pPr>
              <w:spacing w:after="0" w:line="240" w:lineRule="auto"/>
              <w:jc w:val="right"/>
            </w:pPr>
            <w:r>
              <w:rPr>
                <w:b w:val="0"/>
                <w:i w:val="0"/>
                <w:sz w:val="16"/>
              </w:rPr>
              <w:t>10%</w:t>
            </w:r>
          </w:p>
        </w:tc>
        <w:tc>
          <w:tcPr>
            <w:tcW w:type="dxa" w:w="2160"/>
            <w:shd w:val="clear" w:color="auto" w:fill="D9E1F2"/>
          </w:tcPr>
          <w:p>
            <w:pPr>
              <w:spacing w:after="0" w:line="240" w:lineRule="auto"/>
              <w:jc w:val="right"/>
            </w:pPr>
            <w:r>
              <w:rPr>
                <w:b w:val="0"/>
                <w:i w:val="0"/>
                <w:sz w:val="16"/>
              </w:rPr>
              <w:t>1%</w:t>
            </w:r>
          </w:p>
        </w:tc>
        <w:tc>
          <w:tcPr>
            <w:tcW w:type="dxa" w:w="2160"/>
            <w:shd w:val="clear" w:color="auto" w:fill="D9E1F2"/>
          </w:tcPr>
          <w:p>
            <w:pPr>
              <w:spacing w:after="0" w:line="240" w:lineRule="auto"/>
              <w:jc w:val="right"/>
            </w:pPr>
            <w:r>
              <w:rPr>
                <w:b w:val="0"/>
                <w:i w:val="0"/>
                <w:sz w:val="16"/>
              </w:rPr>
              <w:t>18%</w:t>
            </w:r>
          </w:p>
        </w:tc>
      </w:tr>
      <w:tr>
        <w:trPr>
          <w:cantSplit/>
        </w:trPr>
        <w:tc>
          <w:tcPr>
            <w:tcW w:type="dxa" w:w="1440"/>
          </w:tcPr>
          <w:p>
            <w:pPr>
              <w:spacing w:after="0" w:line="240" w:lineRule="auto"/>
            </w:pPr>
            <w:r>
              <w:rPr>
                <w:b w:val="0"/>
                <w:i w:val="0"/>
                <w:sz w:val="16"/>
              </w:rPr>
              <w:t>Q1-25</w:t>
            </w:r>
          </w:p>
        </w:tc>
        <w:tc>
          <w:tcPr>
            <w:tcW w:type="dxa" w:w="2016"/>
          </w:tcPr>
          <w:p>
            <w:pPr>
              <w:spacing w:after="0" w:line="240" w:lineRule="auto"/>
              <w:jc w:val="right"/>
            </w:pPr>
            <w:r>
              <w:rPr>
                <w:b w:val="0"/>
                <w:i w:val="0"/>
                <w:sz w:val="16"/>
              </w:rPr>
              <w:t>n/a</w:t>
            </w:r>
          </w:p>
        </w:tc>
        <w:tc>
          <w:tcPr>
            <w:tcW w:type="dxa" w:w="2016"/>
          </w:tcPr>
          <w:p>
            <w:pPr>
              <w:spacing w:after="0" w:line="240" w:lineRule="auto"/>
              <w:jc w:val="right"/>
            </w:pPr>
            <w:r>
              <w:rPr>
                <w:b w:val="0"/>
                <w:i w:val="0"/>
                <w:sz w:val="16"/>
              </w:rPr>
              <w:t>11%</w:t>
            </w:r>
          </w:p>
        </w:tc>
        <w:tc>
          <w:tcPr>
            <w:tcW w:type="dxa" w:w="2160"/>
          </w:tcPr>
          <w:p>
            <w:pPr>
              <w:spacing w:after="0" w:line="240" w:lineRule="auto"/>
              <w:jc w:val="right"/>
            </w:pPr>
            <w:r>
              <w:rPr>
                <w:b w:val="0"/>
                <w:i w:val="0"/>
                <w:sz w:val="16"/>
              </w:rPr>
              <w:t>1%</w:t>
            </w:r>
          </w:p>
        </w:tc>
        <w:tc>
          <w:tcPr>
            <w:tcW w:type="dxa" w:w="2160"/>
          </w:tcPr>
          <w:p>
            <w:pPr>
              <w:spacing w:after="0" w:line="240" w:lineRule="auto"/>
              <w:jc w:val="right"/>
            </w:pPr>
            <w:r>
              <w:rPr>
                <w:b w:val="0"/>
                <w:i w:val="0"/>
                <w:sz w:val="16"/>
              </w:rPr>
              <w:t>11%</w:t>
            </w:r>
          </w:p>
        </w:tc>
      </w:tr>
      <w:tr>
        <w:trPr>
          <w:cantSplit/>
        </w:trPr>
        <w:tc>
          <w:tcPr>
            <w:tcW w:type="dxa" w:w="1440"/>
            <w:shd w:val="clear" w:color="auto" w:fill="D9E1F2"/>
          </w:tcPr>
          <w:p>
            <w:pPr>
              <w:spacing w:after="0" w:line="240" w:lineRule="auto"/>
            </w:pPr>
            <w:r>
              <w:rPr>
                <w:b w:val="0"/>
                <w:i w:val="0"/>
                <w:sz w:val="16"/>
              </w:rPr>
              <w:t>Q2-25</w:t>
            </w:r>
          </w:p>
        </w:tc>
        <w:tc>
          <w:tcPr>
            <w:tcW w:type="dxa" w:w="2016"/>
            <w:shd w:val="clear" w:color="auto" w:fill="D9E1F2"/>
          </w:tcPr>
          <w:p>
            <w:pPr>
              <w:spacing w:after="0" w:line="240" w:lineRule="auto"/>
              <w:jc w:val="right"/>
            </w:pPr>
            <w:r>
              <w:rPr>
                <w:b w:val="0"/>
                <w:i w:val="0"/>
                <w:sz w:val="16"/>
              </w:rPr>
              <w:t>10%</w:t>
            </w:r>
          </w:p>
        </w:tc>
        <w:tc>
          <w:tcPr>
            <w:tcW w:type="dxa" w:w="2016"/>
            <w:shd w:val="clear" w:color="auto" w:fill="D9E1F2"/>
          </w:tcPr>
          <w:p>
            <w:pPr>
              <w:spacing w:after="0" w:line="240" w:lineRule="auto"/>
              <w:jc w:val="right"/>
            </w:pPr>
            <w:r>
              <w:rPr>
                <w:b w:val="0"/>
                <w:i w:val="0"/>
                <w:sz w:val="16"/>
              </w:rPr>
              <w:t>11%</w:t>
            </w:r>
          </w:p>
        </w:tc>
        <w:tc>
          <w:tcPr>
            <w:tcW w:type="dxa" w:w="2160"/>
            <w:shd w:val="clear" w:color="auto" w:fill="D9E1F2"/>
          </w:tcPr>
          <w:p>
            <w:pPr>
              <w:spacing w:after="0" w:line="240" w:lineRule="auto"/>
              <w:jc w:val="right"/>
            </w:pPr>
            <w:r>
              <w:rPr>
                <w:b w:val="0"/>
                <w:i w:val="0"/>
                <w:sz w:val="16"/>
              </w:rPr>
              <w:t>3%</w:t>
            </w:r>
          </w:p>
        </w:tc>
        <w:tc>
          <w:tcPr>
            <w:tcW w:type="dxa" w:w="2160"/>
            <w:shd w:val="clear" w:color="auto" w:fill="D9E1F2"/>
          </w:tcPr>
          <w:p>
            <w:pPr>
              <w:spacing w:after="0" w:line="240" w:lineRule="auto"/>
              <w:jc w:val="right"/>
            </w:pPr>
            <w:r>
              <w:rPr>
                <w:b w:val="0"/>
                <w:i w:val="0"/>
                <w:sz w:val="16"/>
              </w:rPr>
              <w:t>n/a</w:t>
            </w:r>
          </w:p>
        </w:tc>
      </w:tr>
      <w:tr>
        <w:trPr>
          <w:cantSplit/>
        </w:trPr>
        <w:tc>
          <w:tcPr>
            <w:tcW w:type="dxa" w:w="1440"/>
          </w:tcPr>
          <w:p>
            <w:pPr>
              <w:spacing w:after="0" w:line="240" w:lineRule="auto"/>
            </w:pPr>
            <w:r>
              <w:rPr>
                <w:b w:val="0"/>
                <w:i w:val="0"/>
                <w:sz w:val="16"/>
              </w:rPr>
              <w:t>Q3-25</w:t>
            </w:r>
          </w:p>
        </w:tc>
        <w:tc>
          <w:tcPr>
            <w:tcW w:type="dxa" w:w="2016"/>
          </w:tcPr>
          <w:p>
            <w:pPr>
              <w:spacing w:after="0" w:line="240" w:lineRule="auto"/>
              <w:jc w:val="right"/>
            </w:pPr>
            <w:r>
              <w:rPr>
                <w:b w:val="0"/>
                <w:i w:val="0"/>
                <w:sz w:val="16"/>
              </w:rPr>
              <w:t>8%</w:t>
            </w:r>
          </w:p>
        </w:tc>
        <w:tc>
          <w:tcPr>
            <w:tcW w:type="dxa" w:w="2016"/>
          </w:tcPr>
          <w:p>
            <w:pPr>
              <w:spacing w:after="0" w:line="240" w:lineRule="auto"/>
              <w:jc w:val="right"/>
            </w:pPr>
            <w:r>
              <w:rPr>
                <w:b w:val="0"/>
                <w:i w:val="0"/>
                <w:sz w:val="16"/>
              </w:rPr>
              <w:t>10%</w:t>
            </w:r>
          </w:p>
        </w:tc>
        <w:tc>
          <w:tcPr>
            <w:tcW w:type="dxa" w:w="2160"/>
          </w:tcPr>
          <w:p>
            <w:pPr>
              <w:spacing w:after="0" w:line="240" w:lineRule="auto"/>
              <w:jc w:val="right"/>
            </w:pPr>
            <w:r>
              <w:rPr>
                <w:b w:val="0"/>
                <w:i w:val="0"/>
                <w:sz w:val="16"/>
              </w:rPr>
              <w:t>(3%)</w:t>
            </w:r>
          </w:p>
        </w:tc>
        <w:tc>
          <w:tcPr>
            <w:tcW w:type="dxa" w:w="2160"/>
          </w:tcPr>
          <w:p>
            <w:pPr>
              <w:spacing w:after="0" w:line="240" w:lineRule="auto"/>
              <w:jc w:val="right"/>
            </w:pPr>
            <w:r>
              <w:rPr>
                <w:b w:val="0"/>
                <w:i w:val="0"/>
                <w:sz w:val="16"/>
              </w:rPr>
              <w:t>12%</w:t>
            </w:r>
          </w:p>
        </w:tc>
      </w:tr>
      <w:tr>
        <w:trPr>
          <w:cantSplit/>
        </w:trPr>
        <w:tc>
          <w:tcPr>
            <w:tcW w:type="dxa" w:w="1440"/>
            <w:shd w:val="clear" w:color="auto" w:fill="D9E1F2"/>
          </w:tcPr>
          <w:p>
            <w:pPr>
              <w:spacing w:after="0" w:line="240" w:lineRule="auto"/>
            </w:pPr>
            <w:r>
              <w:rPr>
                <w:b w:val="0"/>
                <w:i w:val="0"/>
                <w:sz w:val="16"/>
              </w:rPr>
              <w:t>Q4-25</w:t>
            </w:r>
          </w:p>
        </w:tc>
        <w:tc>
          <w:tcPr>
            <w:tcW w:type="dxa" w:w="2016"/>
            <w:shd w:val="clear" w:color="auto" w:fill="D9E1F2"/>
          </w:tcPr>
          <w:p>
            <w:pPr>
              <w:spacing w:after="0" w:line="240" w:lineRule="auto"/>
              <w:jc w:val="right"/>
            </w:pPr>
            <w:r>
              <w:rPr>
                <w:b w:val="0"/>
                <w:i w:val="0"/>
                <w:sz w:val="16"/>
              </w:rPr>
              <w:t>8%</w:t>
            </w:r>
          </w:p>
        </w:tc>
        <w:tc>
          <w:tcPr>
            <w:tcW w:type="dxa" w:w="2016"/>
            <w:shd w:val="clear" w:color="auto" w:fill="D9E1F2"/>
          </w:tcPr>
          <w:p>
            <w:pPr>
              <w:spacing w:after="0" w:line="240" w:lineRule="auto"/>
              <w:jc w:val="right"/>
            </w:pPr>
            <w:r>
              <w:rPr>
                <w:b w:val="0"/>
                <w:i w:val="0"/>
                <w:sz w:val="16"/>
              </w:rPr>
              <w:t>10%</w:t>
            </w:r>
          </w:p>
        </w:tc>
        <w:tc>
          <w:tcPr>
            <w:tcW w:type="dxa" w:w="2160"/>
            <w:shd w:val="clear" w:color="auto" w:fill="D9E1F2"/>
          </w:tcPr>
          <w:p>
            <w:pPr>
              <w:spacing w:after="0" w:line="240" w:lineRule="auto"/>
              <w:jc w:val="right"/>
            </w:pPr>
            <w:r>
              <w:rPr>
                <w:b w:val="0"/>
                <w:i w:val="0"/>
                <w:sz w:val="16"/>
              </w:rPr>
              <w:t>1%</w:t>
            </w:r>
          </w:p>
        </w:tc>
        <w:tc>
          <w:tcPr>
            <w:tcW w:type="dxa" w:w="2160"/>
            <w:shd w:val="clear" w:color="auto" w:fill="D9E1F2"/>
          </w:tcPr>
          <w:p>
            <w:pPr>
              <w:spacing w:after="0" w:line="240" w:lineRule="auto"/>
              <w:jc w:val="right"/>
            </w:pPr>
            <w:r>
              <w:rPr>
                <w:b w:val="0"/>
                <w:i w:val="0"/>
                <w:sz w:val="16"/>
              </w:rPr>
              <w:t>11%</w:t>
            </w:r>
          </w:p>
        </w:tc>
      </w:tr>
    </w:tbl>
    <w:p>
      <w:pPr>
        <w:spacing w:after="120"/>
      </w:pPr>
      <w:r>
        <w:rPr>
          <w:b w:val="0"/>
          <w:i/>
          <w:color w:val="595959"/>
          <w:sz w:val="15"/>
        </w:rPr>
        <w:t>Source: analysis/D9_demand_drivers.md §4. n/a = not stated in the retrieved passage.</w:t>
      </w:r>
    </w:p>
    <w:p>
      <w:r>
        <w:rPr>
          <w:b/>
          <w:color w:val="E36C09"/>
        </w:rPr>
        <w:t>[TO COLLECT #67: SPGI quarterly supplements to fill n/a cells in Exhibit 12.5 (Dealer / Manufacturing / Financials growth)]</w:t>
      </w:r>
      <w:r>
        <w:rPr>
          <w:b w:val="0"/>
          <w:i w:val="0"/>
        </w:rPr>
        <w:t xml:space="preserve">. Stress template (D9 §3, inference): hold subscription at low-single-digit growth with price concessions, cut transactional 20–40%, recover within 12 months. The 2008–09 test is impossible with current data: </w:t>
      </w:r>
      <w:r>
        <w:rPr>
          <w:b/>
          <w:color w:val="E36C09"/>
        </w:rPr>
        <w:t>[TO COLLECT #68: 2008–09 CARFAX/Polk revenue and pricing behaviour]</w:t>
      </w:r>
      <w:r>
        <w:rPr>
          <w:b w:val="0"/>
          <w:i w:val="0"/>
        </w:rPr>
        <w:t>.</w:t>
      </w:r>
    </w:p>
    <w:p>
      <w:pPr>
        <w:pStyle w:val="Heading1"/>
        <w:pageBreakBefore/>
      </w:pPr>
      <w:r>
        <w:t>13 Management &amp; incentives</w:t>
      </w:r>
    </w:p>
    <w:p>
      <w:r>
        <w:rPr>
          <w:b w:val="0"/>
          <w:i w:val="0"/>
        </w:rPr>
        <w:t xml:space="preserve">There is no DEF 14A yet; the first proxy is expected in 2027 </w:t>
      </w:r>
      <w:r>
        <w:rPr>
          <w:b/>
          <w:color w:val="2E548C"/>
          <w:sz w:val="16"/>
        </w:rPr>
        <w:t>[D]</w:t>
      </w:r>
      <w:r>
        <w:rPr>
          <w:b w:val="0"/>
          <w:i w:val="0"/>
        </w:rPr>
        <w:t>. Evidence comes from the Form 10/A CD&amp;A, the 10-Q exhibits and the transcripts (D5).</w:t>
      </w:r>
    </w:p>
    <w:p>
      <w:pPr>
        <w:keepNext/>
        <w:spacing w:before="80" w:after="40"/>
      </w:pPr>
      <w:r>
        <w:rPr>
          <w:b/>
          <w:i w:val="0"/>
          <w:color w:val="1F3864"/>
          <w:sz w:val="17"/>
        </w:rPr>
        <w:t>Exhibit 13.1 — Executive officers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015"/>
        <w:gridCol w:w="1872"/>
        <w:gridCol w:w="4031"/>
        <w:gridCol w:w="1872"/>
      </w:tblGrid>
      <w:tr>
        <w:trPr>
          <w:cantSplit/>
          <w:tblHeader/>
        </w:trPr>
        <w:tc>
          <w:tcPr>
            <w:tcW w:type="dxa" w:w="2016"/>
            <w:shd w:val="clear" w:color="auto" w:fill="1F3864"/>
          </w:tcPr>
          <w:p>
            <w:pPr>
              <w:spacing w:after="0" w:line="240" w:lineRule="auto"/>
            </w:pPr>
            <w:r>
              <w:rPr>
                <w:b/>
                <w:i w:val="0"/>
                <w:color w:val="FFFFFF"/>
                <w:sz w:val="15"/>
              </w:rPr>
              <w:t>Name</w:t>
            </w:r>
          </w:p>
        </w:tc>
        <w:tc>
          <w:tcPr>
            <w:tcW w:type="dxa" w:w="1872"/>
            <w:shd w:val="clear" w:color="auto" w:fill="1F3864"/>
          </w:tcPr>
          <w:p>
            <w:pPr>
              <w:spacing w:after="0" w:line="240" w:lineRule="auto"/>
            </w:pPr>
            <w:r>
              <w:rPr>
                <w:b/>
                <w:i w:val="0"/>
                <w:color w:val="FFFFFF"/>
                <w:sz w:val="15"/>
              </w:rPr>
              <w:t>MBGL role</w:t>
            </w:r>
          </w:p>
        </w:tc>
        <w:tc>
          <w:tcPr>
            <w:tcW w:type="dxa" w:w="4032"/>
            <w:shd w:val="clear" w:color="auto" w:fill="1F3864"/>
          </w:tcPr>
          <w:p>
            <w:pPr>
              <w:spacing w:after="0" w:line="240" w:lineRule="auto"/>
            </w:pPr>
            <w:r>
              <w:rPr>
                <w:b/>
                <w:i w:val="0"/>
                <w:color w:val="FFFFFF"/>
                <w:sz w:val="15"/>
              </w:rPr>
              <w:t>Prior S&amp;P Global / predecessor role</w:t>
            </w:r>
          </w:p>
        </w:tc>
        <w:tc>
          <w:tcPr>
            <w:tcW w:type="dxa" w:w="1872"/>
            <w:shd w:val="clear" w:color="auto" w:fill="1F3864"/>
          </w:tcPr>
          <w:p>
            <w:pPr>
              <w:spacing w:after="0" w:line="240" w:lineRule="auto"/>
            </w:pPr>
            <w:r>
              <w:rPr>
                <w:b/>
                <w:i w:val="0"/>
                <w:color w:val="FFFFFF"/>
                <w:sz w:val="15"/>
              </w:rPr>
              <w:t>Tenure (company / role)</w:t>
            </w:r>
          </w:p>
        </w:tc>
      </w:tr>
      <w:tr>
        <w:trPr>
          <w:cantSplit/>
        </w:trPr>
        <w:tc>
          <w:tcPr>
            <w:tcW w:type="dxa" w:w="2016"/>
          </w:tcPr>
          <w:p>
            <w:pPr>
              <w:spacing w:after="0" w:line="240" w:lineRule="auto"/>
            </w:pPr>
            <w:r>
              <w:rPr>
                <w:b w:val="0"/>
                <w:i w:val="0"/>
                <w:sz w:val="15"/>
              </w:rPr>
              <w:t>William W. Eager (55)</w:t>
            </w:r>
          </w:p>
        </w:tc>
        <w:tc>
          <w:tcPr>
            <w:tcW w:type="dxa" w:w="1872"/>
          </w:tcPr>
          <w:p>
            <w:pPr>
              <w:spacing w:after="0" w:line="240" w:lineRule="auto"/>
            </w:pPr>
            <w:r>
              <w:rPr>
                <w:b w:val="0"/>
                <w:i w:val="0"/>
                <w:sz w:val="15"/>
              </w:rPr>
              <w:t>CEO and Director</w:t>
            </w:r>
          </w:p>
        </w:tc>
        <w:tc>
          <w:tcPr>
            <w:tcW w:type="dxa" w:w="4032"/>
          </w:tcPr>
          <w:p>
            <w:pPr>
              <w:spacing w:after="0" w:line="240" w:lineRule="auto"/>
            </w:pPr>
            <w:r>
              <w:rPr>
                <w:b w:val="0"/>
                <w:i w:val="0"/>
                <w:sz w:val="15"/>
              </w:rPr>
              <w:t>President, S&amp;P Global Mobility since Aug-2025. CEO of CARFAX since 2021. VP of CARFAX Dealer Business for 17 years.</w:t>
            </w:r>
          </w:p>
        </w:tc>
        <w:tc>
          <w:tcPr>
            <w:tcW w:type="dxa" w:w="1872"/>
          </w:tcPr>
          <w:p>
            <w:pPr>
              <w:spacing w:after="0" w:line="240" w:lineRule="auto"/>
            </w:pPr>
            <w:r>
              <w:rPr>
                <w:b w:val="0"/>
                <w:i w:val="0"/>
                <w:sz w:val="15"/>
              </w:rPr>
              <w:t xml:space="preserve">More than 20 years at CARFAX </w:t>
            </w:r>
            <w:r>
              <w:rPr>
                <w:b/>
                <w:color w:val="2E548C"/>
                <w:sz w:val="12"/>
              </w:rPr>
              <w:t>[D]</w:t>
            </w:r>
            <w:r>
              <w:rPr>
                <w:b w:val="0"/>
                <w:i w:val="0"/>
                <w:sz w:val="15"/>
              </w:rPr>
              <w:t xml:space="preserve">. In the top role about 14 months at spin </w:t>
            </w:r>
            <w:r>
              <w:rPr>
                <w:b/>
                <w:color w:val="2E548C"/>
                <w:sz w:val="12"/>
              </w:rPr>
              <w:t>[C]</w:t>
            </w:r>
            <w:r>
              <w:rPr>
                <w:b w:val="0"/>
                <w:i w:val="0"/>
                <w:sz w:val="15"/>
              </w:rPr>
              <w:t>.</w:t>
            </w:r>
          </w:p>
        </w:tc>
      </w:tr>
      <w:tr>
        <w:trPr>
          <w:cantSplit/>
        </w:trPr>
        <w:tc>
          <w:tcPr>
            <w:tcW w:type="dxa" w:w="2016"/>
            <w:shd w:val="clear" w:color="auto" w:fill="D9E1F2"/>
          </w:tcPr>
          <w:p>
            <w:pPr>
              <w:spacing w:after="0" w:line="240" w:lineRule="auto"/>
            </w:pPr>
            <w:r>
              <w:rPr>
                <w:b w:val="0"/>
                <w:i w:val="0"/>
                <w:sz w:val="15"/>
              </w:rPr>
              <w:t>Matthew A. Calderone (53)</w:t>
            </w:r>
          </w:p>
        </w:tc>
        <w:tc>
          <w:tcPr>
            <w:tcW w:type="dxa" w:w="1872"/>
            <w:shd w:val="clear" w:color="auto" w:fill="D9E1F2"/>
          </w:tcPr>
          <w:p>
            <w:pPr>
              <w:spacing w:after="0" w:line="240" w:lineRule="auto"/>
            </w:pPr>
            <w:r>
              <w:rPr>
                <w:b w:val="0"/>
                <w:i w:val="0"/>
                <w:sz w:val="15"/>
              </w:rPr>
              <w:t>CFO</w:t>
            </w:r>
          </w:p>
        </w:tc>
        <w:tc>
          <w:tcPr>
            <w:tcW w:type="dxa" w:w="4032"/>
            <w:shd w:val="clear" w:color="auto" w:fill="D9E1F2"/>
          </w:tcPr>
          <w:p>
            <w:pPr>
              <w:spacing w:after="0" w:line="240" w:lineRule="auto"/>
            </w:pPr>
            <w:r>
              <w:rPr>
                <w:b w:val="0"/>
                <w:i w:val="0"/>
                <w:sz w:val="15"/>
              </w:rPr>
              <w:t>External hire. CFO of Booz Allen Oct-2022 to Jan-2025. Offer dated 2-Dec-2025, start by 1-Mar-2026.</w:t>
            </w:r>
          </w:p>
        </w:tc>
        <w:tc>
          <w:tcPr>
            <w:tcW w:type="dxa" w:w="1872"/>
            <w:shd w:val="clear" w:color="auto" w:fill="D9E1F2"/>
          </w:tcPr>
          <w:p>
            <w:pPr>
              <w:spacing w:after="0" w:line="240" w:lineRule="auto"/>
            </w:pPr>
            <w:r>
              <w:rPr>
                <w:b w:val="0"/>
                <w:i w:val="0"/>
                <w:sz w:val="15"/>
              </w:rPr>
              <w:t xml:space="preserve">Under 1 year </w:t>
            </w:r>
            <w:r>
              <w:rPr>
                <w:b/>
                <w:color w:val="2E548C"/>
                <w:sz w:val="12"/>
              </w:rPr>
              <w:t>[D/C]</w:t>
            </w:r>
          </w:p>
        </w:tc>
      </w:tr>
      <w:tr>
        <w:trPr>
          <w:cantSplit/>
        </w:trPr>
        <w:tc>
          <w:tcPr>
            <w:tcW w:type="dxa" w:w="2016"/>
          </w:tcPr>
          <w:p>
            <w:pPr>
              <w:spacing w:after="0" w:line="240" w:lineRule="auto"/>
            </w:pPr>
            <w:r>
              <w:rPr>
                <w:b w:val="0"/>
                <w:i w:val="0"/>
                <w:sz w:val="15"/>
              </w:rPr>
              <w:t>Scott Fredericks (58)</w:t>
            </w:r>
          </w:p>
        </w:tc>
        <w:tc>
          <w:tcPr>
            <w:tcW w:type="dxa" w:w="1872"/>
          </w:tcPr>
          <w:p>
            <w:pPr>
              <w:spacing w:after="0" w:line="240" w:lineRule="auto"/>
            </w:pPr>
            <w:r>
              <w:rPr>
                <w:b w:val="0"/>
                <w:i w:val="0"/>
                <w:sz w:val="15"/>
              </w:rPr>
              <w:t>President, CARFAX</w:t>
            </w:r>
          </w:p>
        </w:tc>
        <w:tc>
          <w:tcPr>
            <w:tcW w:type="dxa" w:w="4032"/>
          </w:tcPr>
          <w:p>
            <w:pPr>
              <w:spacing w:after="0" w:line="240" w:lineRule="auto"/>
            </w:pPr>
            <w:r>
              <w:rPr>
                <w:b w:val="0"/>
                <w:i w:val="0"/>
                <w:sz w:val="15"/>
              </w:rPr>
              <w:t>President, CARFAX at SPGI Mobility since Sep-2025. COO of CARFAX from Jun-2022. Joined CARFAX in 1997.</w:t>
            </w:r>
          </w:p>
        </w:tc>
        <w:tc>
          <w:tcPr>
            <w:tcW w:type="dxa" w:w="1872"/>
          </w:tcPr>
          <w:p>
            <w:pPr>
              <w:spacing w:after="0" w:line="240" w:lineRule="auto"/>
            </w:pPr>
            <w:r>
              <w:rPr>
                <w:b w:val="0"/>
                <w:i w:val="0"/>
                <w:sz w:val="15"/>
              </w:rPr>
              <w:t xml:space="preserve">About 29 years at CARFAX </w:t>
            </w:r>
            <w:r>
              <w:rPr>
                <w:b/>
                <w:color w:val="2E548C"/>
                <w:sz w:val="12"/>
              </w:rPr>
              <w:t>[C]</w:t>
            </w:r>
          </w:p>
        </w:tc>
      </w:tr>
      <w:tr>
        <w:trPr>
          <w:cantSplit/>
        </w:trPr>
        <w:tc>
          <w:tcPr>
            <w:tcW w:type="dxa" w:w="2016"/>
            <w:shd w:val="clear" w:color="auto" w:fill="D9E1F2"/>
          </w:tcPr>
          <w:p>
            <w:pPr>
              <w:spacing w:after="0" w:line="240" w:lineRule="auto"/>
            </w:pPr>
            <w:r>
              <w:rPr>
                <w:b w:val="0"/>
                <w:i w:val="0"/>
                <w:sz w:val="15"/>
              </w:rPr>
              <w:t>Joseph S. LaFeir (56)</w:t>
            </w:r>
          </w:p>
        </w:tc>
        <w:tc>
          <w:tcPr>
            <w:tcW w:type="dxa" w:w="1872"/>
            <w:shd w:val="clear" w:color="auto" w:fill="D9E1F2"/>
          </w:tcPr>
          <w:p>
            <w:pPr>
              <w:spacing w:after="0" w:line="240" w:lineRule="auto"/>
            </w:pPr>
            <w:r>
              <w:rPr>
                <w:b w:val="0"/>
                <w:i w:val="0"/>
                <w:sz w:val="15"/>
              </w:rPr>
              <w:t>President, Mobility Business Solutions (B2B)</w:t>
            </w:r>
          </w:p>
        </w:tc>
        <w:tc>
          <w:tcPr>
            <w:tcW w:type="dxa" w:w="4032"/>
            <w:shd w:val="clear" w:color="auto" w:fill="D9E1F2"/>
          </w:tcPr>
          <w:p>
            <w:pPr>
              <w:spacing w:after="0" w:line="240" w:lineRule="auto"/>
            </w:pPr>
            <w:r>
              <w:rPr>
                <w:b w:val="0"/>
                <w:i w:val="0"/>
                <w:sz w:val="15"/>
              </w:rPr>
              <w:t>Same role since Aug-2025. President, Automotive Insights 2016-25. CIO of R.L. Polk 2011-16.</w:t>
            </w:r>
          </w:p>
        </w:tc>
        <w:tc>
          <w:tcPr>
            <w:tcW w:type="dxa" w:w="1872"/>
            <w:shd w:val="clear" w:color="auto" w:fill="D9E1F2"/>
          </w:tcPr>
          <w:p>
            <w:pPr>
              <w:spacing w:after="0" w:line="240" w:lineRule="auto"/>
            </w:pPr>
            <w:r>
              <w:rPr>
                <w:b w:val="0"/>
                <w:i w:val="0"/>
                <w:sz w:val="15"/>
              </w:rPr>
              <w:t xml:space="preserve">About 15 years or more at Polk/IHS/SPGI </w:t>
            </w:r>
            <w:r>
              <w:rPr>
                <w:b/>
                <w:color w:val="2E548C"/>
                <w:sz w:val="12"/>
              </w:rPr>
              <w:t>[E]</w:t>
            </w:r>
          </w:p>
        </w:tc>
      </w:tr>
      <w:tr>
        <w:trPr>
          <w:cantSplit/>
        </w:trPr>
        <w:tc>
          <w:tcPr>
            <w:tcW w:type="dxa" w:w="2016"/>
          </w:tcPr>
          <w:p>
            <w:pPr>
              <w:spacing w:after="0" w:line="240" w:lineRule="auto"/>
            </w:pPr>
            <w:r>
              <w:rPr>
                <w:b w:val="0"/>
                <w:i w:val="0"/>
                <w:sz w:val="15"/>
              </w:rPr>
              <w:t>Tasha Matharu (42)</w:t>
            </w:r>
          </w:p>
        </w:tc>
        <w:tc>
          <w:tcPr>
            <w:tcW w:type="dxa" w:w="1872"/>
          </w:tcPr>
          <w:p>
            <w:pPr>
              <w:spacing w:after="0" w:line="240" w:lineRule="auto"/>
            </w:pPr>
            <w:r>
              <w:rPr>
                <w:b w:val="0"/>
                <w:i w:val="0"/>
                <w:sz w:val="15"/>
              </w:rPr>
              <w:t>Chief Legal Officer</w:t>
            </w:r>
          </w:p>
        </w:tc>
        <w:tc>
          <w:tcPr>
            <w:tcW w:type="dxa" w:w="4032"/>
          </w:tcPr>
          <w:p>
            <w:pPr>
              <w:spacing w:after="0" w:line="240" w:lineRule="auto"/>
            </w:pPr>
            <w:r>
              <w:rPr>
                <w:b w:val="0"/>
                <w:i w:val="0"/>
                <w:sz w:val="15"/>
              </w:rPr>
              <w:t>CLO of SPGI Mobility since Jan-2026. SPGI Deputy GC since Sep-2020 and Corporate Secretary since Nov-2017.</w:t>
            </w:r>
          </w:p>
        </w:tc>
        <w:tc>
          <w:tcPr>
            <w:tcW w:type="dxa" w:w="1872"/>
          </w:tcPr>
          <w:p>
            <w:pPr>
              <w:spacing w:after="0" w:line="240" w:lineRule="auto"/>
            </w:pPr>
            <w:r>
              <w:rPr>
                <w:b w:val="0"/>
                <w:i w:val="0"/>
                <w:sz w:val="15"/>
              </w:rPr>
              <w:t xml:space="preserve">Joined SPGI in 2016 </w:t>
            </w:r>
            <w:r>
              <w:rPr>
                <w:b/>
                <w:color w:val="2E548C"/>
                <w:sz w:val="12"/>
              </w:rPr>
              <w:t>[D]</w:t>
            </w:r>
          </w:p>
        </w:tc>
      </w:tr>
    </w:tbl>
    <w:p>
      <w:pPr>
        <w:spacing w:after="120"/>
      </w:pPr>
      <w:r>
        <w:rPr>
          <w:b w:val="0"/>
          <w:i/>
          <w:color w:val="595959"/>
          <w:sz w:val="15"/>
        </w:rPr>
        <w:t>Source: analysis/D5_incentives.md §1 (10/A p.386, 391).</w:t>
      </w:r>
    </w:p>
    <w:p>
      <w:pPr>
        <w:keepNext/>
        <w:spacing w:before="80" w:after="40"/>
      </w:pPr>
      <w:r>
        <w:rPr>
          <w:b/>
          <w:i w:val="0"/>
          <w:color w:val="1F3864"/>
          <w:sz w:val="17"/>
        </w:rPr>
        <w:t>Exhibit 13.2 — Board after the spin</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015"/>
        <w:gridCol w:w="1728"/>
        <w:gridCol w:w="4031"/>
        <w:gridCol w:w="2015"/>
      </w:tblGrid>
      <w:tr>
        <w:trPr>
          <w:cantSplit/>
          <w:tblHeader/>
        </w:trPr>
        <w:tc>
          <w:tcPr>
            <w:tcW w:type="dxa" w:w="2016"/>
            <w:shd w:val="clear" w:color="auto" w:fill="1F3864"/>
          </w:tcPr>
          <w:p>
            <w:pPr>
              <w:spacing w:after="0" w:line="240" w:lineRule="auto"/>
            </w:pPr>
            <w:r>
              <w:rPr>
                <w:b/>
                <w:i w:val="0"/>
                <w:color w:val="FFFFFF"/>
                <w:sz w:val="15"/>
              </w:rPr>
              <w:t>Director</w:t>
            </w:r>
          </w:p>
        </w:tc>
        <w:tc>
          <w:tcPr>
            <w:tcW w:type="dxa" w:w="1728"/>
            <w:shd w:val="clear" w:color="auto" w:fill="1F3864"/>
          </w:tcPr>
          <w:p>
            <w:pPr>
              <w:spacing w:after="0" w:line="240" w:lineRule="auto"/>
            </w:pPr>
            <w:r>
              <w:rPr>
                <w:b/>
                <w:i w:val="0"/>
                <w:color w:val="FFFFFF"/>
                <w:sz w:val="15"/>
              </w:rPr>
              <w:t>Role</w:t>
            </w:r>
          </w:p>
        </w:tc>
        <w:tc>
          <w:tcPr>
            <w:tcW w:type="dxa" w:w="4032"/>
            <w:shd w:val="clear" w:color="auto" w:fill="1F3864"/>
          </w:tcPr>
          <w:p>
            <w:pPr>
              <w:spacing w:after="0" w:line="240" w:lineRule="auto"/>
            </w:pPr>
            <w:r>
              <w:rPr>
                <w:b/>
                <w:i w:val="0"/>
                <w:color w:val="FFFFFF"/>
                <w:sz w:val="15"/>
              </w:rPr>
              <w:t>Background / S&amp;P link</w:t>
            </w:r>
          </w:p>
        </w:tc>
        <w:tc>
          <w:tcPr>
            <w:tcW w:type="dxa" w:w="2016"/>
            <w:shd w:val="clear" w:color="auto" w:fill="1F3864"/>
          </w:tcPr>
          <w:p>
            <w:pPr>
              <w:spacing w:after="0" w:line="240" w:lineRule="auto"/>
            </w:pPr>
            <w:r>
              <w:rPr>
                <w:b/>
                <w:i w:val="0"/>
                <w:color w:val="FFFFFF"/>
                <w:sz w:val="15"/>
              </w:rPr>
              <w:t>Committee</w:t>
            </w:r>
          </w:p>
        </w:tc>
      </w:tr>
      <w:tr>
        <w:trPr>
          <w:cantSplit/>
        </w:trPr>
        <w:tc>
          <w:tcPr>
            <w:tcW w:type="dxa" w:w="2016"/>
          </w:tcPr>
          <w:p>
            <w:pPr>
              <w:spacing w:after="0" w:line="240" w:lineRule="auto"/>
            </w:pPr>
            <w:r>
              <w:rPr>
                <w:b w:val="0"/>
                <w:i w:val="0"/>
                <w:sz w:val="15"/>
              </w:rPr>
              <w:t>Joseph R. Hinrichs</w:t>
            </w:r>
          </w:p>
        </w:tc>
        <w:tc>
          <w:tcPr>
            <w:tcW w:type="dxa" w:w="1728"/>
          </w:tcPr>
          <w:p>
            <w:pPr>
              <w:spacing w:after="0" w:line="240" w:lineRule="auto"/>
            </w:pPr>
            <w:r>
              <w:rPr>
                <w:b w:val="0"/>
                <w:i w:val="0"/>
                <w:sz w:val="15"/>
              </w:rPr>
              <w:t>Independent Chair</w:t>
            </w:r>
          </w:p>
        </w:tc>
        <w:tc>
          <w:tcPr>
            <w:tcW w:type="dxa" w:w="4032"/>
          </w:tcPr>
          <w:p>
            <w:pPr>
              <w:spacing w:after="0" w:line="240" w:lineRule="auto"/>
            </w:pPr>
            <w:r>
              <w:rPr>
                <w:b w:val="0"/>
                <w:i w:val="0"/>
                <w:sz w:val="15"/>
              </w:rPr>
              <w:t>Ex-CEO of CSX (2022-25). Ex-President of Ford global auto.</w:t>
            </w:r>
          </w:p>
        </w:tc>
        <w:tc>
          <w:tcPr>
            <w:tcW w:type="dxa" w:w="2016"/>
          </w:tcPr>
          <w:p>
            <w:pPr>
              <w:spacing w:after="0" w:line="240" w:lineRule="auto"/>
            </w:pPr>
            <w:r>
              <w:rPr>
                <w:b w:val="0"/>
                <w:i w:val="0"/>
                <w:sz w:val="15"/>
              </w:rPr>
              <w:t>Audit; Nominating &amp; Compensation (N&amp;C)</w:t>
            </w:r>
          </w:p>
        </w:tc>
      </w:tr>
      <w:tr>
        <w:trPr>
          <w:cantSplit/>
        </w:trPr>
        <w:tc>
          <w:tcPr>
            <w:tcW w:type="dxa" w:w="2016"/>
            <w:shd w:val="clear" w:color="auto" w:fill="D9E1F2"/>
          </w:tcPr>
          <w:p>
            <w:pPr>
              <w:spacing w:after="0" w:line="240" w:lineRule="auto"/>
            </w:pPr>
            <w:r>
              <w:rPr>
                <w:b w:val="0"/>
                <w:i w:val="0"/>
                <w:sz w:val="15"/>
              </w:rPr>
              <w:t>Eric W. Aboaf</w:t>
            </w:r>
          </w:p>
        </w:tc>
        <w:tc>
          <w:tcPr>
            <w:tcW w:type="dxa" w:w="1728"/>
            <w:shd w:val="clear" w:color="auto" w:fill="D9E1F2"/>
          </w:tcPr>
          <w:p>
            <w:pPr>
              <w:spacing w:after="0" w:line="240" w:lineRule="auto"/>
            </w:pPr>
            <w:r>
              <w:rPr>
                <w:b w:val="0"/>
                <w:i w:val="0"/>
                <w:sz w:val="15"/>
              </w:rPr>
              <w:t>Director</w:t>
            </w:r>
          </w:p>
        </w:tc>
        <w:tc>
          <w:tcPr>
            <w:tcW w:type="dxa" w:w="4032"/>
            <w:shd w:val="clear" w:color="auto" w:fill="D9E1F2"/>
          </w:tcPr>
          <w:p>
            <w:pPr>
              <w:spacing w:after="0" w:line="240" w:lineRule="auto"/>
            </w:pPr>
            <w:r>
              <w:rPr>
                <w:b/>
                <w:i w:val="0"/>
                <w:sz w:val="15"/>
              </w:rPr>
              <w:t>Sitting SPGI CFO</w:t>
            </w:r>
            <w:r>
              <w:rPr>
                <w:b w:val="0"/>
                <w:i w:val="0"/>
                <w:sz w:val="15"/>
              </w:rPr>
              <w:t xml:space="preserve"> since Feb-2025</w:t>
            </w:r>
          </w:p>
        </w:tc>
        <w:tc>
          <w:tcPr>
            <w:tcW w:type="dxa" w:w="2016"/>
            <w:shd w:val="clear" w:color="auto" w:fill="D9E1F2"/>
          </w:tcPr>
          <w:p>
            <w:pPr>
              <w:spacing w:after="0" w:line="240" w:lineRule="auto"/>
            </w:pPr>
            <w:r>
              <w:rPr>
                <w:b w:val="0"/>
                <w:i w:val="0"/>
                <w:sz w:val="15"/>
              </w:rPr>
              <w:t>(none listed)</w:t>
            </w:r>
          </w:p>
        </w:tc>
      </w:tr>
      <w:tr>
        <w:trPr>
          <w:cantSplit/>
        </w:trPr>
        <w:tc>
          <w:tcPr>
            <w:tcW w:type="dxa" w:w="2016"/>
          </w:tcPr>
          <w:p>
            <w:pPr>
              <w:spacing w:after="0" w:line="240" w:lineRule="auto"/>
            </w:pPr>
            <w:r>
              <w:rPr>
                <w:b w:val="0"/>
                <w:i w:val="0"/>
                <w:sz w:val="15"/>
              </w:rPr>
              <w:t>William W. Eager</w:t>
            </w:r>
          </w:p>
        </w:tc>
        <w:tc>
          <w:tcPr>
            <w:tcW w:type="dxa" w:w="1728"/>
          </w:tcPr>
          <w:p>
            <w:pPr>
              <w:spacing w:after="0" w:line="240" w:lineRule="auto"/>
            </w:pPr>
            <w:r>
              <w:rPr>
                <w:b w:val="0"/>
                <w:i w:val="0"/>
                <w:sz w:val="15"/>
              </w:rPr>
              <w:t>CEO-Director</w:t>
            </w:r>
          </w:p>
        </w:tc>
        <w:tc>
          <w:tcPr>
            <w:tcW w:type="dxa" w:w="4032"/>
          </w:tcPr>
          <w:p>
            <w:pPr>
              <w:spacing w:after="0" w:line="240" w:lineRule="auto"/>
            </w:pPr>
            <w:r>
              <w:rPr>
                <w:b w:val="0"/>
                <w:i w:val="0"/>
                <w:sz w:val="15"/>
              </w:rPr>
              <w:t>(see above)</w:t>
            </w:r>
          </w:p>
        </w:tc>
        <w:tc>
          <w:tcPr>
            <w:tcW w:type="dxa" w:w="2016"/>
          </w:tcPr>
          <w:p>
            <w:pPr>
              <w:spacing w:after="0" w:line="240" w:lineRule="auto"/>
            </w:pPr>
            <w:r>
              <w:rPr>
                <w:b w:val="0"/>
                <w:i w:val="0"/>
                <w:sz w:val="15"/>
              </w:rPr>
              <w:t>(none)</w:t>
            </w:r>
          </w:p>
        </w:tc>
      </w:tr>
      <w:tr>
        <w:trPr>
          <w:cantSplit/>
        </w:trPr>
        <w:tc>
          <w:tcPr>
            <w:tcW w:type="dxa" w:w="2016"/>
            <w:shd w:val="clear" w:color="auto" w:fill="D9E1F2"/>
          </w:tcPr>
          <w:p>
            <w:pPr>
              <w:spacing w:after="0" w:line="240" w:lineRule="auto"/>
            </w:pPr>
            <w:r>
              <w:rPr>
                <w:b w:val="0"/>
                <w:i w:val="0"/>
                <w:sz w:val="15"/>
              </w:rPr>
              <w:t>Heather Lavallee</w:t>
            </w:r>
          </w:p>
        </w:tc>
        <w:tc>
          <w:tcPr>
            <w:tcW w:type="dxa" w:w="1728"/>
            <w:shd w:val="clear" w:color="auto" w:fill="D9E1F2"/>
          </w:tcPr>
          <w:p>
            <w:pPr>
              <w:spacing w:after="0" w:line="240" w:lineRule="auto"/>
            </w:pPr>
            <w:r>
              <w:rPr>
                <w:b w:val="0"/>
                <w:i w:val="0"/>
                <w:sz w:val="15"/>
              </w:rPr>
              <w:t>Director</w:t>
            </w:r>
          </w:p>
        </w:tc>
        <w:tc>
          <w:tcPr>
            <w:tcW w:type="dxa" w:w="4032"/>
            <w:shd w:val="clear" w:color="auto" w:fill="D9E1F2"/>
          </w:tcPr>
          <w:p>
            <w:pPr>
              <w:spacing w:after="0" w:line="240" w:lineRule="auto"/>
            </w:pPr>
            <w:r>
              <w:rPr>
                <w:b w:val="0"/>
                <w:i w:val="0"/>
                <w:sz w:val="15"/>
              </w:rPr>
              <w:t>CEO of Voya Financial</w:t>
            </w:r>
          </w:p>
        </w:tc>
        <w:tc>
          <w:tcPr>
            <w:tcW w:type="dxa" w:w="2016"/>
            <w:shd w:val="clear" w:color="auto" w:fill="D9E1F2"/>
          </w:tcPr>
          <w:p>
            <w:pPr>
              <w:spacing w:after="0" w:line="240" w:lineRule="auto"/>
            </w:pPr>
            <w:r>
              <w:rPr>
                <w:b w:val="0"/>
                <w:i w:val="0"/>
                <w:sz w:val="15"/>
              </w:rPr>
              <w:t>N&amp;C</w:t>
            </w:r>
          </w:p>
        </w:tc>
      </w:tr>
      <w:tr>
        <w:trPr>
          <w:cantSplit/>
        </w:trPr>
        <w:tc>
          <w:tcPr>
            <w:tcW w:type="dxa" w:w="2016"/>
          </w:tcPr>
          <w:p>
            <w:pPr>
              <w:spacing w:after="0" w:line="240" w:lineRule="auto"/>
            </w:pPr>
            <w:r>
              <w:rPr>
                <w:b w:val="0"/>
                <w:i w:val="0"/>
                <w:sz w:val="15"/>
              </w:rPr>
              <w:t>Monique F. Leroux</w:t>
            </w:r>
          </w:p>
        </w:tc>
        <w:tc>
          <w:tcPr>
            <w:tcW w:type="dxa" w:w="1728"/>
          </w:tcPr>
          <w:p>
            <w:pPr>
              <w:spacing w:after="0" w:line="240" w:lineRule="auto"/>
            </w:pPr>
            <w:r>
              <w:rPr>
                <w:b w:val="0"/>
                <w:i w:val="0"/>
                <w:sz w:val="15"/>
              </w:rPr>
              <w:t>Director</w:t>
            </w:r>
          </w:p>
        </w:tc>
        <w:tc>
          <w:tcPr>
            <w:tcW w:type="dxa" w:w="4032"/>
          </w:tcPr>
          <w:p>
            <w:pPr>
              <w:spacing w:after="0" w:line="240" w:lineRule="auto"/>
            </w:pPr>
            <w:r>
              <w:rPr>
                <w:b/>
                <w:i w:val="0"/>
                <w:sz w:val="15"/>
              </w:rPr>
              <w:t>Ex-SPGI director 2016-22</w:t>
            </w:r>
            <w:r>
              <w:rPr>
                <w:b w:val="0"/>
                <w:i w:val="0"/>
                <w:sz w:val="15"/>
              </w:rPr>
              <w:t>. Ex-CEO of Desjardins.</w:t>
            </w:r>
          </w:p>
        </w:tc>
        <w:tc>
          <w:tcPr>
            <w:tcW w:type="dxa" w:w="2016"/>
          </w:tcPr>
          <w:p>
            <w:pPr>
              <w:spacing w:after="0" w:line="240" w:lineRule="auto"/>
            </w:pPr>
            <w:r>
              <w:rPr>
                <w:b/>
                <w:i w:val="0"/>
                <w:sz w:val="15"/>
              </w:rPr>
              <w:t>N&amp;C Chair</w:t>
            </w:r>
          </w:p>
        </w:tc>
      </w:tr>
      <w:tr>
        <w:trPr>
          <w:cantSplit/>
        </w:trPr>
        <w:tc>
          <w:tcPr>
            <w:tcW w:type="dxa" w:w="2016"/>
            <w:shd w:val="clear" w:color="auto" w:fill="D9E1F2"/>
          </w:tcPr>
          <w:p>
            <w:pPr>
              <w:spacing w:after="0" w:line="240" w:lineRule="auto"/>
            </w:pPr>
            <w:r>
              <w:rPr>
                <w:b w:val="0"/>
                <w:i w:val="0"/>
                <w:sz w:val="15"/>
              </w:rPr>
              <w:t>Mark S. Peek</w:t>
            </w:r>
          </w:p>
        </w:tc>
        <w:tc>
          <w:tcPr>
            <w:tcW w:type="dxa" w:w="1728"/>
            <w:shd w:val="clear" w:color="auto" w:fill="D9E1F2"/>
          </w:tcPr>
          <w:p>
            <w:pPr>
              <w:spacing w:after="0" w:line="240" w:lineRule="auto"/>
            </w:pPr>
            <w:r>
              <w:rPr>
                <w:b w:val="0"/>
                <w:i w:val="0"/>
                <w:sz w:val="15"/>
              </w:rPr>
              <w:t>Director</w:t>
            </w:r>
          </w:p>
        </w:tc>
        <w:tc>
          <w:tcPr>
            <w:tcW w:type="dxa" w:w="4032"/>
            <w:shd w:val="clear" w:color="auto" w:fill="D9E1F2"/>
          </w:tcPr>
          <w:p>
            <w:pPr>
              <w:spacing w:after="0" w:line="240" w:lineRule="auto"/>
            </w:pPr>
            <w:r>
              <w:rPr>
                <w:b w:val="0"/>
                <w:i w:val="0"/>
                <w:sz w:val="15"/>
              </w:rPr>
              <w:t>Ex-CFO of Workday and VMware</w:t>
            </w:r>
          </w:p>
        </w:tc>
        <w:tc>
          <w:tcPr>
            <w:tcW w:type="dxa" w:w="2016"/>
            <w:shd w:val="clear" w:color="auto" w:fill="D9E1F2"/>
          </w:tcPr>
          <w:p>
            <w:pPr>
              <w:spacing w:after="0" w:line="240" w:lineRule="auto"/>
            </w:pPr>
            <w:r>
              <w:rPr>
                <w:b w:val="0"/>
                <w:i w:val="0"/>
                <w:sz w:val="15"/>
              </w:rPr>
              <w:t>Audit Chair</w:t>
            </w:r>
          </w:p>
        </w:tc>
      </w:tr>
      <w:tr>
        <w:trPr>
          <w:cantSplit/>
        </w:trPr>
        <w:tc>
          <w:tcPr>
            <w:tcW w:type="dxa" w:w="2016"/>
          </w:tcPr>
          <w:p>
            <w:pPr>
              <w:spacing w:after="0" w:line="240" w:lineRule="auto"/>
            </w:pPr>
            <w:r>
              <w:rPr>
                <w:b w:val="0"/>
                <w:i w:val="0"/>
                <w:sz w:val="15"/>
              </w:rPr>
              <w:t>Shilpa Ranganathan</w:t>
            </w:r>
          </w:p>
        </w:tc>
        <w:tc>
          <w:tcPr>
            <w:tcW w:type="dxa" w:w="1728"/>
          </w:tcPr>
          <w:p>
            <w:pPr>
              <w:spacing w:after="0" w:line="240" w:lineRule="auto"/>
            </w:pPr>
            <w:r>
              <w:rPr>
                <w:b w:val="0"/>
                <w:i w:val="0"/>
                <w:sz w:val="15"/>
              </w:rPr>
              <w:t>Director</w:t>
            </w:r>
          </w:p>
        </w:tc>
        <w:tc>
          <w:tcPr>
            <w:tcW w:type="dxa" w:w="4032"/>
          </w:tcPr>
          <w:p>
            <w:pPr>
              <w:spacing w:after="0" w:line="240" w:lineRule="auto"/>
            </w:pPr>
            <w:r>
              <w:rPr>
                <w:b w:val="0"/>
                <w:i w:val="0"/>
                <w:sz w:val="15"/>
              </w:rPr>
              <w:t>CPO of Expedia</w:t>
            </w:r>
          </w:p>
        </w:tc>
        <w:tc>
          <w:tcPr>
            <w:tcW w:type="dxa" w:w="2016"/>
          </w:tcPr>
          <w:p>
            <w:pPr>
              <w:spacing w:after="0" w:line="240" w:lineRule="auto"/>
            </w:pPr>
            <w:r>
              <w:rPr>
                <w:b w:val="0"/>
                <w:i w:val="0"/>
                <w:sz w:val="15"/>
              </w:rPr>
              <w:t>Audit</w:t>
            </w:r>
          </w:p>
        </w:tc>
      </w:tr>
      <w:tr>
        <w:trPr>
          <w:cantSplit/>
        </w:trPr>
        <w:tc>
          <w:tcPr>
            <w:tcW w:type="dxa" w:w="2016"/>
            <w:shd w:val="clear" w:color="auto" w:fill="D9E1F2"/>
          </w:tcPr>
          <w:p>
            <w:pPr>
              <w:spacing w:after="0" w:line="240" w:lineRule="auto"/>
            </w:pPr>
            <w:r>
              <w:rPr>
                <w:b w:val="0"/>
                <w:i w:val="0"/>
                <w:sz w:val="15"/>
              </w:rPr>
              <w:t>Alexander Taussig</w:t>
            </w:r>
          </w:p>
        </w:tc>
        <w:tc>
          <w:tcPr>
            <w:tcW w:type="dxa" w:w="1728"/>
            <w:shd w:val="clear" w:color="auto" w:fill="D9E1F2"/>
          </w:tcPr>
          <w:p>
            <w:pPr>
              <w:spacing w:after="0" w:line="240" w:lineRule="auto"/>
            </w:pPr>
            <w:r>
              <w:rPr>
                <w:b w:val="0"/>
                <w:i w:val="0"/>
                <w:sz w:val="15"/>
              </w:rPr>
              <w:t>Director</w:t>
            </w:r>
          </w:p>
        </w:tc>
        <w:tc>
          <w:tcPr>
            <w:tcW w:type="dxa" w:w="4032"/>
            <w:shd w:val="clear" w:color="auto" w:fill="D9E1F2"/>
          </w:tcPr>
          <w:p>
            <w:pPr>
              <w:spacing w:after="0" w:line="240" w:lineRule="auto"/>
            </w:pPr>
            <w:r>
              <w:rPr>
                <w:b w:val="0"/>
                <w:i w:val="0"/>
                <w:sz w:val="15"/>
              </w:rPr>
              <w:t>Lightspeed Venture Partners</w:t>
            </w:r>
          </w:p>
        </w:tc>
        <w:tc>
          <w:tcPr>
            <w:tcW w:type="dxa" w:w="2016"/>
            <w:shd w:val="clear" w:color="auto" w:fill="D9E1F2"/>
          </w:tcPr>
          <w:p>
            <w:pPr>
              <w:spacing w:after="0" w:line="240" w:lineRule="auto"/>
            </w:pPr>
            <w:r>
              <w:rPr>
                <w:b w:val="0"/>
                <w:i w:val="0"/>
                <w:sz w:val="15"/>
              </w:rPr>
              <w:t>Audit</w:t>
            </w:r>
          </w:p>
        </w:tc>
      </w:tr>
    </w:tbl>
    <w:p>
      <w:pPr>
        <w:spacing w:after="120"/>
      </w:pPr>
      <w:r>
        <w:rPr>
          <w:b w:val="0"/>
          <w:i/>
          <w:color w:val="595959"/>
          <w:sz w:val="15"/>
        </w:rPr>
        <w:t xml:space="preserve">Source: D5 §1 (10/A pp.387–390). 8 members, annually elected, independent chair; compensation and nominating combined in one committee. Director pay: $80k cash + $220k annual RSU; one-time $400k separation RSU (3-year cliff) </w:t>
      </w:r>
      <w:r>
        <w:rPr>
          <w:b/>
          <w:color w:val="2E548C"/>
          <w:sz w:val="12"/>
        </w:rPr>
        <w:t>[D]</w:t>
      </w:r>
      <w:r>
        <w:rPr>
          <w:b w:val="0"/>
          <w:i/>
          <w:color w:val="595959"/>
          <w:sz w:val="15"/>
        </w:rPr>
        <w:t>.</w:t>
      </w:r>
    </w:p>
    <w:p>
      <w:pPr>
        <w:keepNext/>
        <w:spacing w:before="80" w:after="40"/>
      </w:pPr>
      <w:r>
        <w:rPr>
          <w:b/>
          <w:i w:val="0"/>
          <w:color w:val="1F3864"/>
          <w:sz w:val="17"/>
        </w:rPr>
        <w:t xml:space="preserve">Exhibit 13.3 — FY2025 Summary Compensation Table (paid by S&amp;P Global) </w:t>
      </w:r>
      <w:r>
        <w:rPr>
          <w:b/>
          <w:color w:val="2E548C"/>
          <w:sz w:val="14"/>
        </w:rPr>
        <w:t>[D]</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295"/>
        <w:gridCol w:w="719"/>
        <w:gridCol w:w="1439"/>
        <w:gridCol w:w="1871"/>
        <w:gridCol w:w="1583"/>
        <w:gridCol w:w="1295"/>
        <w:gridCol w:w="1583"/>
      </w:tblGrid>
      <w:tr>
        <w:trPr>
          <w:cantSplit/>
          <w:tblHeader/>
        </w:trPr>
        <w:tc>
          <w:tcPr>
            <w:tcW w:type="dxa" w:w="1296"/>
            <w:shd w:val="clear" w:color="auto" w:fill="1F3864"/>
          </w:tcPr>
          <w:p>
            <w:pPr>
              <w:spacing w:after="0" w:line="240" w:lineRule="auto"/>
            </w:pPr>
            <w:r>
              <w:rPr>
                <w:b/>
                <w:i w:val="0"/>
                <w:color w:val="FFFFFF"/>
                <w:sz w:val="15"/>
              </w:rPr>
              <w:t>NEO</w:t>
            </w:r>
          </w:p>
        </w:tc>
        <w:tc>
          <w:tcPr>
            <w:tcW w:type="dxa" w:w="720"/>
            <w:shd w:val="clear" w:color="auto" w:fill="1F3864"/>
          </w:tcPr>
          <w:p>
            <w:pPr>
              <w:spacing w:after="0" w:line="240" w:lineRule="auto"/>
            </w:pPr>
            <w:r>
              <w:rPr>
                <w:b/>
                <w:i w:val="0"/>
                <w:color w:val="FFFFFF"/>
                <w:sz w:val="15"/>
              </w:rPr>
              <w:t>Year</w:t>
            </w:r>
          </w:p>
        </w:tc>
        <w:tc>
          <w:tcPr>
            <w:tcW w:type="dxa" w:w="1440"/>
            <w:shd w:val="clear" w:color="auto" w:fill="1F3864"/>
          </w:tcPr>
          <w:p>
            <w:pPr>
              <w:spacing w:after="0" w:line="240" w:lineRule="auto"/>
              <w:jc w:val="right"/>
            </w:pPr>
            <w:r>
              <w:rPr>
                <w:b/>
                <w:i w:val="0"/>
                <w:color w:val="FFFFFF"/>
                <w:sz w:val="15"/>
              </w:rPr>
              <w:t>Salary</w:t>
            </w:r>
          </w:p>
        </w:tc>
        <w:tc>
          <w:tcPr>
            <w:tcW w:type="dxa" w:w="1872"/>
            <w:shd w:val="clear" w:color="auto" w:fill="1F3864"/>
          </w:tcPr>
          <w:p>
            <w:pPr>
              <w:spacing w:after="0" w:line="240" w:lineRule="auto"/>
              <w:jc w:val="right"/>
            </w:pPr>
            <w:r>
              <w:rPr>
                <w:b/>
                <w:i w:val="0"/>
                <w:color w:val="FFFFFF"/>
                <w:sz w:val="15"/>
              </w:rPr>
              <w:t>Stock awards (grant-date FV)</w:t>
            </w:r>
          </w:p>
        </w:tc>
        <w:tc>
          <w:tcPr>
            <w:tcW w:type="dxa" w:w="1584"/>
            <w:shd w:val="clear" w:color="auto" w:fill="1F3864"/>
          </w:tcPr>
          <w:p>
            <w:pPr>
              <w:spacing w:after="0" w:line="240" w:lineRule="auto"/>
              <w:jc w:val="right"/>
            </w:pPr>
            <w:r>
              <w:rPr>
                <w:b/>
                <w:i w:val="0"/>
                <w:color w:val="FFFFFF"/>
                <w:sz w:val="15"/>
              </w:rPr>
              <w:t>Non-equity incentive</w:t>
            </w:r>
          </w:p>
        </w:tc>
        <w:tc>
          <w:tcPr>
            <w:tcW w:type="dxa" w:w="1296"/>
            <w:shd w:val="clear" w:color="auto" w:fill="1F3864"/>
          </w:tcPr>
          <w:p>
            <w:pPr>
              <w:spacing w:after="0" w:line="240" w:lineRule="auto"/>
              <w:jc w:val="right"/>
            </w:pPr>
            <w:r>
              <w:rPr>
                <w:b/>
                <w:i w:val="0"/>
                <w:color w:val="FFFFFF"/>
                <w:sz w:val="15"/>
              </w:rPr>
              <w:t>All other</w:t>
            </w:r>
          </w:p>
        </w:tc>
        <w:tc>
          <w:tcPr>
            <w:tcW w:type="dxa" w:w="1584"/>
            <w:shd w:val="clear" w:color="auto" w:fill="1F3864"/>
          </w:tcPr>
          <w:p>
            <w:pPr>
              <w:spacing w:after="0" w:line="240" w:lineRule="auto"/>
              <w:jc w:val="right"/>
            </w:pPr>
            <w:r>
              <w:rPr>
                <w:b/>
                <w:i w:val="0"/>
                <w:color w:val="FFFFFF"/>
                <w:sz w:val="15"/>
              </w:rPr>
              <w:t>Total</w:t>
            </w:r>
          </w:p>
        </w:tc>
      </w:tr>
      <w:tr>
        <w:trPr>
          <w:cantSplit/>
        </w:trPr>
        <w:tc>
          <w:tcPr>
            <w:tcW w:type="dxa" w:w="1296"/>
          </w:tcPr>
          <w:p>
            <w:pPr>
              <w:spacing w:after="0" w:line="240" w:lineRule="auto"/>
            </w:pPr>
            <w:r>
              <w:rPr>
                <w:b w:val="0"/>
                <w:i w:val="0"/>
                <w:sz w:val="15"/>
              </w:rPr>
              <w:t>Eager</w:t>
            </w:r>
          </w:p>
        </w:tc>
        <w:tc>
          <w:tcPr>
            <w:tcW w:type="dxa" w:w="720"/>
          </w:tcPr>
          <w:p>
            <w:pPr>
              <w:spacing w:after="0" w:line="240" w:lineRule="auto"/>
            </w:pPr>
            <w:r>
              <w:rPr>
                <w:b w:val="0"/>
                <w:i w:val="0"/>
                <w:sz w:val="15"/>
              </w:rPr>
              <w:t>2025</w:t>
            </w:r>
          </w:p>
        </w:tc>
        <w:tc>
          <w:tcPr>
            <w:tcW w:type="dxa" w:w="1440"/>
          </w:tcPr>
          <w:p>
            <w:pPr>
              <w:spacing w:after="0" w:line="240" w:lineRule="auto"/>
              <w:jc w:val="right"/>
            </w:pPr>
            <w:r>
              <w:rPr>
                <w:b w:val="0"/>
                <w:i w:val="0"/>
                <w:sz w:val="15"/>
              </w:rPr>
              <w:t>$672,784¹</w:t>
            </w:r>
          </w:p>
        </w:tc>
        <w:tc>
          <w:tcPr>
            <w:tcW w:type="dxa" w:w="1872"/>
          </w:tcPr>
          <w:p>
            <w:pPr>
              <w:spacing w:after="0" w:line="240" w:lineRule="auto"/>
              <w:jc w:val="right"/>
            </w:pPr>
            <w:r>
              <w:rPr>
                <w:b w:val="0"/>
                <w:i w:val="0"/>
                <w:sz w:val="15"/>
              </w:rPr>
              <w:t>$4,678,759</w:t>
            </w:r>
          </w:p>
        </w:tc>
        <w:tc>
          <w:tcPr>
            <w:tcW w:type="dxa" w:w="1584"/>
          </w:tcPr>
          <w:p>
            <w:pPr>
              <w:spacing w:after="0" w:line="240" w:lineRule="auto"/>
              <w:jc w:val="right"/>
            </w:pPr>
            <w:r>
              <w:rPr>
                <w:b w:val="0"/>
                <w:i w:val="0"/>
                <w:sz w:val="15"/>
              </w:rPr>
              <w:t>$931,397</w:t>
            </w:r>
          </w:p>
        </w:tc>
        <w:tc>
          <w:tcPr>
            <w:tcW w:type="dxa" w:w="1296"/>
          </w:tcPr>
          <w:p>
            <w:pPr>
              <w:spacing w:after="0" w:line="240" w:lineRule="auto"/>
              <w:jc w:val="right"/>
            </w:pPr>
            <w:r>
              <w:rPr>
                <w:b w:val="0"/>
                <w:i w:val="0"/>
                <w:sz w:val="15"/>
              </w:rPr>
              <w:t>$161,064</w:t>
            </w:r>
          </w:p>
        </w:tc>
        <w:tc>
          <w:tcPr>
            <w:tcW w:type="dxa" w:w="1584"/>
          </w:tcPr>
          <w:p>
            <w:pPr>
              <w:spacing w:after="0" w:line="240" w:lineRule="auto"/>
              <w:jc w:val="right"/>
            </w:pPr>
            <w:r>
              <w:rPr>
                <w:b/>
                <w:i w:val="0"/>
                <w:sz w:val="15"/>
              </w:rPr>
              <w:t>$6,444,004</w:t>
            </w:r>
          </w:p>
        </w:tc>
      </w:tr>
      <w:tr>
        <w:trPr>
          <w:cantSplit/>
        </w:trPr>
        <w:tc>
          <w:tcPr>
            <w:tcW w:type="dxa" w:w="1296"/>
            <w:shd w:val="clear" w:color="auto" w:fill="D9E1F2"/>
          </w:tcPr>
          <w:p>
            <w:pPr>
              <w:spacing w:after="0" w:line="240" w:lineRule="auto"/>
            </w:pPr>
            <w:r>
              <w:rPr>
                <w:b w:val="0"/>
                <w:i w:val="0"/>
                <w:sz w:val="15"/>
              </w:rPr>
              <w:t>Fredericks</w:t>
            </w:r>
          </w:p>
        </w:tc>
        <w:tc>
          <w:tcPr>
            <w:tcW w:type="dxa" w:w="720"/>
            <w:shd w:val="clear" w:color="auto" w:fill="D9E1F2"/>
          </w:tcPr>
          <w:p>
            <w:pPr>
              <w:spacing w:after="0" w:line="240" w:lineRule="auto"/>
            </w:pPr>
            <w:r>
              <w:rPr>
                <w:b w:val="0"/>
                <w:i w:val="0"/>
                <w:sz w:val="15"/>
              </w:rPr>
              <w:t>2025</w:t>
            </w:r>
          </w:p>
        </w:tc>
        <w:tc>
          <w:tcPr>
            <w:tcW w:type="dxa" w:w="1440"/>
            <w:shd w:val="clear" w:color="auto" w:fill="D9E1F2"/>
          </w:tcPr>
          <w:p>
            <w:pPr>
              <w:spacing w:after="0" w:line="240" w:lineRule="auto"/>
              <w:jc w:val="right"/>
            </w:pPr>
            <w:r>
              <w:rPr>
                <w:b w:val="0"/>
                <w:i w:val="0"/>
                <w:sz w:val="15"/>
              </w:rPr>
              <w:t>$512,511</w:t>
            </w:r>
          </w:p>
        </w:tc>
        <w:tc>
          <w:tcPr>
            <w:tcW w:type="dxa" w:w="1872"/>
            <w:shd w:val="clear" w:color="auto" w:fill="D9E1F2"/>
          </w:tcPr>
          <w:p>
            <w:pPr>
              <w:spacing w:after="0" w:line="240" w:lineRule="auto"/>
              <w:jc w:val="right"/>
            </w:pPr>
            <w:r>
              <w:rPr>
                <w:b w:val="0"/>
                <w:i w:val="0"/>
                <w:sz w:val="15"/>
              </w:rPr>
              <w:t>$1,346,092</w:t>
            </w:r>
          </w:p>
        </w:tc>
        <w:tc>
          <w:tcPr>
            <w:tcW w:type="dxa" w:w="1584"/>
            <w:shd w:val="clear" w:color="auto" w:fill="D9E1F2"/>
          </w:tcPr>
          <w:p>
            <w:pPr>
              <w:spacing w:after="0" w:line="240" w:lineRule="auto"/>
              <w:jc w:val="right"/>
            </w:pPr>
            <w:r>
              <w:rPr>
                <w:b w:val="0"/>
                <w:i w:val="0"/>
                <w:sz w:val="15"/>
              </w:rPr>
              <w:t>$775,000</w:t>
            </w:r>
          </w:p>
        </w:tc>
        <w:tc>
          <w:tcPr>
            <w:tcW w:type="dxa" w:w="1296"/>
            <w:shd w:val="clear" w:color="auto" w:fill="D9E1F2"/>
          </w:tcPr>
          <w:p>
            <w:pPr>
              <w:spacing w:after="0" w:line="240" w:lineRule="auto"/>
              <w:jc w:val="right"/>
            </w:pPr>
            <w:r>
              <w:rPr>
                <w:b w:val="0"/>
                <w:i w:val="0"/>
                <w:sz w:val="15"/>
              </w:rPr>
              <w:t>$78,079</w:t>
            </w:r>
          </w:p>
        </w:tc>
        <w:tc>
          <w:tcPr>
            <w:tcW w:type="dxa" w:w="1584"/>
            <w:shd w:val="clear" w:color="auto" w:fill="D9E1F2"/>
          </w:tcPr>
          <w:p>
            <w:pPr>
              <w:spacing w:after="0" w:line="240" w:lineRule="auto"/>
              <w:jc w:val="right"/>
            </w:pPr>
            <w:r>
              <w:rPr>
                <w:b/>
                <w:i w:val="0"/>
                <w:sz w:val="15"/>
              </w:rPr>
              <w:t>$2,711,682</w:t>
            </w:r>
          </w:p>
        </w:tc>
      </w:tr>
      <w:tr>
        <w:trPr>
          <w:cantSplit/>
        </w:trPr>
        <w:tc>
          <w:tcPr>
            <w:tcW w:type="dxa" w:w="1296"/>
          </w:tcPr>
          <w:p>
            <w:pPr>
              <w:spacing w:after="0" w:line="240" w:lineRule="auto"/>
            </w:pPr>
            <w:r>
              <w:rPr>
                <w:b w:val="0"/>
                <w:i w:val="0"/>
                <w:sz w:val="15"/>
              </w:rPr>
              <w:t>LaFeir</w:t>
            </w:r>
          </w:p>
        </w:tc>
        <w:tc>
          <w:tcPr>
            <w:tcW w:type="dxa" w:w="720"/>
          </w:tcPr>
          <w:p>
            <w:pPr>
              <w:spacing w:after="0" w:line="240" w:lineRule="auto"/>
            </w:pPr>
            <w:r>
              <w:rPr>
                <w:b w:val="0"/>
                <w:i w:val="0"/>
                <w:sz w:val="15"/>
              </w:rPr>
              <w:t>2025</w:t>
            </w:r>
          </w:p>
        </w:tc>
        <w:tc>
          <w:tcPr>
            <w:tcW w:type="dxa" w:w="1440"/>
          </w:tcPr>
          <w:p>
            <w:pPr>
              <w:spacing w:after="0" w:line="240" w:lineRule="auto"/>
              <w:jc w:val="right"/>
            </w:pPr>
            <w:r>
              <w:rPr>
                <w:b w:val="0"/>
                <w:i w:val="0"/>
                <w:sz w:val="15"/>
              </w:rPr>
              <w:t>$458,144</w:t>
            </w:r>
          </w:p>
        </w:tc>
        <w:tc>
          <w:tcPr>
            <w:tcW w:type="dxa" w:w="1872"/>
          </w:tcPr>
          <w:p>
            <w:pPr>
              <w:spacing w:after="0" w:line="240" w:lineRule="auto"/>
              <w:jc w:val="right"/>
            </w:pPr>
            <w:r>
              <w:rPr>
                <w:b w:val="0"/>
                <w:i w:val="0"/>
                <w:sz w:val="15"/>
              </w:rPr>
              <w:t>$398,704</w:t>
            </w:r>
          </w:p>
        </w:tc>
        <w:tc>
          <w:tcPr>
            <w:tcW w:type="dxa" w:w="1584"/>
          </w:tcPr>
          <w:p>
            <w:pPr>
              <w:spacing w:after="0" w:line="240" w:lineRule="auto"/>
              <w:jc w:val="right"/>
            </w:pPr>
            <w:r>
              <w:rPr>
                <w:b w:val="0"/>
                <w:i w:val="0"/>
                <w:sz w:val="15"/>
              </w:rPr>
              <w:t>$411,578</w:t>
            </w:r>
          </w:p>
        </w:tc>
        <w:tc>
          <w:tcPr>
            <w:tcW w:type="dxa" w:w="1296"/>
          </w:tcPr>
          <w:p>
            <w:pPr>
              <w:spacing w:after="0" w:line="240" w:lineRule="auto"/>
              <w:jc w:val="right"/>
            </w:pPr>
            <w:r>
              <w:rPr>
                <w:b w:val="0"/>
                <w:i w:val="0"/>
                <w:sz w:val="15"/>
              </w:rPr>
              <w:t>$49,033</w:t>
            </w:r>
          </w:p>
        </w:tc>
        <w:tc>
          <w:tcPr>
            <w:tcW w:type="dxa" w:w="1584"/>
          </w:tcPr>
          <w:p>
            <w:pPr>
              <w:spacing w:after="0" w:line="240" w:lineRule="auto"/>
              <w:jc w:val="right"/>
            </w:pPr>
            <w:r>
              <w:rPr>
                <w:b/>
                <w:i w:val="0"/>
                <w:sz w:val="15"/>
              </w:rPr>
              <w:t>$1,317,459</w:t>
            </w:r>
          </w:p>
        </w:tc>
      </w:tr>
    </w:tbl>
    <w:p>
      <w:pPr>
        <w:spacing w:after="120"/>
      </w:pPr>
      <w:r>
        <w:rPr>
          <w:b w:val="0"/>
          <w:i/>
          <w:color w:val="595959"/>
          <w:sz w:val="15"/>
        </w:rPr>
        <w:t xml:space="preserve">Source: D5 §2.1 (10/A p.398). ¹ Includes a $53,845 CARFAX PTO cash-out. Not in the SCT: LaFeir $700k retention bonus; Matharu $216k retention </w:t>
      </w:r>
      <w:r>
        <w:rPr>
          <w:b/>
          <w:color w:val="2E548C"/>
          <w:sz w:val="12"/>
        </w:rPr>
        <w:t>[D]</w:t>
      </w:r>
      <w:r>
        <w:rPr>
          <w:b w:val="0"/>
          <w:i/>
          <w:color w:val="595959"/>
          <w:sz w:val="15"/>
        </w:rPr>
        <w:t>.</w:t>
      </w:r>
    </w:p>
    <w:p>
      <w:pPr>
        <w:keepNext/>
        <w:spacing w:before="80" w:after="40"/>
      </w:pPr>
      <w:r>
        <w:rPr>
          <w:b/>
          <w:i w:val="0"/>
          <w:color w:val="1F3864"/>
          <w:sz w:val="17"/>
        </w:rPr>
        <w:t>Exhibit 13.4 — FY2025 short-term incentive outcomes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152"/>
        <w:gridCol w:w="1584"/>
        <w:gridCol w:w="3744"/>
        <w:gridCol w:w="1296"/>
        <w:gridCol w:w="1007"/>
        <w:gridCol w:w="1007"/>
      </w:tblGrid>
      <w:tr>
        <w:trPr>
          <w:cantSplit/>
          <w:tblHeader/>
        </w:trPr>
        <w:tc>
          <w:tcPr>
            <w:tcW w:type="dxa" w:w="1152"/>
            <w:shd w:val="clear" w:color="auto" w:fill="1F3864"/>
          </w:tcPr>
          <w:p>
            <w:pPr>
              <w:spacing w:after="0" w:line="240" w:lineRule="auto"/>
            </w:pPr>
            <w:r>
              <w:rPr>
                <w:b/>
                <w:i w:val="0"/>
                <w:color w:val="FFFFFF"/>
                <w:sz w:val="15"/>
              </w:rPr>
              <w:t>NEO</w:t>
            </w:r>
          </w:p>
        </w:tc>
        <w:tc>
          <w:tcPr>
            <w:tcW w:type="dxa" w:w="1584"/>
            <w:shd w:val="clear" w:color="auto" w:fill="1F3864"/>
          </w:tcPr>
          <w:p>
            <w:pPr>
              <w:spacing w:after="0" w:line="240" w:lineRule="auto"/>
            </w:pPr>
            <w:r>
              <w:rPr>
                <w:b/>
                <w:i w:val="0"/>
                <w:color w:val="FFFFFF"/>
                <w:sz w:val="15"/>
              </w:rPr>
              <w:t>Plan</w:t>
            </w:r>
          </w:p>
        </w:tc>
        <w:tc>
          <w:tcPr>
            <w:tcW w:type="dxa" w:w="3744"/>
            <w:shd w:val="clear" w:color="auto" w:fill="1F3864"/>
          </w:tcPr>
          <w:p>
            <w:pPr>
              <w:spacing w:after="0" w:line="240" w:lineRule="auto"/>
            </w:pPr>
            <w:r>
              <w:rPr>
                <w:b/>
                <w:i w:val="0"/>
                <w:color w:val="FFFFFF"/>
                <w:sz w:val="15"/>
              </w:rPr>
              <w:t xml:space="preserve">Funding metrics and weights </w:t>
            </w:r>
            <w:r>
              <w:rPr>
                <w:b/>
                <w:color w:val="FFFFFF"/>
                <w:sz w:val="12"/>
              </w:rPr>
              <w:t>[D]</w:t>
            </w:r>
          </w:p>
        </w:tc>
        <w:tc>
          <w:tcPr>
            <w:tcW w:type="dxa" w:w="1296"/>
            <w:shd w:val="clear" w:color="auto" w:fill="1F3864"/>
          </w:tcPr>
          <w:p>
            <w:pPr>
              <w:spacing w:after="0" w:line="240" w:lineRule="auto"/>
            </w:pPr>
            <w:r>
              <w:rPr>
                <w:b/>
                <w:i w:val="0"/>
                <w:color w:val="FFFFFF"/>
                <w:sz w:val="15"/>
              </w:rPr>
              <w:t>Target</w:t>
            </w:r>
          </w:p>
        </w:tc>
        <w:tc>
          <w:tcPr>
            <w:tcW w:type="dxa" w:w="1008"/>
            <w:shd w:val="clear" w:color="auto" w:fill="1F3864"/>
          </w:tcPr>
          <w:p>
            <w:pPr>
              <w:spacing w:after="0" w:line="240" w:lineRule="auto"/>
            </w:pPr>
            <w:r>
              <w:rPr>
                <w:b/>
                <w:i w:val="0"/>
                <w:color w:val="FFFFFF"/>
                <w:sz w:val="15"/>
              </w:rPr>
              <w:t>Earned</w:t>
            </w:r>
          </w:p>
        </w:tc>
        <w:tc>
          <w:tcPr>
            <w:tcW w:type="dxa" w:w="1008"/>
            <w:shd w:val="clear" w:color="auto" w:fill="1F3864"/>
          </w:tcPr>
          <w:p>
            <w:pPr>
              <w:spacing w:after="0" w:line="240" w:lineRule="auto"/>
            </w:pPr>
            <w:r>
              <w:rPr>
                <w:b/>
                <w:i w:val="0"/>
                <w:color w:val="FFFFFF"/>
                <w:sz w:val="15"/>
              </w:rPr>
              <w:t>Payout %</w:t>
            </w:r>
          </w:p>
        </w:tc>
      </w:tr>
      <w:tr>
        <w:trPr>
          <w:cantSplit/>
        </w:trPr>
        <w:tc>
          <w:tcPr>
            <w:tcW w:type="dxa" w:w="1152"/>
          </w:tcPr>
          <w:p>
            <w:pPr>
              <w:spacing w:after="0" w:line="240" w:lineRule="auto"/>
            </w:pPr>
            <w:r>
              <w:rPr>
                <w:b w:val="0"/>
                <w:i w:val="0"/>
                <w:sz w:val="15"/>
              </w:rPr>
              <w:t>Eager</w:t>
            </w:r>
          </w:p>
        </w:tc>
        <w:tc>
          <w:tcPr>
            <w:tcW w:type="dxa" w:w="1584"/>
          </w:tcPr>
          <w:p>
            <w:pPr>
              <w:spacing w:after="0" w:line="240" w:lineRule="auto"/>
            </w:pPr>
            <w:r>
              <w:rPr>
                <w:b w:val="0"/>
                <w:i w:val="0"/>
                <w:sz w:val="15"/>
              </w:rPr>
              <w:t>SPGI Key Exec STIC</w:t>
            </w:r>
          </w:p>
        </w:tc>
        <w:tc>
          <w:tcPr>
            <w:tcW w:type="dxa" w:w="3744"/>
          </w:tcPr>
          <w:p>
            <w:pPr>
              <w:spacing w:after="0" w:line="240" w:lineRule="auto"/>
            </w:pPr>
            <w:r>
              <w:rPr>
                <w:b w:val="0"/>
                <w:i w:val="0"/>
                <w:sz w:val="15"/>
              </w:rPr>
              <w:t>70% business / 30% individual (see below)</w:t>
            </w:r>
          </w:p>
        </w:tc>
        <w:tc>
          <w:tcPr>
            <w:tcW w:type="dxa" w:w="1296"/>
          </w:tcPr>
          <w:p>
            <w:pPr>
              <w:spacing w:after="0" w:line="240" w:lineRule="auto"/>
            </w:pPr>
            <w:r>
              <w:rPr>
                <w:b w:val="0"/>
                <w:i w:val="0"/>
                <w:sz w:val="15"/>
              </w:rPr>
              <w:t xml:space="preserve">$776,164 blended ($700k pre-promotion, $900k post) </w:t>
            </w:r>
            <w:r>
              <w:rPr>
                <w:b/>
                <w:color w:val="2E548C"/>
                <w:sz w:val="12"/>
              </w:rPr>
              <w:t>[D]</w:t>
            </w:r>
          </w:p>
        </w:tc>
        <w:tc>
          <w:tcPr>
            <w:tcW w:type="dxa" w:w="1008"/>
          </w:tcPr>
          <w:p>
            <w:pPr>
              <w:spacing w:after="0" w:line="240" w:lineRule="auto"/>
            </w:pPr>
            <w:r>
              <w:rPr>
                <w:b w:val="0"/>
                <w:i w:val="0"/>
                <w:sz w:val="15"/>
              </w:rPr>
              <w:t>$931,397</w:t>
            </w:r>
          </w:p>
        </w:tc>
        <w:tc>
          <w:tcPr>
            <w:tcW w:type="dxa" w:w="1008"/>
          </w:tcPr>
          <w:p>
            <w:pPr>
              <w:spacing w:after="0" w:line="240" w:lineRule="auto"/>
            </w:pPr>
            <w:r>
              <w:rPr>
                <w:b/>
                <w:i w:val="0"/>
                <w:sz w:val="15"/>
              </w:rPr>
              <w:t>120.0%</w:t>
            </w:r>
          </w:p>
        </w:tc>
      </w:tr>
      <w:tr>
        <w:trPr>
          <w:cantSplit/>
        </w:trPr>
        <w:tc>
          <w:tcPr>
            <w:tcW w:type="dxa" w:w="1152"/>
            <w:shd w:val="clear" w:color="auto" w:fill="D9E1F2"/>
          </w:tcPr>
          <w:p>
            <w:pPr>
              <w:spacing w:after="0" w:line="240" w:lineRule="auto"/>
            </w:pPr>
            <w:r>
              <w:rPr>
                <w:b w:val="0"/>
                <w:i w:val="0"/>
                <w:sz w:val="15"/>
              </w:rPr>
              <w:t>Fredericks</w:t>
            </w:r>
          </w:p>
        </w:tc>
        <w:tc>
          <w:tcPr>
            <w:tcW w:type="dxa" w:w="1584"/>
            <w:shd w:val="clear" w:color="auto" w:fill="D9E1F2"/>
          </w:tcPr>
          <w:p>
            <w:pPr>
              <w:spacing w:after="0" w:line="240" w:lineRule="auto"/>
            </w:pPr>
            <w:r>
              <w:rPr>
                <w:b w:val="0"/>
                <w:i w:val="0"/>
                <w:sz w:val="15"/>
              </w:rPr>
              <w:t>CARFAX 2025 AIP</w:t>
            </w:r>
          </w:p>
        </w:tc>
        <w:tc>
          <w:tcPr>
            <w:tcW w:type="dxa" w:w="3744"/>
            <w:shd w:val="clear" w:color="auto" w:fill="D9E1F2"/>
          </w:tcPr>
          <w:p>
            <w:pPr>
              <w:spacing w:after="0" w:line="240" w:lineRule="auto"/>
            </w:pPr>
            <w:r>
              <w:rPr>
                <w:b/>
                <w:i w:val="0"/>
                <w:sz w:val="15"/>
              </w:rPr>
              <w:t>100% CARFAX U.S. EBITA</w:t>
            </w:r>
            <w:r>
              <w:rPr>
                <w:b w:val="0"/>
                <w:i w:val="0"/>
                <w:sz w:val="15"/>
              </w:rPr>
              <w:t xml:space="preserve">: target $467.1m, actual $479.3m (102.6% of target </w:t>
            </w:r>
            <w:r>
              <w:rPr>
                <w:b/>
                <w:color w:val="2E548C"/>
                <w:sz w:val="12"/>
              </w:rPr>
              <w:t>[C]</w:t>
            </w:r>
            <w:r>
              <w:rPr>
                <w:b w:val="0"/>
                <w:i w:val="0"/>
                <w:sz w:val="15"/>
              </w:rPr>
              <w:t>), plus an individual modifier</w:t>
            </w:r>
          </w:p>
        </w:tc>
        <w:tc>
          <w:tcPr>
            <w:tcW w:type="dxa" w:w="1296"/>
            <w:shd w:val="clear" w:color="auto" w:fill="D9E1F2"/>
          </w:tcPr>
          <w:p>
            <w:pPr>
              <w:spacing w:after="0" w:line="240" w:lineRule="auto"/>
            </w:pPr>
            <w:r>
              <w:rPr>
                <w:b w:val="0"/>
                <w:i w:val="0"/>
                <w:sz w:val="15"/>
              </w:rPr>
              <w:t>$600,000</w:t>
            </w:r>
          </w:p>
        </w:tc>
        <w:tc>
          <w:tcPr>
            <w:tcW w:type="dxa" w:w="1008"/>
            <w:shd w:val="clear" w:color="auto" w:fill="D9E1F2"/>
          </w:tcPr>
          <w:p>
            <w:pPr>
              <w:spacing w:after="0" w:line="240" w:lineRule="auto"/>
            </w:pPr>
            <w:r>
              <w:rPr>
                <w:b w:val="0"/>
                <w:i w:val="0"/>
                <w:sz w:val="15"/>
              </w:rPr>
              <w:t>$775,000</w:t>
            </w:r>
          </w:p>
        </w:tc>
        <w:tc>
          <w:tcPr>
            <w:tcW w:type="dxa" w:w="1008"/>
            <w:shd w:val="clear" w:color="auto" w:fill="D9E1F2"/>
          </w:tcPr>
          <w:p>
            <w:pPr>
              <w:spacing w:after="0" w:line="240" w:lineRule="auto"/>
            </w:pPr>
            <w:r>
              <w:rPr>
                <w:b/>
                <w:i w:val="0"/>
                <w:sz w:val="15"/>
              </w:rPr>
              <w:t>129.2%</w:t>
            </w:r>
          </w:p>
        </w:tc>
      </w:tr>
      <w:tr>
        <w:trPr>
          <w:cantSplit/>
        </w:trPr>
        <w:tc>
          <w:tcPr>
            <w:tcW w:type="dxa" w:w="1152"/>
          </w:tcPr>
          <w:p>
            <w:pPr>
              <w:spacing w:after="0" w:line="240" w:lineRule="auto"/>
            </w:pPr>
            <w:r>
              <w:rPr>
                <w:b w:val="0"/>
                <w:i w:val="0"/>
                <w:sz w:val="15"/>
              </w:rPr>
              <w:t>LaFeir</w:t>
            </w:r>
          </w:p>
        </w:tc>
        <w:tc>
          <w:tcPr>
            <w:tcW w:type="dxa" w:w="1584"/>
          </w:tcPr>
          <w:p>
            <w:pPr>
              <w:spacing w:after="0" w:line="240" w:lineRule="auto"/>
            </w:pPr>
            <w:r>
              <w:rPr>
                <w:b w:val="0"/>
                <w:i w:val="0"/>
                <w:sz w:val="15"/>
              </w:rPr>
              <w:t>Mobility STIC</w:t>
            </w:r>
          </w:p>
        </w:tc>
        <w:tc>
          <w:tcPr>
            <w:tcW w:type="dxa" w:w="3744"/>
          </w:tcPr>
          <w:p>
            <w:pPr>
              <w:spacing w:after="0" w:line="240" w:lineRule="auto"/>
            </w:pPr>
            <w:r>
              <w:rPr>
                <w:b w:val="0"/>
                <w:i w:val="0"/>
                <w:sz w:val="15"/>
              </w:rPr>
              <w:t>10% SPGI ICP Adj. EBITA margin; 10% SPGI ICP Adj. revenue; 25% Mobility margin; 25% Mobility revenue; 30% Mobility scorecard</w:t>
            </w:r>
          </w:p>
        </w:tc>
        <w:tc>
          <w:tcPr>
            <w:tcW w:type="dxa" w:w="1296"/>
          </w:tcPr>
          <w:p>
            <w:pPr>
              <w:spacing w:after="0" w:line="240" w:lineRule="auto"/>
            </w:pPr>
            <w:r>
              <w:rPr>
                <w:b w:val="0"/>
                <w:i w:val="0"/>
                <w:sz w:val="15"/>
              </w:rPr>
              <w:t>$380,000</w:t>
            </w:r>
          </w:p>
        </w:tc>
        <w:tc>
          <w:tcPr>
            <w:tcW w:type="dxa" w:w="1008"/>
          </w:tcPr>
          <w:p>
            <w:pPr>
              <w:spacing w:after="0" w:line="240" w:lineRule="auto"/>
            </w:pPr>
            <w:r>
              <w:rPr>
                <w:b w:val="0"/>
                <w:i w:val="0"/>
                <w:sz w:val="15"/>
              </w:rPr>
              <w:t>$411,578</w:t>
            </w:r>
          </w:p>
        </w:tc>
        <w:tc>
          <w:tcPr>
            <w:tcW w:type="dxa" w:w="1008"/>
          </w:tcPr>
          <w:p>
            <w:pPr>
              <w:spacing w:after="0" w:line="240" w:lineRule="auto"/>
            </w:pPr>
            <w:r>
              <w:rPr>
                <w:b/>
                <w:i w:val="0"/>
                <w:sz w:val="15"/>
              </w:rPr>
              <w:t>108.3%</w:t>
            </w:r>
          </w:p>
        </w:tc>
      </w:tr>
    </w:tbl>
    <w:p>
      <w:pPr>
        <w:spacing w:after="120"/>
      </w:pPr>
      <w:r>
        <w:rPr>
          <w:b w:val="0"/>
          <w:i/>
          <w:color w:val="595959"/>
          <w:sz w:val="15"/>
        </w:rPr>
        <w:t xml:space="preserve">Source: D5 §2.2. Eager earned 120% with both revenue metrics below target (SPGI 7.1% vs 7.4%; Mobility 8.0% vs 8.7%) </w:t>
      </w:r>
      <w:r>
        <w:rPr>
          <w:b/>
          <w:color w:val="2E548C"/>
          <w:sz w:val="12"/>
        </w:rPr>
        <w:t>[D]</w:t>
      </w:r>
      <w:r>
        <w:rPr>
          <w:b w:val="0"/>
          <w:i/>
          <w:color w:val="595959"/>
          <w:sz w:val="15"/>
        </w:rPr>
        <w:t xml:space="preserve">. 2023–25 PSUs paid ~182–184% of target </w:t>
      </w:r>
      <w:r>
        <w:rPr>
          <w:b/>
          <w:color w:val="2E548C"/>
          <w:sz w:val="12"/>
        </w:rPr>
        <w:t>[C]</w:t>
      </w:r>
      <w:r>
        <w:rPr>
          <w:b w:val="0"/>
          <w:i/>
          <w:color w:val="595959"/>
          <w:sz w:val="15"/>
        </w:rPr>
        <w:t>.</w:t>
      </w:r>
    </w:p>
    <w:p>
      <w:pPr>
        <w:keepNext/>
        <w:spacing w:before="80" w:after="40"/>
      </w:pPr>
      <w:r>
        <w:rPr>
          <w:b/>
          <w:i w:val="0"/>
          <w:color w:val="1F3864"/>
          <w:sz w:val="17"/>
        </w:rPr>
        <w:t>Exhibit 13.5 — 2026 pay targets set by S&amp;P Global before the spin</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152"/>
        <w:gridCol w:w="1152"/>
        <w:gridCol w:w="1152"/>
        <w:gridCol w:w="1296"/>
        <w:gridCol w:w="1584"/>
        <w:gridCol w:w="3456"/>
      </w:tblGrid>
      <w:tr>
        <w:trPr>
          <w:cantSplit/>
          <w:tblHeader/>
        </w:trPr>
        <w:tc>
          <w:tcPr>
            <w:tcW w:type="dxa" w:w="1152"/>
            <w:shd w:val="clear" w:color="auto" w:fill="1F3864"/>
          </w:tcPr>
          <w:p>
            <w:pPr>
              <w:spacing w:after="0" w:line="240" w:lineRule="auto"/>
            </w:pPr>
            <w:r>
              <w:rPr>
                <w:b/>
                <w:i w:val="0"/>
                <w:color w:val="FFFFFF"/>
                <w:sz w:val="15"/>
              </w:rPr>
              <w:t>Exec</w:t>
            </w:r>
          </w:p>
        </w:tc>
        <w:tc>
          <w:tcPr>
            <w:tcW w:type="dxa" w:w="1152"/>
            <w:shd w:val="clear" w:color="auto" w:fill="1F3864"/>
          </w:tcPr>
          <w:p>
            <w:pPr>
              <w:spacing w:after="0" w:line="240" w:lineRule="auto"/>
            </w:pPr>
            <w:r>
              <w:rPr>
                <w:b/>
                <w:i w:val="0"/>
                <w:color w:val="FFFFFF"/>
                <w:sz w:val="15"/>
              </w:rPr>
              <w:t>Base</w:t>
            </w:r>
          </w:p>
        </w:tc>
        <w:tc>
          <w:tcPr>
            <w:tcW w:type="dxa" w:w="1152"/>
            <w:shd w:val="clear" w:color="auto" w:fill="1F3864"/>
          </w:tcPr>
          <w:p>
            <w:pPr>
              <w:spacing w:after="0" w:line="240" w:lineRule="auto"/>
            </w:pPr>
            <w:r>
              <w:rPr>
                <w:b/>
                <w:i w:val="0"/>
                <w:color w:val="FFFFFF"/>
                <w:sz w:val="15"/>
              </w:rPr>
              <w:t>Target STI</w:t>
            </w:r>
          </w:p>
        </w:tc>
        <w:tc>
          <w:tcPr>
            <w:tcW w:type="dxa" w:w="1296"/>
            <w:shd w:val="clear" w:color="auto" w:fill="1F3864"/>
          </w:tcPr>
          <w:p>
            <w:pPr>
              <w:spacing w:after="0" w:line="240" w:lineRule="auto"/>
            </w:pPr>
            <w:r>
              <w:rPr>
                <w:b/>
                <w:i w:val="0"/>
                <w:color w:val="FFFFFF"/>
                <w:sz w:val="15"/>
              </w:rPr>
              <w:t>2026 LTI target</w:t>
            </w:r>
          </w:p>
        </w:tc>
        <w:tc>
          <w:tcPr>
            <w:tcW w:type="dxa" w:w="1584"/>
            <w:shd w:val="clear" w:color="auto" w:fill="1F3864"/>
          </w:tcPr>
          <w:p>
            <w:pPr>
              <w:spacing w:after="0" w:line="240" w:lineRule="auto"/>
            </w:pPr>
            <w:r>
              <w:rPr>
                <w:b/>
                <w:i w:val="0"/>
                <w:color w:val="FFFFFF"/>
                <w:sz w:val="15"/>
              </w:rPr>
              <w:t>Target total direct compensation</w:t>
            </w:r>
          </w:p>
        </w:tc>
        <w:tc>
          <w:tcPr>
            <w:tcW w:type="dxa" w:w="3456"/>
            <w:shd w:val="clear" w:color="auto" w:fill="1F3864"/>
          </w:tcPr>
          <w:p>
            <w:pPr>
              <w:spacing w:after="0" w:line="240" w:lineRule="auto"/>
            </w:pPr>
            <w:r>
              <w:rPr>
                <w:b/>
                <w:i w:val="0"/>
                <w:color w:val="FFFFFF"/>
                <w:sz w:val="15"/>
              </w:rPr>
              <w:t>One-time</w:t>
            </w:r>
          </w:p>
        </w:tc>
      </w:tr>
      <w:tr>
        <w:trPr>
          <w:cantSplit/>
        </w:trPr>
        <w:tc>
          <w:tcPr>
            <w:tcW w:type="dxa" w:w="1152"/>
          </w:tcPr>
          <w:p>
            <w:pPr>
              <w:spacing w:after="0" w:line="240" w:lineRule="auto"/>
            </w:pPr>
            <w:r>
              <w:rPr>
                <w:b w:val="0"/>
                <w:i w:val="0"/>
                <w:sz w:val="15"/>
              </w:rPr>
              <w:t>Eager</w:t>
            </w:r>
          </w:p>
        </w:tc>
        <w:tc>
          <w:tcPr>
            <w:tcW w:type="dxa" w:w="1152"/>
          </w:tcPr>
          <w:p>
            <w:pPr>
              <w:spacing w:after="0" w:line="240" w:lineRule="auto"/>
            </w:pPr>
            <w:r>
              <w:rPr>
                <w:b w:val="0"/>
                <w:i w:val="0"/>
                <w:sz w:val="15"/>
              </w:rPr>
              <w:t>$650,000</w:t>
            </w:r>
          </w:p>
        </w:tc>
        <w:tc>
          <w:tcPr>
            <w:tcW w:type="dxa" w:w="1152"/>
          </w:tcPr>
          <w:p>
            <w:pPr>
              <w:spacing w:after="0" w:line="240" w:lineRule="auto"/>
            </w:pPr>
            <w:r>
              <w:rPr>
                <w:b w:val="0"/>
                <w:i w:val="0"/>
                <w:sz w:val="15"/>
              </w:rPr>
              <w:t>$900,000</w:t>
            </w:r>
          </w:p>
        </w:tc>
        <w:tc>
          <w:tcPr>
            <w:tcW w:type="dxa" w:w="1296"/>
          </w:tcPr>
          <w:p>
            <w:pPr>
              <w:spacing w:after="0" w:line="240" w:lineRule="auto"/>
            </w:pPr>
            <w:r>
              <w:rPr>
                <w:b w:val="0"/>
                <w:i w:val="0"/>
                <w:sz w:val="15"/>
              </w:rPr>
              <w:t>$2,950,000</w:t>
            </w:r>
          </w:p>
        </w:tc>
        <w:tc>
          <w:tcPr>
            <w:tcW w:type="dxa" w:w="1584"/>
          </w:tcPr>
          <w:p>
            <w:pPr>
              <w:spacing w:after="0" w:line="240" w:lineRule="auto"/>
            </w:pPr>
            <w:r>
              <w:rPr>
                <w:b/>
                <w:i w:val="0"/>
                <w:sz w:val="15"/>
              </w:rPr>
              <w:t xml:space="preserve">$4.50m </w:t>
            </w:r>
            <w:r>
              <w:rPr>
                <w:b/>
                <w:color w:val="2E548C"/>
                <w:sz w:val="12"/>
              </w:rPr>
              <w:t>[C]</w:t>
            </w:r>
          </w:p>
        </w:tc>
        <w:tc>
          <w:tcPr>
            <w:tcW w:type="dxa" w:w="3456"/>
          </w:tcPr>
          <w:p>
            <w:pPr>
              <w:spacing w:after="0" w:line="240" w:lineRule="auto"/>
            </w:pPr>
            <w:r>
              <w:rPr>
                <w:b w:val="0"/>
                <w:i w:val="0"/>
                <w:sz w:val="15"/>
              </w:rPr>
              <w:t>—</w:t>
            </w:r>
          </w:p>
        </w:tc>
      </w:tr>
      <w:tr>
        <w:trPr>
          <w:cantSplit/>
        </w:trPr>
        <w:tc>
          <w:tcPr>
            <w:tcW w:type="dxa" w:w="1152"/>
            <w:shd w:val="clear" w:color="auto" w:fill="D9E1F2"/>
          </w:tcPr>
          <w:p>
            <w:pPr>
              <w:spacing w:after="0" w:line="240" w:lineRule="auto"/>
            </w:pPr>
            <w:r>
              <w:rPr>
                <w:b w:val="0"/>
                <w:i w:val="0"/>
                <w:sz w:val="15"/>
              </w:rPr>
              <w:t>Calderone</w:t>
            </w:r>
          </w:p>
        </w:tc>
        <w:tc>
          <w:tcPr>
            <w:tcW w:type="dxa" w:w="1152"/>
            <w:shd w:val="clear" w:color="auto" w:fill="D9E1F2"/>
          </w:tcPr>
          <w:p>
            <w:pPr>
              <w:spacing w:after="0" w:line="240" w:lineRule="auto"/>
            </w:pPr>
            <w:r>
              <w:rPr>
                <w:b w:val="0"/>
                <w:i w:val="0"/>
                <w:sz w:val="15"/>
              </w:rPr>
              <w:t>$850,000</w:t>
            </w:r>
          </w:p>
        </w:tc>
        <w:tc>
          <w:tcPr>
            <w:tcW w:type="dxa" w:w="1152"/>
            <w:shd w:val="clear" w:color="auto" w:fill="D9E1F2"/>
          </w:tcPr>
          <w:p>
            <w:pPr>
              <w:spacing w:after="0" w:line="240" w:lineRule="auto"/>
            </w:pPr>
            <w:r>
              <w:rPr>
                <w:b w:val="0"/>
                <w:i w:val="0"/>
                <w:sz w:val="15"/>
              </w:rPr>
              <w:t>$1,200,000</w:t>
            </w:r>
          </w:p>
        </w:tc>
        <w:tc>
          <w:tcPr>
            <w:tcW w:type="dxa" w:w="1296"/>
            <w:shd w:val="clear" w:color="auto" w:fill="D9E1F2"/>
          </w:tcPr>
          <w:p>
            <w:pPr>
              <w:spacing w:after="0" w:line="240" w:lineRule="auto"/>
            </w:pPr>
            <w:r>
              <w:rPr>
                <w:b w:val="0"/>
                <w:i w:val="0"/>
                <w:sz w:val="15"/>
              </w:rPr>
              <w:t>$3,000,000</w:t>
            </w:r>
          </w:p>
        </w:tc>
        <w:tc>
          <w:tcPr>
            <w:tcW w:type="dxa" w:w="1584"/>
            <w:shd w:val="clear" w:color="auto" w:fill="D9E1F2"/>
          </w:tcPr>
          <w:p>
            <w:pPr>
              <w:spacing w:after="0" w:line="240" w:lineRule="auto"/>
            </w:pPr>
            <w:r>
              <w:rPr>
                <w:b/>
                <w:i w:val="0"/>
                <w:sz w:val="15"/>
              </w:rPr>
              <w:t xml:space="preserve">$5.05m </w:t>
            </w:r>
            <w:r>
              <w:rPr>
                <w:b/>
                <w:color w:val="2E548C"/>
                <w:sz w:val="12"/>
              </w:rPr>
              <w:t>[C]</w:t>
            </w:r>
          </w:p>
        </w:tc>
        <w:tc>
          <w:tcPr>
            <w:tcW w:type="dxa" w:w="3456"/>
            <w:shd w:val="clear" w:color="auto" w:fill="D9E1F2"/>
          </w:tcPr>
          <w:p>
            <w:pPr>
              <w:spacing w:after="0" w:line="240" w:lineRule="auto"/>
            </w:pPr>
            <w:r>
              <w:rPr>
                <w:b w:val="0"/>
                <w:i w:val="0"/>
                <w:sz w:val="15"/>
              </w:rPr>
              <w:t xml:space="preserve">$1.0m cash sign-on (repayable before 31-Dec-2028); $0.5m 2025 bonus buy-out; $1.525m 2026 equity buy-out in cash; </w:t>
            </w:r>
            <w:r>
              <w:rPr>
                <w:b/>
                <w:i w:val="0"/>
                <w:sz w:val="15"/>
              </w:rPr>
              <w:t>$2.9m RSU buy-out</w:t>
            </w:r>
            <w:r>
              <w:rPr>
                <w:b w:val="0"/>
                <w:i w:val="0"/>
                <w:sz w:val="15"/>
              </w:rPr>
              <w:t xml:space="preserve"> vesting 1/3 per year. Total one-time ≈ </w:t>
            </w:r>
            <w:r>
              <w:rPr>
                <w:b/>
                <w:i w:val="0"/>
                <w:sz w:val="15"/>
              </w:rPr>
              <w:t xml:space="preserve">$5.93m </w:t>
            </w:r>
            <w:r>
              <w:rPr>
                <w:b/>
                <w:color w:val="2E548C"/>
                <w:sz w:val="12"/>
              </w:rPr>
              <w:t>[C]</w:t>
            </w:r>
          </w:p>
        </w:tc>
      </w:tr>
      <w:tr>
        <w:trPr>
          <w:cantSplit/>
        </w:trPr>
        <w:tc>
          <w:tcPr>
            <w:tcW w:type="dxa" w:w="1152"/>
          </w:tcPr>
          <w:p>
            <w:pPr>
              <w:spacing w:after="0" w:line="240" w:lineRule="auto"/>
            </w:pPr>
            <w:r>
              <w:rPr>
                <w:b w:val="0"/>
                <w:i w:val="0"/>
                <w:sz w:val="15"/>
              </w:rPr>
              <w:t>Fredericks</w:t>
            </w:r>
          </w:p>
        </w:tc>
        <w:tc>
          <w:tcPr>
            <w:tcW w:type="dxa" w:w="1152"/>
          </w:tcPr>
          <w:p>
            <w:pPr>
              <w:spacing w:after="0" w:line="240" w:lineRule="auto"/>
            </w:pPr>
            <w:r>
              <w:rPr>
                <w:b w:val="0"/>
                <w:i w:val="0"/>
                <w:sz w:val="15"/>
              </w:rPr>
              <w:t>$568,700 (from 1-Mar-26)</w:t>
            </w:r>
          </w:p>
        </w:tc>
        <w:tc>
          <w:tcPr>
            <w:tcW w:type="dxa" w:w="1152"/>
          </w:tcPr>
          <w:p>
            <w:pPr>
              <w:spacing w:after="0" w:line="240" w:lineRule="auto"/>
            </w:pPr>
            <w:r>
              <w:rPr>
                <w:b w:val="0"/>
                <w:i w:val="0"/>
                <w:sz w:val="15"/>
              </w:rPr>
              <w:t>$600,000</w:t>
            </w:r>
          </w:p>
        </w:tc>
        <w:tc>
          <w:tcPr>
            <w:tcW w:type="dxa" w:w="1296"/>
          </w:tcPr>
          <w:p>
            <w:pPr>
              <w:spacing w:after="0" w:line="240" w:lineRule="auto"/>
            </w:pPr>
            <w:r>
              <w:rPr>
                <w:b w:val="0"/>
                <w:i w:val="0"/>
                <w:sz w:val="15"/>
              </w:rPr>
              <w:t>$1,600,000</w:t>
            </w:r>
          </w:p>
        </w:tc>
        <w:tc>
          <w:tcPr>
            <w:tcW w:type="dxa" w:w="1584"/>
          </w:tcPr>
          <w:p>
            <w:pPr>
              <w:spacing w:after="0" w:line="240" w:lineRule="auto"/>
            </w:pPr>
            <w:r>
              <w:rPr>
                <w:b w:val="0"/>
                <w:i w:val="0"/>
                <w:sz w:val="15"/>
              </w:rPr>
              <w:t xml:space="preserve">$2.77m </w:t>
            </w:r>
            <w:r>
              <w:rPr>
                <w:b/>
                <w:color w:val="2E548C"/>
                <w:sz w:val="12"/>
              </w:rPr>
              <w:t>[C]</w:t>
            </w:r>
          </w:p>
        </w:tc>
        <w:tc>
          <w:tcPr>
            <w:tcW w:type="dxa" w:w="3456"/>
          </w:tcPr>
          <w:p>
            <w:pPr>
              <w:spacing w:after="0" w:line="240" w:lineRule="auto"/>
            </w:pPr>
            <w:r>
              <w:rPr>
                <w:b w:val="0"/>
                <w:i w:val="0"/>
                <w:sz w:val="15"/>
              </w:rPr>
              <w:t>—</w:t>
            </w:r>
          </w:p>
        </w:tc>
      </w:tr>
      <w:tr>
        <w:trPr>
          <w:cantSplit/>
        </w:trPr>
        <w:tc>
          <w:tcPr>
            <w:tcW w:type="dxa" w:w="1152"/>
            <w:shd w:val="clear" w:color="auto" w:fill="D9E1F2"/>
          </w:tcPr>
          <w:p>
            <w:pPr>
              <w:spacing w:after="0" w:line="240" w:lineRule="auto"/>
            </w:pPr>
            <w:r>
              <w:rPr>
                <w:b w:val="0"/>
                <w:i w:val="0"/>
                <w:sz w:val="15"/>
              </w:rPr>
              <w:t>LaFeir</w:t>
            </w:r>
          </w:p>
        </w:tc>
        <w:tc>
          <w:tcPr>
            <w:tcW w:type="dxa" w:w="1152"/>
            <w:shd w:val="clear" w:color="auto" w:fill="D9E1F2"/>
          </w:tcPr>
          <w:p>
            <w:pPr>
              <w:spacing w:after="0" w:line="240" w:lineRule="auto"/>
            </w:pPr>
            <w:r>
              <w:rPr>
                <w:b w:val="0"/>
                <w:i w:val="0"/>
                <w:sz w:val="15"/>
              </w:rPr>
              <w:t>$500,000 (from 1-Mar-26)</w:t>
            </w:r>
          </w:p>
        </w:tc>
        <w:tc>
          <w:tcPr>
            <w:tcW w:type="dxa" w:w="1152"/>
            <w:shd w:val="clear" w:color="auto" w:fill="D9E1F2"/>
          </w:tcPr>
          <w:p>
            <w:pPr>
              <w:spacing w:after="0" w:line="240" w:lineRule="auto"/>
            </w:pPr>
            <w:r>
              <w:rPr>
                <w:b w:val="0"/>
                <w:i w:val="0"/>
                <w:sz w:val="15"/>
              </w:rPr>
              <w:t xml:space="preserve">80% of base = $400,000 </w:t>
            </w:r>
            <w:r>
              <w:rPr>
                <w:b/>
                <w:color w:val="2E548C"/>
                <w:sz w:val="12"/>
              </w:rPr>
              <w:t>[C]</w:t>
            </w:r>
          </w:p>
        </w:tc>
        <w:tc>
          <w:tcPr>
            <w:tcW w:type="dxa" w:w="1296"/>
            <w:shd w:val="clear" w:color="auto" w:fill="D9E1F2"/>
          </w:tcPr>
          <w:p>
            <w:pPr>
              <w:spacing w:after="0" w:line="240" w:lineRule="auto"/>
            </w:pPr>
            <w:r>
              <w:rPr>
                <w:b w:val="0"/>
                <w:i w:val="0"/>
                <w:sz w:val="15"/>
              </w:rPr>
              <w:t>$700,000</w:t>
            </w:r>
          </w:p>
        </w:tc>
        <w:tc>
          <w:tcPr>
            <w:tcW w:type="dxa" w:w="1584"/>
            <w:shd w:val="clear" w:color="auto" w:fill="D9E1F2"/>
          </w:tcPr>
          <w:p>
            <w:pPr>
              <w:spacing w:after="0" w:line="240" w:lineRule="auto"/>
            </w:pPr>
            <w:r>
              <w:rPr>
                <w:b w:val="0"/>
                <w:i w:val="0"/>
                <w:sz w:val="15"/>
              </w:rPr>
              <w:t xml:space="preserve">$1.60m </w:t>
            </w:r>
            <w:r>
              <w:rPr>
                <w:b/>
                <w:color w:val="2E548C"/>
                <w:sz w:val="12"/>
              </w:rPr>
              <w:t>[C]</w:t>
            </w:r>
          </w:p>
        </w:tc>
        <w:tc>
          <w:tcPr>
            <w:tcW w:type="dxa" w:w="3456"/>
            <w:shd w:val="clear" w:color="auto" w:fill="D9E1F2"/>
          </w:tcPr>
          <w:p>
            <w:pPr>
              <w:spacing w:after="0" w:line="240" w:lineRule="auto"/>
            </w:pPr>
            <w:r>
              <w:rPr>
                <w:b w:val="0"/>
                <w:i w:val="0"/>
                <w:sz w:val="15"/>
              </w:rPr>
              <w:t>$700k retention (paid)</w:t>
            </w:r>
          </w:p>
        </w:tc>
      </w:tr>
      <w:tr>
        <w:trPr>
          <w:cantSplit/>
        </w:trPr>
        <w:tc>
          <w:tcPr>
            <w:tcW w:type="dxa" w:w="1152"/>
          </w:tcPr>
          <w:p>
            <w:pPr>
              <w:spacing w:after="0" w:line="240" w:lineRule="auto"/>
            </w:pPr>
            <w:r>
              <w:rPr>
                <w:b w:val="0"/>
                <w:i w:val="0"/>
                <w:sz w:val="15"/>
              </w:rPr>
              <w:t>Matharu</w:t>
            </w:r>
          </w:p>
        </w:tc>
        <w:tc>
          <w:tcPr>
            <w:tcW w:type="dxa" w:w="1152"/>
          </w:tcPr>
          <w:p>
            <w:pPr>
              <w:spacing w:after="0" w:line="240" w:lineRule="auto"/>
            </w:pPr>
            <w:r>
              <w:rPr>
                <w:b w:val="0"/>
                <w:i w:val="0"/>
                <w:sz w:val="15"/>
              </w:rPr>
              <w:t>n/d</w:t>
            </w:r>
          </w:p>
        </w:tc>
        <w:tc>
          <w:tcPr>
            <w:tcW w:type="dxa" w:w="1152"/>
          </w:tcPr>
          <w:p>
            <w:pPr>
              <w:spacing w:after="0" w:line="240" w:lineRule="auto"/>
            </w:pPr>
            <w:r>
              <w:rPr>
                <w:b w:val="0"/>
                <w:i w:val="0"/>
                <w:sz w:val="15"/>
              </w:rPr>
              <w:t>n/d</w:t>
            </w:r>
          </w:p>
        </w:tc>
        <w:tc>
          <w:tcPr>
            <w:tcW w:type="dxa" w:w="1296"/>
          </w:tcPr>
          <w:p>
            <w:pPr>
              <w:spacing w:after="0" w:line="240" w:lineRule="auto"/>
            </w:pPr>
            <w:r>
              <w:rPr>
                <w:b w:val="0"/>
                <w:i w:val="0"/>
                <w:sz w:val="15"/>
              </w:rPr>
              <w:t>n/d</w:t>
            </w:r>
          </w:p>
        </w:tc>
        <w:tc>
          <w:tcPr>
            <w:tcW w:type="dxa" w:w="1584"/>
          </w:tcPr>
          <w:p>
            <w:pPr>
              <w:spacing w:after="0" w:line="240" w:lineRule="auto"/>
            </w:pPr>
            <w:r>
              <w:rPr>
                <w:b w:val="0"/>
                <w:i w:val="0"/>
                <w:sz w:val="15"/>
              </w:rPr>
              <w:t>n/d</w:t>
            </w:r>
          </w:p>
        </w:tc>
        <w:tc>
          <w:tcPr>
            <w:tcW w:type="dxa" w:w="3456"/>
          </w:tcPr>
          <w:p>
            <w:pPr>
              <w:spacing w:after="0" w:line="240" w:lineRule="auto"/>
            </w:pPr>
            <w:r>
              <w:rPr>
                <w:b w:val="0"/>
                <w:i w:val="0"/>
                <w:sz w:val="15"/>
              </w:rPr>
              <w:t>$216k retention</w:t>
            </w:r>
          </w:p>
        </w:tc>
      </w:tr>
    </w:tbl>
    <w:p>
      <w:pPr>
        <w:spacing w:after="120"/>
      </w:pPr>
      <w:r>
        <w:rPr>
          <w:b w:val="0"/>
          <w:i/>
          <w:color w:val="595959"/>
          <w:sz w:val="15"/>
        </w:rPr>
        <w:t xml:space="preserve">Source: D5 §2.4. The CFO's target pay exceeds the CEO's ($5.05m vs $4.50m) </w:t>
      </w:r>
      <w:r>
        <w:rPr>
          <w:b/>
          <w:color w:val="2E548C"/>
          <w:sz w:val="12"/>
        </w:rPr>
        <w:t>[C]</w:t>
      </w:r>
      <w:r>
        <w:rPr>
          <w:b w:val="0"/>
          <w:i/>
          <w:color w:val="595959"/>
          <w:sz w:val="15"/>
        </w:rPr>
        <w:t xml:space="preserve">; the CFO letter commits SPGI to explore “founder shares” with no set value or terms </w:t>
      </w:r>
      <w:r>
        <w:rPr>
          <w:b/>
          <w:color w:val="2E548C"/>
          <w:sz w:val="12"/>
        </w:rPr>
        <w:t>[D]</w:t>
      </w:r>
      <w:r>
        <w:rPr>
          <w:b w:val="0"/>
          <w:i/>
          <w:color w:val="595959"/>
          <w:sz w:val="15"/>
        </w:rPr>
        <w:t>.</w:t>
      </w:r>
    </w:p>
    <w:p>
      <w:pPr>
        <w:pStyle w:val="Heading2"/>
      </w:pPr>
      <w:r>
        <w:t>13.1 Post-spin plans</w:t>
      </w:r>
    </w:p>
    <w:p>
      <w:pPr>
        <w:pStyle w:val="ListBullet"/>
      </w:pPr>
      <w:r>
        <w:rPr>
          <w:b/>
          <w:i w:val="0"/>
        </w:rPr>
        <w:t>2026 LTIP:</w:t>
      </w:r>
      <w:r>
        <w:rPr>
          <w:b w:val="0"/>
          <w:i w:val="0"/>
        </w:rPr>
        <w:t xml:space="preserve"> reserve of 14% of post-distribution shares (~41.3m </w:t>
      </w:r>
      <w:r>
        <w:rPr>
          <w:b/>
          <w:color w:val="2E548C"/>
          <w:sz w:val="16"/>
        </w:rPr>
        <w:t>[C]</w:t>
      </w:r>
      <w:r>
        <w:rPr>
          <w:b w:val="0"/>
          <w:i w:val="0"/>
        </w:rPr>
        <w:t xml:space="preserve">); liberal share recycling; converted awards do not count; no performance metrics specified; the committee may amend outstanding awards; CIC treatment discretionary </w:t>
      </w:r>
      <w:r>
        <w:rPr>
          <w:b/>
          <w:color w:val="2E548C"/>
          <w:sz w:val="16"/>
        </w:rPr>
        <w:t>[D]</w:t>
      </w:r>
      <w:r>
        <w:rPr>
          <w:b w:val="0"/>
          <w:i w:val="0"/>
        </w:rPr>
        <w:t>.</w:t>
      </w:r>
    </w:p>
    <w:p>
      <w:pPr>
        <w:pStyle w:val="ListBullet"/>
      </w:pPr>
      <w:r>
        <w:rPr>
          <w:b/>
          <w:i w:val="0"/>
        </w:rPr>
        <w:t>Conversion of SPGI awards:</w:t>
      </w:r>
      <w:r>
        <w:rPr>
          <w:b w:val="0"/>
          <w:i w:val="0"/>
        </w:rPr>
        <w:t xml:space="preserve"> RSUs convert like-for-like; in-flight PSUs convert on actual performance to the distribution and </w:t>
      </w:r>
      <w:r>
        <w:rPr>
          <w:b/>
          <w:i w:val="0"/>
        </w:rPr>
        <w:t>2026 PSUs convert at target into time-based RSUs</w:t>
      </w:r>
      <w:r>
        <w:rPr>
          <w:b w:val="0"/>
          <w:i w:val="0"/>
        </w:rPr>
        <w:t xml:space="preserve"> </w:t>
      </w:r>
      <w:r>
        <w:rPr>
          <w:b/>
          <w:color w:val="2E548C"/>
          <w:sz w:val="16"/>
        </w:rPr>
        <w:t>[D]</w:t>
      </w:r>
      <w:r>
        <w:rPr>
          <w:b w:val="0"/>
          <w:i w:val="0"/>
        </w:rPr>
        <w:t xml:space="preserve"> — effectively no performance-conditioned equity for ~FY26–28 </w:t>
      </w:r>
      <w:r>
        <w:rPr>
          <w:b/>
          <w:color w:val="2E548C"/>
          <w:sz w:val="16"/>
        </w:rPr>
        <w:t>[E]</w:t>
      </w:r>
      <w:r>
        <w:rPr>
          <w:b w:val="0"/>
          <w:i w:val="0"/>
        </w:rPr>
        <w:t>.</w:t>
      </w:r>
    </w:p>
    <w:p>
      <w:pPr>
        <w:pStyle w:val="ListBullet"/>
      </w:pPr>
      <w:r>
        <w:rPr>
          <w:b/>
          <w:i w:val="0"/>
        </w:rPr>
        <w:t>Annual Incentive Plan (Ex.10.17):</w:t>
      </w:r>
      <w:r>
        <w:rPr>
          <w:b w:val="0"/>
          <w:i w:val="0"/>
        </w:rPr>
        <w:t xml:space="preserve"> salary × target × Company Performance Factor × Individual Performance Factor; metrics not disclosed; committee may adjust goals mid-year </w:t>
      </w:r>
      <w:r>
        <w:rPr>
          <w:b/>
          <w:color w:val="2E548C"/>
          <w:sz w:val="16"/>
        </w:rPr>
        <w:t>[D]</w:t>
      </w:r>
      <w:r>
        <w:rPr>
          <w:b w:val="0"/>
          <w:i w:val="0"/>
        </w:rPr>
        <w:t>.</w:t>
      </w:r>
    </w:p>
    <w:p>
      <w:pPr>
        <w:pStyle w:val="ListBullet"/>
      </w:pPr>
      <w:r>
        <w:rPr>
          <w:b/>
          <w:i w:val="0"/>
        </w:rPr>
        <w:t>Executive Severance Plan (Ex.10.18):</w:t>
      </w:r>
      <w:r>
        <w:rPr>
          <w:b w:val="0"/>
          <w:i w:val="0"/>
        </w:rPr>
        <w:t xml:space="preserve"> CEO 2× base (non-CIC) and 2× (base + target bonus) on CIC, double trigger, no gross-up; Good Reason includes any cut in target bonus </w:t>
      </w:r>
      <w:r>
        <w:rPr>
          <w:b/>
          <w:color w:val="2E548C"/>
          <w:sz w:val="16"/>
        </w:rPr>
        <w:t>[D]</w:t>
      </w:r>
      <w:r>
        <w:rPr>
          <w:b w:val="0"/>
          <w:i w:val="0"/>
        </w:rPr>
        <w:t>.</w:t>
      </w:r>
    </w:p>
    <w:p>
      <w:pPr>
        <w:pStyle w:val="ListBullet"/>
      </w:pPr>
      <w:r>
        <w:rPr>
          <w:b/>
          <w:i w:val="0"/>
        </w:rPr>
        <w:t>Ownership:</w:t>
      </w:r>
      <w:r>
        <w:rPr>
          <w:b w:val="0"/>
          <w:i w:val="0"/>
        </w:rPr>
        <w:t xml:space="preserve"> all directors and officers &lt;1% </w:t>
      </w:r>
      <w:r>
        <w:rPr>
          <w:b/>
          <w:color w:val="2E548C"/>
          <w:sz w:val="16"/>
        </w:rPr>
        <w:t>[D]</w:t>
      </w:r>
      <w:r>
        <w:rPr>
          <w:b w:val="0"/>
          <w:i w:val="0"/>
        </w:rPr>
        <w:t xml:space="preserve">; no ownership guidelines disclosed; BlackRock 8.21% and Vanguard 7.59% </w:t>
      </w:r>
      <w:r>
        <w:rPr>
          <w:b/>
          <w:color w:val="2E548C"/>
          <w:sz w:val="16"/>
        </w:rPr>
        <w:t>[D]</w:t>
      </w:r>
      <w:r>
        <w:rPr>
          <w:b w:val="0"/>
          <w:i w:val="0"/>
        </w:rPr>
        <w:t xml:space="preserve">. SBC was ~1.3% of revenue in FY25 </w:t>
      </w:r>
      <w:r>
        <w:rPr>
          <w:b/>
          <w:color w:val="2E548C"/>
          <w:sz w:val="16"/>
        </w:rPr>
        <w:t>[C]</w:t>
      </w:r>
      <w:r>
        <w:rPr>
          <w:b w:val="0"/>
          <w:i w:val="0"/>
        </w:rPr>
        <w:t xml:space="preserve">, guided to 3–4% </w:t>
      </w:r>
      <w:r>
        <w:rPr>
          <w:b/>
          <w:color w:val="2E548C"/>
          <w:sz w:val="16"/>
        </w:rPr>
        <w:t>[IR]</w:t>
      </w:r>
      <w:r>
        <w:rPr>
          <w:b w:val="0"/>
          <w:i w:val="0"/>
        </w:rPr>
        <w:t xml:space="preserve"> (≈$56–75m on FY26 revenue </w:t>
      </w:r>
      <w:r>
        <w:rPr>
          <w:b/>
          <w:color w:val="2E548C"/>
          <w:sz w:val="16"/>
        </w:rPr>
        <w:t>[C]</w:t>
      </w:r>
      <w:r>
        <w:rPr>
          <w:b w:val="0"/>
          <w:i w:val="0"/>
        </w:rPr>
        <w:t>).</w:t>
      </w:r>
    </w:p>
    <w:p>
      <w:pPr>
        <w:keepNext/>
        <w:spacing w:before="80" w:after="40"/>
      </w:pPr>
      <w:r>
        <w:rPr>
          <w:b/>
          <w:i w:val="0"/>
          <w:color w:val="1F3864"/>
          <w:sz w:val="17"/>
        </w:rPr>
        <w:t>Exhibit 13.6 — Incentive misalignment risks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432"/>
        <w:gridCol w:w="4896"/>
        <w:gridCol w:w="2880"/>
        <w:gridCol w:w="1584"/>
      </w:tblGrid>
      <w:tr>
        <w:trPr>
          <w:cantSplit/>
          <w:tblHeader/>
        </w:trPr>
        <w:tc>
          <w:tcPr>
            <w:tcW w:type="dxa" w:w="432"/>
            <w:shd w:val="clear" w:color="auto" w:fill="1F3864"/>
          </w:tcPr>
          <w:p>
            <w:pPr>
              <w:spacing w:after="0" w:line="240" w:lineRule="auto"/>
            </w:pPr>
            <w:r>
              <w:rPr>
                <w:b/>
                <w:i w:val="0"/>
                <w:color w:val="FFFFFF"/>
                <w:sz w:val="15"/>
              </w:rPr>
              <w:t>#</w:t>
            </w:r>
          </w:p>
        </w:tc>
        <w:tc>
          <w:tcPr>
            <w:tcW w:type="dxa" w:w="4896"/>
            <w:shd w:val="clear" w:color="auto" w:fill="1F3864"/>
          </w:tcPr>
          <w:p>
            <w:pPr>
              <w:spacing w:after="0" w:line="240" w:lineRule="auto"/>
            </w:pPr>
            <w:r>
              <w:rPr>
                <w:b/>
                <w:i w:val="0"/>
                <w:color w:val="FFFFFF"/>
                <w:sz w:val="15"/>
              </w:rPr>
              <w:t>Risk</w:t>
            </w:r>
          </w:p>
        </w:tc>
        <w:tc>
          <w:tcPr>
            <w:tcW w:type="dxa" w:w="2880"/>
            <w:shd w:val="clear" w:color="auto" w:fill="1F3864"/>
          </w:tcPr>
          <w:p>
            <w:pPr>
              <w:spacing w:after="0" w:line="240" w:lineRule="auto"/>
            </w:pPr>
            <w:r>
              <w:rPr>
                <w:b/>
                <w:i w:val="0"/>
                <w:color w:val="FFFFFF"/>
                <w:sz w:val="15"/>
              </w:rPr>
              <w:t>Evidence</w:t>
            </w:r>
          </w:p>
        </w:tc>
        <w:tc>
          <w:tcPr>
            <w:tcW w:type="dxa" w:w="1584"/>
            <w:shd w:val="clear" w:color="auto" w:fill="1F3864"/>
          </w:tcPr>
          <w:p>
            <w:pPr>
              <w:spacing w:after="0" w:line="240" w:lineRule="auto"/>
            </w:pPr>
            <w:r>
              <w:rPr>
                <w:b/>
                <w:i w:val="0"/>
                <w:color w:val="FFFFFF"/>
                <w:sz w:val="15"/>
              </w:rPr>
              <w:t>Tag</w:t>
            </w:r>
          </w:p>
        </w:tc>
      </w:tr>
      <w:tr>
        <w:trPr>
          <w:cantSplit/>
        </w:trPr>
        <w:tc>
          <w:tcPr>
            <w:tcW w:type="dxa" w:w="432"/>
          </w:tcPr>
          <w:p>
            <w:pPr>
              <w:spacing w:after="0" w:line="240" w:lineRule="auto"/>
            </w:pPr>
            <w:r>
              <w:rPr>
                <w:b w:val="0"/>
                <w:i w:val="0"/>
                <w:sz w:val="15"/>
              </w:rPr>
              <w:t>1</w:t>
            </w:r>
          </w:p>
        </w:tc>
        <w:tc>
          <w:tcPr>
            <w:tcW w:type="dxa" w:w="4896"/>
          </w:tcPr>
          <w:p>
            <w:pPr>
              <w:spacing w:after="0" w:line="240" w:lineRule="auto"/>
            </w:pPr>
            <w:r>
              <w:rPr>
                <w:b/>
                <w:i w:val="0"/>
                <w:sz w:val="15"/>
              </w:rPr>
              <w:t>Adj. EBITDA excludes SBC, transaction costs and severance.</w:t>
            </w:r>
            <w:r>
              <w:rPr>
                <w:b w:val="0"/>
                <w:i w:val="0"/>
                <w:sz w:val="15"/>
              </w:rPr>
              <w:t xml:space="preserve"> If the 2026+ STI/LTI uses Adj. EBITDA, the planned 3-4× SBC ramp (+$34-53m a year) never reaches the bonus metric.</w:t>
            </w:r>
          </w:p>
        </w:tc>
        <w:tc>
          <w:tcPr>
            <w:tcW w:type="dxa" w:w="2880"/>
          </w:tcPr>
          <w:p>
            <w:pPr>
              <w:spacing w:after="0" w:line="240" w:lineRule="auto"/>
            </w:pPr>
            <w:r>
              <w:rPr>
                <w:b w:val="0"/>
                <w:i w:val="0"/>
                <w:sz w:val="15"/>
              </w:rPr>
              <w:t>10-Q p.14 definition; IDay CFO quote</w:t>
            </w:r>
          </w:p>
        </w:tc>
        <w:tc>
          <w:tcPr>
            <w:tcW w:type="dxa" w:w="1584"/>
          </w:tcPr>
          <w:p>
            <w:pPr>
              <w:spacing w:after="0" w:line="240" w:lineRule="auto"/>
            </w:pPr>
            <w:r>
              <w:rPr>
                <w:b/>
                <w:color w:val="2E548C"/>
                <w:sz w:val="12"/>
              </w:rPr>
              <w:t>[D]</w:t>
            </w:r>
            <w:r>
              <w:rPr>
                <w:b w:val="0"/>
                <w:i w:val="0"/>
                <w:sz w:val="15"/>
              </w:rPr>
              <w:t>/</w:t>
            </w:r>
            <w:r>
              <w:rPr>
                <w:b/>
                <w:color w:val="2E548C"/>
                <w:sz w:val="12"/>
              </w:rPr>
              <w:t>[C]</w:t>
            </w:r>
            <w:r>
              <w:rPr>
                <w:b w:val="0"/>
                <w:i w:val="0"/>
                <w:sz w:val="15"/>
              </w:rPr>
              <w:t>/</w:t>
            </w:r>
            <w:r>
              <w:rPr>
                <w:b/>
                <w:color w:val="2E548C"/>
                <w:sz w:val="12"/>
              </w:rPr>
              <w:t>[E]</w:t>
            </w:r>
          </w:p>
        </w:tc>
      </w:tr>
      <w:tr>
        <w:trPr>
          <w:cantSplit/>
        </w:trPr>
        <w:tc>
          <w:tcPr>
            <w:tcW w:type="dxa" w:w="432"/>
            <w:shd w:val="clear" w:color="auto" w:fill="D9E1F2"/>
          </w:tcPr>
          <w:p>
            <w:pPr>
              <w:spacing w:after="0" w:line="240" w:lineRule="auto"/>
            </w:pPr>
            <w:r>
              <w:rPr>
                <w:b w:val="0"/>
                <w:i w:val="0"/>
                <w:sz w:val="15"/>
              </w:rPr>
              <w:t>2</w:t>
            </w:r>
          </w:p>
        </w:tc>
        <w:tc>
          <w:tcPr>
            <w:tcW w:type="dxa" w:w="4896"/>
            <w:shd w:val="clear" w:color="auto" w:fill="D9E1F2"/>
          </w:tcPr>
          <w:p>
            <w:pPr>
              <w:spacing w:after="0" w:line="240" w:lineRule="auto"/>
            </w:pPr>
            <w:r>
              <w:rPr>
                <w:b/>
                <w:i w:val="0"/>
                <w:sz w:val="15"/>
              </w:rPr>
              <w:t>Committee discretion is unlimited.</w:t>
            </w:r>
            <w:r>
              <w:rPr>
                <w:b w:val="0"/>
                <w:i w:val="0"/>
                <w:sz w:val="15"/>
              </w:rPr>
              <w:t xml:space="preserve"> It can adjust metrics, goals and payouts mid-year, amend outstanding awards, and set "ICP Adjusted" definitions.</w:t>
            </w:r>
          </w:p>
        </w:tc>
        <w:tc>
          <w:tcPr>
            <w:tcW w:type="dxa" w:w="2880"/>
            <w:shd w:val="clear" w:color="auto" w:fill="D9E1F2"/>
          </w:tcPr>
          <w:p>
            <w:pPr>
              <w:spacing w:after="0" w:line="240" w:lineRule="auto"/>
            </w:pPr>
            <w:r>
              <w:rPr>
                <w:b w:val="0"/>
                <w:i w:val="0"/>
                <w:sz w:val="15"/>
              </w:rPr>
              <w:t>10-Q pp.174-176; 10/A p.410</w:t>
            </w:r>
          </w:p>
        </w:tc>
        <w:tc>
          <w:tcPr>
            <w:tcW w:type="dxa" w:w="1584"/>
            <w:shd w:val="clear" w:color="auto" w:fill="D9E1F2"/>
          </w:tcPr>
          <w:p>
            <w:pPr>
              <w:spacing w:after="0" w:line="240" w:lineRule="auto"/>
            </w:pPr>
            <w:r>
              <w:rPr>
                <w:b/>
                <w:color w:val="2E548C"/>
                <w:sz w:val="12"/>
              </w:rPr>
              <w:t>[D]</w:t>
            </w:r>
          </w:p>
        </w:tc>
      </w:tr>
      <w:tr>
        <w:trPr>
          <w:cantSplit/>
        </w:trPr>
        <w:tc>
          <w:tcPr>
            <w:tcW w:type="dxa" w:w="432"/>
          </w:tcPr>
          <w:p>
            <w:pPr>
              <w:spacing w:after="0" w:line="240" w:lineRule="auto"/>
            </w:pPr>
            <w:r>
              <w:rPr>
                <w:b w:val="0"/>
                <w:i w:val="0"/>
                <w:sz w:val="15"/>
              </w:rPr>
              <w:t>3</w:t>
            </w:r>
          </w:p>
        </w:tc>
        <w:tc>
          <w:tcPr>
            <w:tcW w:type="dxa" w:w="4896"/>
          </w:tcPr>
          <w:p>
            <w:pPr>
              <w:spacing w:after="0" w:line="240" w:lineRule="auto"/>
            </w:pPr>
            <w:r>
              <w:rPr>
                <w:b/>
                <w:i w:val="0"/>
                <w:sz w:val="15"/>
              </w:rPr>
              <w:t>There is no performance-conditioned equity in the first ~2 years.</w:t>
            </w:r>
            <w:r>
              <w:rPr>
                <w:b w:val="0"/>
                <w:i w:val="0"/>
                <w:sz w:val="15"/>
              </w:rPr>
              <w:t xml:space="preserve"> PSUs became time RSUs; 2026 PSUs converted at target.</w:t>
            </w:r>
          </w:p>
        </w:tc>
        <w:tc>
          <w:tcPr>
            <w:tcW w:type="dxa" w:w="2880"/>
          </w:tcPr>
          <w:p>
            <w:pPr>
              <w:spacing w:after="0" w:line="240" w:lineRule="auto"/>
            </w:pPr>
            <w:r>
              <w:rPr>
                <w:b w:val="0"/>
                <w:i w:val="0"/>
                <w:sz w:val="15"/>
              </w:rPr>
              <w:t>10/A p.394</w:t>
            </w:r>
          </w:p>
        </w:tc>
        <w:tc>
          <w:tcPr>
            <w:tcW w:type="dxa" w:w="1584"/>
          </w:tcPr>
          <w:p>
            <w:pPr>
              <w:spacing w:after="0" w:line="240" w:lineRule="auto"/>
            </w:pPr>
            <w:r>
              <w:rPr>
                <w:b/>
                <w:color w:val="2E548C"/>
                <w:sz w:val="12"/>
              </w:rPr>
              <w:t>[D]</w:t>
            </w:r>
            <w:r>
              <w:rPr>
                <w:b w:val="0"/>
                <w:i w:val="0"/>
                <w:sz w:val="15"/>
              </w:rPr>
              <w:t>/</w:t>
            </w:r>
            <w:r>
              <w:rPr>
                <w:b/>
                <w:color w:val="2E548C"/>
                <w:sz w:val="12"/>
              </w:rPr>
              <w:t>[E]</w:t>
            </w:r>
          </w:p>
        </w:tc>
      </w:tr>
      <w:tr>
        <w:trPr>
          <w:cantSplit/>
        </w:trPr>
        <w:tc>
          <w:tcPr>
            <w:tcW w:type="dxa" w:w="432"/>
            <w:shd w:val="clear" w:color="auto" w:fill="D9E1F2"/>
          </w:tcPr>
          <w:p>
            <w:pPr>
              <w:spacing w:after="0" w:line="240" w:lineRule="auto"/>
            </w:pPr>
            <w:r>
              <w:rPr>
                <w:b w:val="0"/>
                <w:i w:val="0"/>
                <w:sz w:val="15"/>
              </w:rPr>
              <w:t>4</w:t>
            </w:r>
          </w:p>
        </w:tc>
        <w:tc>
          <w:tcPr>
            <w:tcW w:type="dxa" w:w="4896"/>
            <w:shd w:val="clear" w:color="auto" w:fill="D9E1F2"/>
          </w:tcPr>
          <w:p>
            <w:pPr>
              <w:spacing w:after="0" w:line="240" w:lineRule="auto"/>
            </w:pPr>
            <w:r>
              <w:rPr>
                <w:b/>
                <w:i w:val="0"/>
                <w:sz w:val="15"/>
              </w:rPr>
              <w:t>There are no MBGL metrics yet</w:t>
            </w:r>
            <w:r>
              <w:rPr>
                <w:b w:val="0"/>
                <w:i w:val="0"/>
                <w:sz w:val="15"/>
              </w:rPr>
              <w:t>, and there is no relative TSR anywhere in history. Pay has never been tied to shareholder return versus peers.</w:t>
            </w:r>
          </w:p>
        </w:tc>
        <w:tc>
          <w:tcPr>
            <w:tcW w:type="dxa" w:w="2880"/>
            <w:shd w:val="clear" w:color="auto" w:fill="D9E1F2"/>
          </w:tcPr>
          <w:p>
            <w:pPr>
              <w:spacing w:after="0" w:line="240" w:lineRule="auto"/>
            </w:pPr>
            <w:r>
              <w:rPr>
                <w:b w:val="0"/>
                <w:i w:val="0"/>
                <w:sz w:val="15"/>
              </w:rPr>
              <w:t>10/A pp.396-397; 10-Q Ex.10.17</w:t>
            </w:r>
          </w:p>
        </w:tc>
        <w:tc>
          <w:tcPr>
            <w:tcW w:type="dxa" w:w="1584"/>
            <w:shd w:val="clear" w:color="auto" w:fill="D9E1F2"/>
          </w:tcPr>
          <w:p>
            <w:pPr>
              <w:spacing w:after="0" w:line="240" w:lineRule="auto"/>
            </w:pPr>
            <w:r>
              <w:rPr>
                <w:b/>
                <w:color w:val="2E548C"/>
                <w:sz w:val="12"/>
              </w:rPr>
              <w:t>[D]</w:t>
            </w:r>
            <w:r>
              <w:rPr>
                <w:b w:val="0"/>
                <w:i w:val="0"/>
                <w:sz w:val="15"/>
              </w:rPr>
              <w:t>/</w:t>
            </w:r>
            <w:r>
              <w:rPr>
                <w:b/>
                <w:color w:val="2E548C"/>
                <w:sz w:val="12"/>
              </w:rPr>
              <w:t>[E]</w:t>
            </w:r>
          </w:p>
        </w:tc>
      </w:tr>
      <w:tr>
        <w:trPr>
          <w:cantSplit/>
        </w:trPr>
        <w:tc>
          <w:tcPr>
            <w:tcW w:type="dxa" w:w="432"/>
          </w:tcPr>
          <w:p>
            <w:pPr>
              <w:spacing w:after="0" w:line="240" w:lineRule="auto"/>
            </w:pPr>
            <w:r>
              <w:rPr>
                <w:b w:val="0"/>
                <w:i w:val="0"/>
                <w:sz w:val="15"/>
              </w:rPr>
              <w:t>5</w:t>
            </w:r>
          </w:p>
        </w:tc>
        <w:tc>
          <w:tcPr>
            <w:tcW w:type="dxa" w:w="4896"/>
          </w:tcPr>
          <w:p>
            <w:pPr>
              <w:spacing w:after="0" w:line="240" w:lineRule="auto"/>
            </w:pPr>
            <w:r>
              <w:rPr>
                <w:b/>
                <w:i w:val="0"/>
                <w:sz w:val="15"/>
              </w:rPr>
              <w:t>The pool is large and recycles shares.</w:t>
            </w:r>
            <w:r>
              <w:rPr>
                <w:b w:val="0"/>
                <w:i w:val="0"/>
                <w:sz w:val="15"/>
              </w:rPr>
              <w:t xml:space="preserve"> 14% (about 41m shares) plus recycling, with converted awards outside the cap, is generous against a typical 5-10% spin pool. The peer range is our judgment.</w:t>
            </w:r>
          </w:p>
        </w:tc>
        <w:tc>
          <w:tcPr>
            <w:tcW w:type="dxa" w:w="2880"/>
          </w:tcPr>
          <w:p>
            <w:pPr>
              <w:spacing w:after="0" w:line="240" w:lineRule="auto"/>
            </w:pPr>
            <w:r>
              <w:rPr>
                <w:b w:val="0"/>
                <w:i w:val="0"/>
                <w:sz w:val="15"/>
              </w:rPr>
              <w:t>10/A p.408</w:t>
            </w:r>
          </w:p>
        </w:tc>
        <w:tc>
          <w:tcPr>
            <w:tcW w:type="dxa" w:w="1584"/>
          </w:tcPr>
          <w:p>
            <w:pPr>
              <w:spacing w:after="0" w:line="240" w:lineRule="auto"/>
            </w:pPr>
            <w:r>
              <w:rPr>
                <w:b/>
                <w:color w:val="2E548C"/>
                <w:sz w:val="12"/>
              </w:rPr>
              <w:t>[D]</w:t>
            </w:r>
            <w:r>
              <w:rPr>
                <w:b w:val="0"/>
                <w:i w:val="0"/>
                <w:sz w:val="15"/>
              </w:rPr>
              <w:t>/</w:t>
            </w:r>
            <w:r>
              <w:rPr>
                <w:b/>
                <w:color w:val="2E548C"/>
                <w:sz w:val="12"/>
              </w:rPr>
              <w:t>[C]</w:t>
            </w:r>
            <w:r>
              <w:rPr>
                <w:b w:val="0"/>
                <w:i w:val="0"/>
                <w:sz w:val="15"/>
              </w:rPr>
              <w:t>/</w:t>
            </w:r>
            <w:r>
              <w:rPr>
                <w:b/>
                <w:color w:val="2E548C"/>
                <w:sz w:val="12"/>
              </w:rPr>
              <w:t>[E]</w:t>
            </w:r>
          </w:p>
        </w:tc>
      </w:tr>
      <w:tr>
        <w:trPr>
          <w:cantSplit/>
        </w:trPr>
        <w:tc>
          <w:tcPr>
            <w:tcW w:type="dxa" w:w="432"/>
            <w:shd w:val="clear" w:color="auto" w:fill="D9E1F2"/>
          </w:tcPr>
          <w:p>
            <w:pPr>
              <w:spacing w:after="0" w:line="240" w:lineRule="auto"/>
            </w:pPr>
            <w:r>
              <w:rPr>
                <w:b w:val="0"/>
                <w:i w:val="0"/>
                <w:sz w:val="15"/>
              </w:rPr>
              <w:t>6</w:t>
            </w:r>
          </w:p>
        </w:tc>
        <w:tc>
          <w:tcPr>
            <w:tcW w:type="dxa" w:w="4896"/>
            <w:shd w:val="clear" w:color="auto" w:fill="D9E1F2"/>
          </w:tcPr>
          <w:p>
            <w:pPr>
              <w:spacing w:after="0" w:line="240" w:lineRule="auto"/>
            </w:pPr>
            <w:r>
              <w:rPr>
                <w:b/>
                <w:i w:val="0"/>
                <w:sz w:val="15"/>
              </w:rPr>
              <w:t>Severance Good Reason is hair-trigger.</w:t>
            </w:r>
            <w:r>
              <w:rPr>
                <w:b w:val="0"/>
                <w:i w:val="0"/>
                <w:sz w:val="15"/>
              </w:rPr>
              <w:t xml:space="preserve"> Any cut in target bonus counts. CIC equity treatment is discretionary and may include single-trigger acceleration.</w:t>
            </w:r>
          </w:p>
        </w:tc>
        <w:tc>
          <w:tcPr>
            <w:tcW w:type="dxa" w:w="2880"/>
            <w:shd w:val="clear" w:color="auto" w:fill="D9E1F2"/>
          </w:tcPr>
          <w:p>
            <w:pPr>
              <w:spacing w:after="0" w:line="240" w:lineRule="auto"/>
            </w:pPr>
            <w:r>
              <w:rPr>
                <w:b w:val="0"/>
                <w:i w:val="0"/>
                <w:sz w:val="15"/>
              </w:rPr>
              <w:t>10-Q p.180; 10/A p.410</w:t>
            </w:r>
          </w:p>
        </w:tc>
        <w:tc>
          <w:tcPr>
            <w:tcW w:type="dxa" w:w="1584"/>
            <w:shd w:val="clear" w:color="auto" w:fill="D9E1F2"/>
          </w:tcPr>
          <w:p>
            <w:pPr>
              <w:spacing w:after="0" w:line="240" w:lineRule="auto"/>
            </w:pPr>
            <w:r>
              <w:rPr>
                <w:b/>
                <w:color w:val="2E548C"/>
                <w:sz w:val="12"/>
              </w:rPr>
              <w:t>[D]</w:t>
            </w:r>
            <w:r>
              <w:rPr>
                <w:b w:val="0"/>
                <w:i w:val="0"/>
                <w:sz w:val="15"/>
              </w:rPr>
              <w:t>/</w:t>
            </w:r>
            <w:r>
              <w:rPr>
                <w:b/>
                <w:color w:val="2E548C"/>
                <w:sz w:val="12"/>
              </w:rPr>
              <w:t>[E]</w:t>
            </w:r>
          </w:p>
        </w:tc>
      </w:tr>
      <w:tr>
        <w:trPr>
          <w:cantSplit/>
        </w:trPr>
        <w:tc>
          <w:tcPr>
            <w:tcW w:type="dxa" w:w="432"/>
          </w:tcPr>
          <w:p>
            <w:pPr>
              <w:spacing w:after="0" w:line="240" w:lineRule="auto"/>
            </w:pPr>
            <w:r>
              <w:rPr>
                <w:b w:val="0"/>
                <w:i w:val="0"/>
                <w:sz w:val="15"/>
              </w:rPr>
              <w:t>7</w:t>
            </w:r>
          </w:p>
        </w:tc>
        <w:tc>
          <w:tcPr>
            <w:tcW w:type="dxa" w:w="4896"/>
          </w:tcPr>
          <w:p>
            <w:pPr>
              <w:spacing w:after="0" w:line="240" w:lineRule="auto"/>
            </w:pPr>
            <w:r>
              <w:rPr>
                <w:b/>
                <w:i w:val="0"/>
                <w:sz w:val="15"/>
              </w:rPr>
              <w:t>There is no ownership guideline and insider stakes are under 1%.</w:t>
            </w:r>
            <w:r>
              <w:rPr>
                <w:b w:val="0"/>
                <w:i w:val="0"/>
                <w:sz w:val="15"/>
              </w:rPr>
              <w:t xml:space="preserve"> Alignment rests on unvested awards.</w:t>
            </w:r>
          </w:p>
        </w:tc>
        <w:tc>
          <w:tcPr>
            <w:tcW w:type="dxa" w:w="2880"/>
          </w:tcPr>
          <w:p>
            <w:pPr>
              <w:spacing w:after="0" w:line="240" w:lineRule="auto"/>
            </w:pPr>
            <w:r>
              <w:rPr>
                <w:b w:val="0"/>
                <w:i w:val="0"/>
                <w:sz w:val="15"/>
              </w:rPr>
              <w:t>10/A p.414</w:t>
            </w:r>
          </w:p>
        </w:tc>
        <w:tc>
          <w:tcPr>
            <w:tcW w:type="dxa" w:w="1584"/>
          </w:tcPr>
          <w:p>
            <w:pPr>
              <w:spacing w:after="0" w:line="240" w:lineRule="auto"/>
            </w:pPr>
            <w:r>
              <w:rPr>
                <w:b/>
                <w:color w:val="2E548C"/>
                <w:sz w:val="12"/>
              </w:rPr>
              <w:t>[D]</w:t>
            </w:r>
          </w:p>
        </w:tc>
      </w:tr>
      <w:tr>
        <w:trPr>
          <w:cantSplit/>
        </w:trPr>
        <w:tc>
          <w:tcPr>
            <w:tcW w:type="dxa" w:w="432"/>
            <w:shd w:val="clear" w:color="auto" w:fill="D9E1F2"/>
          </w:tcPr>
          <w:p>
            <w:pPr>
              <w:spacing w:after="0" w:line="240" w:lineRule="auto"/>
            </w:pPr>
            <w:r>
              <w:rPr>
                <w:b w:val="0"/>
                <w:i w:val="0"/>
                <w:sz w:val="15"/>
              </w:rPr>
              <w:t>8</w:t>
            </w:r>
          </w:p>
        </w:tc>
        <w:tc>
          <w:tcPr>
            <w:tcW w:type="dxa" w:w="4896"/>
            <w:shd w:val="clear" w:color="auto" w:fill="D9E1F2"/>
          </w:tcPr>
          <w:p>
            <w:pPr>
              <w:spacing w:after="0" w:line="240" w:lineRule="auto"/>
            </w:pPr>
            <w:r>
              <w:rPr>
                <w:b/>
                <w:i w:val="0"/>
                <w:sz w:val="15"/>
              </w:rPr>
              <w:t>Governance optics.</w:t>
            </w:r>
            <w:r>
              <w:rPr>
                <w:b w:val="0"/>
                <w:i w:val="0"/>
                <w:sz w:val="15"/>
              </w:rPr>
              <w:t xml:space="preserve"> The N&amp;C chair is an ex-SPGI director. A sitting SPGI CFO is on the board. The CEO's brother was paid $646,596 cash in FY25 plus a $500k transition payment in 2026.</w:t>
            </w:r>
          </w:p>
        </w:tc>
        <w:tc>
          <w:tcPr>
            <w:tcW w:type="dxa" w:w="2880"/>
            <w:shd w:val="clear" w:color="auto" w:fill="D9E1F2"/>
          </w:tcPr>
          <w:p>
            <w:pPr>
              <w:spacing w:after="0" w:line="240" w:lineRule="auto"/>
            </w:pPr>
            <w:r>
              <w:rPr>
                <w:b w:val="0"/>
                <w:i w:val="0"/>
                <w:sz w:val="15"/>
              </w:rPr>
              <w:t>10/A pp.387-388, 411</w:t>
            </w:r>
          </w:p>
        </w:tc>
        <w:tc>
          <w:tcPr>
            <w:tcW w:type="dxa" w:w="1584"/>
            <w:shd w:val="clear" w:color="auto" w:fill="D9E1F2"/>
          </w:tcPr>
          <w:p>
            <w:pPr>
              <w:spacing w:after="0" w:line="240" w:lineRule="auto"/>
            </w:pPr>
            <w:r>
              <w:rPr>
                <w:b/>
                <w:color w:val="2E548C"/>
                <w:sz w:val="12"/>
              </w:rPr>
              <w:t>[D]</w:t>
            </w:r>
          </w:p>
        </w:tc>
      </w:tr>
      <w:tr>
        <w:trPr>
          <w:cantSplit/>
        </w:trPr>
        <w:tc>
          <w:tcPr>
            <w:tcW w:type="dxa" w:w="432"/>
          </w:tcPr>
          <w:p>
            <w:pPr>
              <w:spacing w:after="0" w:line="240" w:lineRule="auto"/>
            </w:pPr>
            <w:r>
              <w:rPr>
                <w:b w:val="0"/>
                <w:i w:val="0"/>
                <w:sz w:val="15"/>
              </w:rPr>
              <w:t>9</w:t>
            </w:r>
          </w:p>
        </w:tc>
        <w:tc>
          <w:tcPr>
            <w:tcW w:type="dxa" w:w="4896"/>
          </w:tcPr>
          <w:p>
            <w:pPr>
              <w:spacing w:after="0" w:line="240" w:lineRule="auto"/>
            </w:pPr>
            <w:r>
              <w:rPr>
                <w:b/>
                <w:i w:val="0"/>
                <w:sz w:val="15"/>
              </w:rPr>
              <w:t>The CFO's founder-share option is open-ended.</w:t>
            </w:r>
            <w:r>
              <w:rPr>
                <w:b w:val="0"/>
                <w:i w:val="0"/>
                <w:sz w:val="15"/>
              </w:rPr>
              <w:t xml:space="preserve"> A future one-off grant outside normal cycles remains possible.</w:t>
            </w:r>
          </w:p>
        </w:tc>
        <w:tc>
          <w:tcPr>
            <w:tcW w:type="dxa" w:w="2880"/>
          </w:tcPr>
          <w:p>
            <w:pPr>
              <w:spacing w:after="0" w:line="240" w:lineRule="auto"/>
            </w:pPr>
            <w:r>
              <w:rPr>
                <w:b w:val="0"/>
                <w:i w:val="0"/>
                <w:sz w:val="15"/>
              </w:rPr>
              <w:t>F10 p.186</w:t>
            </w:r>
          </w:p>
        </w:tc>
        <w:tc>
          <w:tcPr>
            <w:tcW w:type="dxa" w:w="1584"/>
          </w:tcPr>
          <w:p>
            <w:pPr>
              <w:spacing w:after="0" w:line="240" w:lineRule="auto"/>
            </w:pPr>
            <w:r>
              <w:rPr>
                <w:b/>
                <w:color w:val="2E548C"/>
                <w:sz w:val="12"/>
              </w:rPr>
              <w:t>[D]</w:t>
            </w:r>
            <w:r>
              <w:rPr>
                <w:b w:val="0"/>
                <w:i w:val="0"/>
                <w:sz w:val="15"/>
              </w:rPr>
              <w:t>/</w:t>
            </w:r>
            <w:r>
              <w:rPr>
                <w:b/>
                <w:color w:val="2E548C"/>
                <w:sz w:val="12"/>
              </w:rPr>
              <w:t>[E]</w:t>
            </w:r>
          </w:p>
        </w:tc>
      </w:tr>
    </w:tbl>
    <w:p>
      <w:pPr>
        <w:spacing w:after="120"/>
      </w:pPr>
      <w:r>
        <w:rPr>
          <w:b w:val="0"/>
          <w:i/>
          <w:color w:val="595959"/>
          <w:sz w:val="15"/>
        </w:rPr>
        <w:t>Source: analysis/D5_incentives.md §5.</w:t>
      </w:r>
    </w:p>
    <w:p>
      <w:r>
        <w:rPr>
          <w:b w:val="0"/>
          <w:i w:val="0"/>
        </w:rPr>
        <w:t xml:space="preserve">Counter-view (D5): unit EBITA metrics are defensible for a 40%+ margin data business; converting PSUs on actual performance is the shareholder-friendly spin variant; severance terms are mid-market. To resolve: </w:t>
      </w:r>
      <w:r>
        <w:rPr>
          <w:b/>
          <w:color w:val="E36C09"/>
        </w:rPr>
        <w:t>[TO COLLECT #69: first DEF 14A (~Apr-2027): FY26 STI metrics and weights, 2027 PSU design (TSR / FCF per share), ownership guidelines]</w:t>
      </w:r>
      <w:r>
        <w:rPr>
          <w:b w:val="0"/>
          <w:i w:val="0"/>
        </w:rPr>
        <w:t xml:space="preserve">; </w:t>
      </w:r>
      <w:r>
        <w:rPr>
          <w:b/>
          <w:color w:val="E36C09"/>
        </w:rPr>
        <w:t>[TO COLLECT #70: beneficial-ownership share counts for directors and officers (flattened in Quartr text)]</w:t>
      </w:r>
      <w:r>
        <w:rPr>
          <w:b w:val="0"/>
          <w:i w:val="0"/>
        </w:rPr>
        <w:t xml:space="preserve">; </w:t>
      </w:r>
      <w:r>
        <w:rPr>
          <w:b/>
          <w:color w:val="E36C09"/>
        </w:rPr>
        <w:t>[TO COLLECT #71: any Item 5.02 8-K founder or spin grants]</w:t>
      </w:r>
      <w:r>
        <w:rPr>
          <w:b w:val="0"/>
          <w:i w:val="0"/>
        </w:rPr>
        <w:t>.</w:t>
      </w:r>
    </w:p>
    <w:p>
      <w:pPr>
        <w:pStyle w:val="Heading1"/>
        <w:pageBreakBefore/>
      </w:pPr>
      <w:r>
        <w:t>14 Disclosure changes &amp; red flags</w:t>
      </w:r>
    </w:p>
    <w:p>
      <w:r>
        <w:rPr>
          <w:b w:val="0"/>
          <w:i w:val="0"/>
        </w:rPr>
        <w:t>Scoring (D4): for each change, “Unflattering?” asks whether it coincided with the affected metric turning worse — Yes, No (neutral or hurts the company's optics) or Mixed.</w:t>
      </w:r>
    </w:p>
    <w:p>
      <w:pPr>
        <w:keepNext/>
        <w:spacing w:before="80" w:after="40"/>
      </w:pPr>
      <w:r>
        <w:rPr>
          <w:b/>
          <w:i w:val="0"/>
          <w:color w:val="1F3864"/>
          <w:sz w:val="17"/>
        </w:rPr>
        <w:t>Exhibit 14.1 — Red flags that matter, ranked</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432"/>
        <w:gridCol w:w="4896"/>
        <w:gridCol w:w="1728"/>
        <w:gridCol w:w="2736"/>
      </w:tblGrid>
      <w:tr>
        <w:trPr>
          <w:cantSplit/>
          <w:tblHeader/>
        </w:trPr>
        <w:tc>
          <w:tcPr>
            <w:tcW w:type="dxa" w:w="432"/>
            <w:shd w:val="clear" w:color="auto" w:fill="1F3864"/>
          </w:tcPr>
          <w:p>
            <w:pPr>
              <w:spacing w:after="0" w:line="240" w:lineRule="auto"/>
            </w:pPr>
            <w:r>
              <w:rPr>
                <w:b/>
                <w:i w:val="0"/>
                <w:color w:val="FFFFFF"/>
                <w:sz w:val="15"/>
              </w:rPr>
              <w:t>#</w:t>
            </w:r>
          </w:p>
        </w:tc>
        <w:tc>
          <w:tcPr>
            <w:tcW w:type="dxa" w:w="4896"/>
            <w:shd w:val="clear" w:color="auto" w:fill="1F3864"/>
          </w:tcPr>
          <w:p>
            <w:pPr>
              <w:spacing w:after="0" w:line="240" w:lineRule="auto"/>
            </w:pPr>
            <w:r>
              <w:rPr>
                <w:b/>
                <w:i w:val="0"/>
                <w:color w:val="FFFFFF"/>
                <w:sz w:val="15"/>
              </w:rPr>
              <w:t>Change</w:t>
            </w:r>
          </w:p>
        </w:tc>
        <w:tc>
          <w:tcPr>
            <w:tcW w:type="dxa" w:w="1728"/>
            <w:shd w:val="clear" w:color="auto" w:fill="1F3864"/>
          </w:tcPr>
          <w:p>
            <w:pPr>
              <w:spacing w:after="0" w:line="240" w:lineRule="auto"/>
            </w:pPr>
            <w:r>
              <w:rPr>
                <w:b/>
                <w:i w:val="0"/>
                <w:color w:val="FFFFFF"/>
                <w:sz w:val="15"/>
              </w:rPr>
              <w:t>Vintage</w:t>
            </w:r>
          </w:p>
        </w:tc>
        <w:tc>
          <w:tcPr>
            <w:tcW w:type="dxa" w:w="2736"/>
            <w:shd w:val="clear" w:color="auto" w:fill="1F3864"/>
          </w:tcPr>
          <w:p>
            <w:pPr>
              <w:spacing w:after="0" w:line="240" w:lineRule="auto"/>
            </w:pPr>
            <w:r>
              <w:rPr>
                <w:b/>
                <w:i w:val="0"/>
                <w:color w:val="FFFFFF"/>
                <w:sz w:val="15"/>
              </w:rPr>
              <w:t>Coincided with metric turning unflattering?</w:t>
            </w:r>
          </w:p>
        </w:tc>
      </w:tr>
      <w:tr>
        <w:trPr>
          <w:cantSplit/>
        </w:trPr>
        <w:tc>
          <w:tcPr>
            <w:tcW w:type="dxa" w:w="432"/>
          </w:tcPr>
          <w:p>
            <w:pPr>
              <w:spacing w:after="0" w:line="240" w:lineRule="auto"/>
            </w:pPr>
            <w:r>
              <w:rPr>
                <w:b w:val="0"/>
                <w:i w:val="0"/>
                <w:sz w:val="15"/>
              </w:rPr>
              <w:t>1</w:t>
            </w:r>
          </w:p>
        </w:tc>
        <w:tc>
          <w:tcPr>
            <w:tcW w:type="dxa" w:w="4896"/>
          </w:tcPr>
          <w:p>
            <w:pPr>
              <w:spacing w:after="0" w:line="240" w:lineRule="auto"/>
            </w:pPr>
            <w:r>
              <w:rPr>
                <w:b/>
                <w:i w:val="0"/>
                <w:sz w:val="15"/>
              </w:rPr>
              <w:t>Growth attribution relabelled.</w:t>
            </w:r>
            <w:r>
              <w:rPr>
                <w:b w:val="0"/>
                <w:i w:val="0"/>
                <w:sz w:val="15"/>
              </w:rPr>
              <w:t xml:space="preserve"> Form 10/A attributes Q1-26 subscription growth to "new business growth" ($26m) plus "improved contract terms". The 10-Q's 6M figures imply that Q1 was mostly </w:t>
            </w:r>
            <w:r>
              <w:rPr>
                <w:b/>
                <w:i w:val="0"/>
                <w:sz w:val="15"/>
              </w:rPr>
              <w:t>price</w:t>
            </w:r>
            <w:r>
              <w:rPr>
                <w:b w:val="0"/>
                <w:i w:val="0"/>
                <w:sz w:val="15"/>
              </w:rPr>
              <w:t xml:space="preserve"> (~$20m) with only ~$12m of new business.</w:t>
            </w:r>
          </w:p>
        </w:tc>
        <w:tc>
          <w:tcPr>
            <w:tcW w:type="dxa" w:w="1728"/>
          </w:tcPr>
          <w:p>
            <w:pPr>
              <w:spacing w:after="0" w:line="240" w:lineRule="auto"/>
            </w:pPr>
            <w:r>
              <w:rPr>
                <w:b w:val="0"/>
                <w:i w:val="0"/>
                <w:sz w:val="15"/>
              </w:rPr>
              <w:t>10A (May-27) → 10Q (Aug-7)</w:t>
            </w:r>
          </w:p>
        </w:tc>
        <w:tc>
          <w:tcPr>
            <w:tcW w:type="dxa" w:w="2736"/>
          </w:tcPr>
          <w:p>
            <w:pPr>
              <w:spacing w:after="0" w:line="240" w:lineRule="auto"/>
            </w:pPr>
            <w:r>
              <w:rPr>
                <w:b/>
                <w:i w:val="0"/>
                <w:sz w:val="15"/>
              </w:rPr>
              <w:t>Yes.</w:t>
            </w:r>
            <w:r>
              <w:rPr>
                <w:b w:val="0"/>
                <w:i w:val="0"/>
                <w:sz w:val="15"/>
              </w:rPr>
              <w:t xml:space="preserve"> New business fell to ~$8m in Q2 </w:t>
            </w:r>
            <w:r>
              <w:rPr>
                <w:b/>
                <w:color w:val="2E548C"/>
                <w:sz w:val="12"/>
              </w:rPr>
              <w:t>[D]</w:t>
            </w:r>
            <w:r>
              <w:rPr>
                <w:b w:val="0"/>
                <w:i w:val="0"/>
                <w:sz w:val="15"/>
              </w:rPr>
              <w:t>, the same quarter the FY guide was cut.</w:t>
            </w:r>
          </w:p>
        </w:tc>
      </w:tr>
      <w:tr>
        <w:trPr>
          <w:cantSplit/>
        </w:trPr>
        <w:tc>
          <w:tcPr>
            <w:tcW w:type="dxa" w:w="432"/>
            <w:shd w:val="clear" w:color="auto" w:fill="D9E1F2"/>
          </w:tcPr>
          <w:p>
            <w:pPr>
              <w:spacing w:after="0" w:line="240" w:lineRule="auto"/>
            </w:pPr>
            <w:r>
              <w:rPr>
                <w:b w:val="0"/>
                <w:i w:val="0"/>
                <w:sz w:val="15"/>
              </w:rPr>
              <w:t>2</w:t>
            </w:r>
          </w:p>
        </w:tc>
        <w:tc>
          <w:tcPr>
            <w:tcW w:type="dxa" w:w="4896"/>
            <w:shd w:val="clear" w:color="auto" w:fill="D9E1F2"/>
          </w:tcPr>
          <w:p>
            <w:pPr>
              <w:spacing w:after="0" w:line="240" w:lineRule="auto"/>
            </w:pPr>
            <w:r>
              <w:rPr>
                <w:b/>
                <w:i w:val="0"/>
                <w:sz w:val="15"/>
              </w:rPr>
              <w:t>Segment profit measure switched</w:t>
            </w:r>
            <w:r>
              <w:rPr>
                <w:b w:val="0"/>
                <w:i w:val="0"/>
                <w:sz w:val="15"/>
              </w:rPr>
              <w:t xml:space="preserve"> from segment operating profit to Adjusted EBITDA, with prior periods recast.</w:t>
            </w:r>
          </w:p>
        </w:tc>
        <w:tc>
          <w:tcPr>
            <w:tcW w:type="dxa" w:w="1728"/>
            <w:shd w:val="clear" w:color="auto" w:fill="D9E1F2"/>
          </w:tcPr>
          <w:p>
            <w:pPr>
              <w:spacing w:after="0" w:line="240" w:lineRule="auto"/>
            </w:pPr>
            <w:r>
              <w:rPr>
                <w:b w:val="0"/>
                <w:i w:val="0"/>
                <w:sz w:val="15"/>
              </w:rPr>
              <w:t>10Q p.14</w:t>
            </w:r>
          </w:p>
        </w:tc>
        <w:tc>
          <w:tcPr>
            <w:tcW w:type="dxa" w:w="2736"/>
            <w:shd w:val="clear" w:color="auto" w:fill="D9E1F2"/>
          </w:tcPr>
          <w:p>
            <w:pPr>
              <w:spacing w:after="0" w:line="240" w:lineRule="auto"/>
            </w:pPr>
            <w:r>
              <w:rPr>
                <w:b/>
                <w:i w:val="0"/>
                <w:sz w:val="15"/>
              </w:rPr>
              <w:t>Yes.</w:t>
            </w:r>
            <w:r>
              <w:rPr>
                <w:b w:val="0"/>
                <w:i w:val="0"/>
                <w:sz w:val="15"/>
              </w:rPr>
              <w:t xml:space="preserve"> B2B segment OP fell −62% in Q1-26 and −81% in Q2-26 </w:t>
            </w:r>
            <w:r>
              <w:rPr>
                <w:b/>
                <w:color w:val="2E548C"/>
                <w:sz w:val="12"/>
              </w:rPr>
              <w:t>[D/C]</w:t>
            </w:r>
            <w:r>
              <w:rPr>
                <w:b w:val="0"/>
                <w:i w:val="0"/>
                <w:sz w:val="15"/>
              </w:rPr>
              <w:t xml:space="preserve">. B2B Adj. EBITDA shows +8% </w:t>
            </w:r>
            <w:r>
              <w:rPr>
                <w:b/>
                <w:color w:val="2E548C"/>
                <w:sz w:val="12"/>
              </w:rPr>
              <w:t>[D]</w:t>
            </w:r>
            <w:r>
              <w:rPr>
                <w:b w:val="0"/>
                <w:i w:val="0"/>
                <w:sz w:val="15"/>
              </w:rPr>
              <w:t>.</w:t>
            </w:r>
          </w:p>
        </w:tc>
      </w:tr>
      <w:tr>
        <w:trPr>
          <w:cantSplit/>
        </w:trPr>
        <w:tc>
          <w:tcPr>
            <w:tcW w:type="dxa" w:w="432"/>
          </w:tcPr>
          <w:p>
            <w:pPr>
              <w:spacing w:after="0" w:line="240" w:lineRule="auto"/>
            </w:pPr>
            <w:r>
              <w:rPr>
                <w:b w:val="0"/>
                <w:i w:val="0"/>
                <w:sz w:val="15"/>
              </w:rPr>
              <w:t>3</w:t>
            </w:r>
          </w:p>
        </w:tc>
        <w:tc>
          <w:tcPr>
            <w:tcW w:type="dxa" w:w="4896"/>
          </w:tcPr>
          <w:p>
            <w:pPr>
              <w:spacing w:after="0" w:line="240" w:lineRule="auto"/>
            </w:pPr>
            <w:r>
              <w:rPr>
                <w:b/>
                <w:i w:val="0"/>
                <w:sz w:val="15"/>
              </w:rPr>
              <w:t>FY26 guide basis switched</w:t>
            </w:r>
            <w:r>
              <w:rPr>
                <w:b w:val="0"/>
                <w:i w:val="0"/>
                <w:sz w:val="15"/>
              </w:rPr>
              <w:t xml:space="preserve"> from organic constant currency (7.5–9%) to reported (6.9–7.7%).</w:t>
            </w:r>
          </w:p>
        </w:tc>
        <w:tc>
          <w:tcPr>
            <w:tcW w:type="dxa" w:w="1728"/>
          </w:tcPr>
          <w:p>
            <w:pPr>
              <w:spacing w:after="0" w:line="240" w:lineRule="auto"/>
            </w:pPr>
            <w:r>
              <w:rPr>
                <w:b w:val="0"/>
                <w:i w:val="0"/>
                <w:sz w:val="15"/>
              </w:rPr>
              <w:t>ID → Q2-deck</w:t>
            </w:r>
          </w:p>
        </w:tc>
        <w:tc>
          <w:tcPr>
            <w:tcW w:type="dxa" w:w="2736"/>
          </w:tcPr>
          <w:p>
            <w:pPr>
              <w:spacing w:after="0" w:line="240" w:lineRule="auto"/>
            </w:pPr>
            <w:r>
              <w:rPr>
                <w:b/>
                <w:i w:val="0"/>
                <w:sz w:val="15"/>
              </w:rPr>
              <w:t>Yes.</w:t>
            </w:r>
            <w:r>
              <w:rPr>
                <w:b w:val="0"/>
                <w:i w:val="0"/>
                <w:sz w:val="15"/>
              </w:rPr>
              <w:t xml:space="preserve"> On a like-for-like basis the cut is ~0.9–1.6 pt </w:t>
            </w:r>
            <w:r>
              <w:rPr>
                <w:b/>
                <w:color w:val="2E548C"/>
                <w:sz w:val="12"/>
              </w:rPr>
              <w:t>[C]</w:t>
            </w:r>
            <w:r>
              <w:rPr>
                <w:b w:val="0"/>
                <w:i w:val="0"/>
                <w:sz w:val="15"/>
              </w:rPr>
              <w:t>, not the 0.6–1.3 pt the headline implies.</w:t>
            </w:r>
          </w:p>
        </w:tc>
      </w:tr>
      <w:tr>
        <w:trPr>
          <w:cantSplit/>
        </w:trPr>
        <w:tc>
          <w:tcPr>
            <w:tcW w:type="dxa" w:w="432"/>
            <w:shd w:val="clear" w:color="auto" w:fill="D9E1F2"/>
          </w:tcPr>
          <w:p>
            <w:pPr>
              <w:spacing w:after="0" w:line="240" w:lineRule="auto"/>
            </w:pPr>
            <w:r>
              <w:rPr>
                <w:b w:val="0"/>
                <w:i w:val="0"/>
                <w:sz w:val="15"/>
              </w:rPr>
              <w:t>4</w:t>
            </w:r>
          </w:p>
        </w:tc>
        <w:tc>
          <w:tcPr>
            <w:tcW w:type="dxa" w:w="4896"/>
            <w:shd w:val="clear" w:color="auto" w:fill="D9E1F2"/>
          </w:tcPr>
          <w:p>
            <w:pPr>
              <w:spacing w:after="0" w:line="240" w:lineRule="auto"/>
            </w:pPr>
            <w:r>
              <w:rPr>
                <w:b/>
                <w:i w:val="0"/>
                <w:sz w:val="15"/>
              </w:rPr>
              <w:t>Adjusted EBITDA definition</w:t>
            </w:r>
            <w:r>
              <w:rPr>
                <w:b w:val="0"/>
                <w:i w:val="0"/>
                <w:sz w:val="15"/>
              </w:rPr>
              <w:t xml:space="preserve"> shrank from 10 to 6 exclusions. Item (6) became a catch-all ("and other costs that are not representative…"). The Q2 deck still prints the 10-item text.</w:t>
            </w:r>
          </w:p>
        </w:tc>
        <w:tc>
          <w:tcPr>
            <w:tcW w:type="dxa" w:w="1728"/>
            <w:shd w:val="clear" w:color="auto" w:fill="D9E1F2"/>
          </w:tcPr>
          <w:p>
            <w:pPr>
              <w:spacing w:after="0" w:line="240" w:lineRule="auto"/>
            </w:pPr>
            <w:r>
              <w:rPr>
                <w:b w:val="0"/>
                <w:i w:val="0"/>
                <w:sz w:val="15"/>
              </w:rPr>
              <w:t>F10/10A → 10Q/8K; Q2-deck stale</w:t>
            </w:r>
          </w:p>
        </w:tc>
        <w:tc>
          <w:tcPr>
            <w:tcW w:type="dxa" w:w="2736"/>
            <w:shd w:val="clear" w:color="auto" w:fill="D9E1F2"/>
          </w:tcPr>
          <w:p>
            <w:pPr>
              <w:spacing w:after="0" w:line="240" w:lineRule="auto"/>
            </w:pPr>
            <w:r>
              <w:rPr>
                <w:b/>
                <w:i w:val="0"/>
                <w:sz w:val="15"/>
              </w:rPr>
              <w:t>Mixed.</w:t>
            </w:r>
            <w:r>
              <w:rPr>
                <w:b w:val="0"/>
                <w:i w:val="0"/>
                <w:sz w:val="15"/>
              </w:rPr>
              <w:t xml:space="preserve"> The 2026 periods have no acquisition or legal items, but the catch-all widens discretion.</w:t>
            </w:r>
          </w:p>
        </w:tc>
      </w:tr>
      <w:tr>
        <w:trPr>
          <w:cantSplit/>
        </w:trPr>
        <w:tc>
          <w:tcPr>
            <w:tcW w:type="dxa" w:w="432"/>
          </w:tcPr>
          <w:p>
            <w:pPr>
              <w:spacing w:after="0" w:line="240" w:lineRule="auto"/>
            </w:pPr>
            <w:r>
              <w:rPr>
                <w:b w:val="0"/>
                <w:i w:val="0"/>
                <w:sz w:val="15"/>
              </w:rPr>
              <w:t>5</w:t>
            </w:r>
          </w:p>
        </w:tc>
        <w:tc>
          <w:tcPr>
            <w:tcW w:type="dxa" w:w="4896"/>
          </w:tcPr>
          <w:p>
            <w:pPr>
              <w:spacing w:after="0" w:line="240" w:lineRule="auto"/>
            </w:pPr>
            <w:r>
              <w:rPr>
                <w:b/>
                <w:i w:val="0"/>
                <w:sz w:val="15"/>
              </w:rPr>
              <w:t>SPGI-era Mobility margin target dropped.</w:t>
            </w:r>
            <w:r>
              <w:rPr>
                <w:b w:val="0"/>
                <w:i w:val="0"/>
                <w:sz w:val="15"/>
              </w:rPr>
              <w:t xml:space="preserve"> SPGI's 41–43% adjusted operating margin target for 2025/26 was missed (FY25: 39.9%). MBGL replaced it with "+50 bp/yr from a reset ~39.1% base".</w:t>
            </w:r>
          </w:p>
        </w:tc>
        <w:tc>
          <w:tcPr>
            <w:tcW w:type="dxa" w:w="1728"/>
          </w:tcPr>
          <w:p>
            <w:pPr>
              <w:spacing w:after="0" w:line="240" w:lineRule="auto"/>
            </w:pPr>
            <w:r>
              <w:rPr>
                <w:b w:val="0"/>
                <w:i w:val="0"/>
                <w:sz w:val="15"/>
              </w:rPr>
              <w:t>SPGI Investor Day 2022 → MBGL ID 2026</w:t>
            </w:r>
          </w:p>
        </w:tc>
        <w:tc>
          <w:tcPr>
            <w:tcW w:type="dxa" w:w="2736"/>
          </w:tcPr>
          <w:p>
            <w:pPr>
              <w:spacing w:after="0" w:line="240" w:lineRule="auto"/>
            </w:pPr>
            <w:r>
              <w:rPr>
                <w:b/>
                <w:i w:val="0"/>
                <w:sz w:val="15"/>
              </w:rPr>
              <w:t>Yes.</w:t>
            </w:r>
          </w:p>
        </w:tc>
      </w:tr>
      <w:tr>
        <w:trPr>
          <w:cantSplit/>
        </w:trPr>
        <w:tc>
          <w:tcPr>
            <w:tcW w:type="dxa" w:w="432"/>
            <w:shd w:val="clear" w:color="auto" w:fill="D9E1F2"/>
          </w:tcPr>
          <w:p>
            <w:pPr>
              <w:spacing w:after="0" w:line="240" w:lineRule="auto"/>
            </w:pPr>
            <w:r>
              <w:rPr>
                <w:b w:val="0"/>
                <w:i w:val="0"/>
                <w:sz w:val="15"/>
              </w:rPr>
              <w:t>6</w:t>
            </w:r>
          </w:p>
        </w:tc>
        <w:tc>
          <w:tcPr>
            <w:tcW w:type="dxa" w:w="4896"/>
            <w:shd w:val="clear" w:color="auto" w:fill="D9E1F2"/>
          </w:tcPr>
          <w:p>
            <w:pPr>
              <w:spacing w:after="0" w:line="240" w:lineRule="auto"/>
            </w:pPr>
            <w:r>
              <w:rPr>
                <w:b/>
                <w:i w:val="0"/>
                <w:sz w:val="15"/>
              </w:rPr>
              <w:t>NRR removed</w:t>
            </w:r>
            <w:r>
              <w:rPr>
                <w:b w:val="0"/>
                <w:i w:val="0"/>
                <w:sz w:val="15"/>
              </w:rPr>
              <w:t xml:space="preserve"> from the Investor Day deck before presentation. Management admitted this on stage.</w:t>
            </w:r>
          </w:p>
        </w:tc>
        <w:tc>
          <w:tcPr>
            <w:tcW w:type="dxa" w:w="1728"/>
            <w:shd w:val="clear" w:color="auto" w:fill="D9E1F2"/>
          </w:tcPr>
          <w:p>
            <w:pPr>
              <w:spacing w:after="0" w:line="240" w:lineRule="auto"/>
            </w:pPr>
            <w:r>
              <w:rPr>
                <w:b w:val="0"/>
                <w:i w:val="0"/>
                <w:sz w:val="15"/>
              </w:rPr>
              <w:t>ID 2026-05-12</w:t>
            </w:r>
          </w:p>
        </w:tc>
        <w:tc>
          <w:tcPr>
            <w:tcW w:type="dxa" w:w="2736"/>
            <w:shd w:val="clear" w:color="auto" w:fill="D9E1F2"/>
          </w:tcPr>
          <w:p>
            <w:pPr>
              <w:spacing w:after="0" w:line="240" w:lineRule="auto"/>
            </w:pPr>
            <w:r>
              <w:rPr>
                <w:b w:val="0"/>
                <w:i w:val="0"/>
                <w:sz w:val="15"/>
              </w:rPr>
              <w:t xml:space="preserve">Unknown. "Great number" per management </w:t>
            </w:r>
            <w:r>
              <w:rPr>
                <w:b/>
                <w:color w:val="2E548C"/>
                <w:sz w:val="12"/>
              </w:rPr>
              <w:t>[IR]</w:t>
            </w:r>
            <w:r>
              <w:rPr>
                <w:b w:val="0"/>
                <w:i w:val="0"/>
                <w:sz w:val="15"/>
              </w:rPr>
              <w:t>, but not shown.</w:t>
            </w:r>
          </w:p>
        </w:tc>
      </w:tr>
      <w:tr>
        <w:trPr>
          <w:cantSplit/>
        </w:trPr>
        <w:tc>
          <w:tcPr>
            <w:tcW w:type="dxa" w:w="432"/>
          </w:tcPr>
          <w:p>
            <w:pPr>
              <w:spacing w:after="0" w:line="240" w:lineRule="auto"/>
            </w:pPr>
            <w:r>
              <w:rPr>
                <w:b w:val="0"/>
                <w:i w:val="0"/>
                <w:sz w:val="15"/>
              </w:rPr>
              <w:t>7</w:t>
            </w:r>
          </w:p>
        </w:tc>
        <w:tc>
          <w:tcPr>
            <w:tcW w:type="dxa" w:w="4896"/>
          </w:tcPr>
          <w:p>
            <w:pPr>
              <w:spacing w:after="0" w:line="240" w:lineRule="auto"/>
            </w:pPr>
            <w:r>
              <w:rPr>
                <w:b/>
                <w:i w:val="0"/>
                <w:sz w:val="15"/>
              </w:rPr>
              <w:t>Business-line revenue in dollars dropped.</w:t>
            </w:r>
            <w:r>
              <w:rPr>
                <w:b w:val="0"/>
                <w:i w:val="0"/>
                <w:sz w:val="15"/>
              </w:rPr>
              <w:t xml:space="preserve"> SPGI printed Dealer/Manufacturing/Financials every quarter. MBGL prints only CARFAX/B2B, with business-line % for FY25 only. Organic constant-currency growth also stopped being printed.</w:t>
            </w:r>
          </w:p>
        </w:tc>
        <w:tc>
          <w:tcPr>
            <w:tcW w:type="dxa" w:w="1728"/>
          </w:tcPr>
          <w:p>
            <w:pPr>
              <w:spacing w:after="0" w:line="240" w:lineRule="auto"/>
            </w:pPr>
            <w:r>
              <w:rPr>
                <w:b w:val="0"/>
                <w:i w:val="0"/>
                <w:sz w:val="15"/>
              </w:rPr>
              <w:t>SPGI-Q1-26 → MBGL Q2-26</w:t>
            </w:r>
          </w:p>
        </w:tc>
        <w:tc>
          <w:tcPr>
            <w:tcW w:type="dxa" w:w="2736"/>
          </w:tcPr>
          <w:p>
            <w:pPr>
              <w:spacing w:after="0" w:line="240" w:lineRule="auto"/>
            </w:pPr>
            <w:r>
              <w:rPr>
                <w:b/>
                <w:i w:val="0"/>
                <w:sz w:val="15"/>
              </w:rPr>
              <w:t>Yes.</w:t>
            </w:r>
            <w:r>
              <w:rPr>
                <w:b w:val="0"/>
                <w:i w:val="0"/>
                <w:sz w:val="15"/>
              </w:rPr>
              <w:t xml:space="preserve"> Manufacturing was the weak line (−3% Q3-25, +1% Q4-25 </w:t>
            </w:r>
            <w:r>
              <w:rPr>
                <w:b/>
                <w:color w:val="2E548C"/>
                <w:sz w:val="12"/>
              </w:rPr>
              <w:t>[IR]</w:t>
            </w:r>
            <w:r>
              <w:rPr>
                <w:b w:val="0"/>
                <w:i w:val="0"/>
                <w:sz w:val="15"/>
              </w:rPr>
              <w:t>).</w:t>
            </w:r>
          </w:p>
        </w:tc>
      </w:tr>
    </w:tbl>
    <w:p>
      <w:pPr>
        <w:spacing w:after="120"/>
      </w:pPr>
      <w:r>
        <w:rPr>
          <w:b w:val="0"/>
          <w:i/>
          <w:color w:val="595959"/>
          <w:sz w:val="15"/>
        </w:rPr>
        <w:t>Source: analysis/D4_disclosure_changes.md §0.</w:t>
      </w:r>
    </w:p>
    <w:p>
      <w:pPr>
        <w:keepNext/>
        <w:spacing w:before="80" w:after="40"/>
      </w:pPr>
      <w:r>
        <w:rPr>
          <w:b/>
          <w:i w:val="0"/>
          <w:color w:val="1F3864"/>
          <w:sz w:val="17"/>
        </w:rPr>
        <w:t>Exhibit 14.2 — Adjusted EBITDA definition: 10 exclusions → 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304"/>
        <w:gridCol w:w="5760"/>
        <w:gridCol w:w="1728"/>
      </w:tblGrid>
      <w:tr>
        <w:trPr>
          <w:cantSplit/>
          <w:tblHeader/>
        </w:trPr>
        <w:tc>
          <w:tcPr>
            <w:tcW w:type="dxa" w:w="2304"/>
            <w:shd w:val="clear" w:color="auto" w:fill="1F3864"/>
          </w:tcPr>
          <w:p>
            <w:pPr>
              <w:spacing w:after="0" w:line="240" w:lineRule="auto"/>
            </w:pPr>
            <w:r>
              <w:rPr>
                <w:b/>
                <w:i w:val="0"/>
                <w:color w:val="FFFFFF"/>
                <w:sz w:val="15"/>
              </w:rPr>
              <w:t>Document (vintage)</w:t>
            </w:r>
          </w:p>
        </w:tc>
        <w:tc>
          <w:tcPr>
            <w:tcW w:type="dxa" w:w="5760"/>
            <w:shd w:val="clear" w:color="auto" w:fill="1F3864"/>
          </w:tcPr>
          <w:p>
            <w:pPr>
              <w:spacing w:after="0" w:line="240" w:lineRule="auto"/>
            </w:pPr>
            <w:r>
              <w:rPr>
                <w:b/>
                <w:i w:val="0"/>
                <w:color w:val="FFFFFF"/>
                <w:sz w:val="15"/>
              </w:rPr>
              <w:t>Exact short wording</w:t>
            </w:r>
          </w:p>
        </w:tc>
        <w:tc>
          <w:tcPr>
            <w:tcW w:type="dxa" w:w="1728"/>
            <w:shd w:val="clear" w:color="auto" w:fill="1F3864"/>
          </w:tcPr>
          <w:p>
            <w:pPr>
              <w:spacing w:after="0" w:line="240" w:lineRule="auto"/>
            </w:pPr>
            <w:r>
              <w:rPr>
                <w:b/>
                <w:i w:val="0"/>
                <w:color w:val="FFFFFF"/>
                <w:sz w:val="15"/>
              </w:rPr>
              <w:t>Source</w:t>
            </w:r>
          </w:p>
        </w:tc>
      </w:tr>
      <w:tr>
        <w:trPr>
          <w:cantSplit/>
        </w:trPr>
        <w:tc>
          <w:tcPr>
            <w:tcW w:type="dxa" w:w="2304"/>
          </w:tcPr>
          <w:p>
            <w:pPr>
              <w:spacing w:after="0" w:line="240" w:lineRule="auto"/>
            </w:pPr>
            <w:r>
              <w:rPr>
                <w:b w:val="0"/>
                <w:i w:val="0"/>
                <w:sz w:val="15"/>
              </w:rPr>
              <w:t>F10 (May-7) and 10A (May-27), identical</w:t>
            </w:r>
          </w:p>
        </w:tc>
        <w:tc>
          <w:tcPr>
            <w:tcW w:type="dxa" w:w="5760"/>
          </w:tcPr>
          <w:p>
            <w:pPr>
              <w:spacing w:after="0" w:line="240" w:lineRule="auto"/>
            </w:pPr>
            <w:r>
              <w:rPr>
                <w:b w:val="0"/>
                <w:i w:val="0"/>
                <w:sz w:val="15"/>
              </w:rPr>
              <w:t>"(1) interest … (6) employee severance charges, (7) acquisition integration costs, (8) acquisition and disposition-related costs, (9) legal settlement recovery and (10) other non-operational and/or non-recurring expenses."</w:t>
            </w:r>
          </w:p>
        </w:tc>
        <w:tc>
          <w:tcPr>
            <w:tcW w:type="dxa" w:w="1728"/>
          </w:tcPr>
          <w:p>
            <w:pPr>
              <w:spacing w:after="0" w:line="240" w:lineRule="auto"/>
            </w:pPr>
            <w:r>
              <w:rPr>
                <w:b w:val="0"/>
                <w:i w:val="0"/>
                <w:sz w:val="15"/>
              </w:rPr>
              <w:t>10A p.357; F10 p.436</w:t>
            </w:r>
          </w:p>
        </w:tc>
      </w:tr>
      <w:tr>
        <w:trPr>
          <w:cantSplit/>
        </w:trPr>
        <w:tc>
          <w:tcPr>
            <w:tcW w:type="dxa" w:w="2304"/>
            <w:shd w:val="clear" w:color="auto" w:fill="D9E1F2"/>
          </w:tcPr>
          <w:p>
            <w:pPr>
              <w:spacing w:after="0" w:line="240" w:lineRule="auto"/>
            </w:pPr>
            <w:r>
              <w:rPr>
                <w:b w:val="0"/>
                <w:i w:val="0"/>
                <w:sz w:val="15"/>
              </w:rPr>
              <w:t>10Q Note 7 (Aug-7)</w:t>
            </w:r>
          </w:p>
        </w:tc>
        <w:tc>
          <w:tcPr>
            <w:tcW w:type="dxa" w:w="5760"/>
            <w:shd w:val="clear" w:color="auto" w:fill="D9E1F2"/>
          </w:tcPr>
          <w:p>
            <w:pPr>
              <w:spacing w:after="0" w:line="240" w:lineRule="auto"/>
            </w:pPr>
            <w:r>
              <w:rPr>
                <w:b w:val="0"/>
                <w:i w:val="0"/>
                <w:sz w:val="15"/>
              </w:rPr>
              <w:t>"(5) transaction costs related to the stand-up of the Spin Business … and (6) employee severance charges and other costs that are not representative of the underlying economics of the periods presented."</w:t>
            </w:r>
          </w:p>
        </w:tc>
        <w:tc>
          <w:tcPr>
            <w:tcW w:type="dxa" w:w="1728"/>
            <w:shd w:val="clear" w:color="auto" w:fill="D9E1F2"/>
          </w:tcPr>
          <w:p>
            <w:pPr>
              <w:spacing w:after="0" w:line="240" w:lineRule="auto"/>
            </w:pPr>
            <w:r>
              <w:rPr>
                <w:b w:val="0"/>
                <w:i w:val="0"/>
                <w:sz w:val="15"/>
              </w:rPr>
              <w:t>10Q p.14</w:t>
            </w:r>
          </w:p>
        </w:tc>
      </w:tr>
      <w:tr>
        <w:trPr>
          <w:cantSplit/>
        </w:trPr>
        <w:tc>
          <w:tcPr>
            <w:tcW w:type="dxa" w:w="2304"/>
          </w:tcPr>
          <w:p>
            <w:pPr>
              <w:spacing w:after="0" w:line="240" w:lineRule="auto"/>
            </w:pPr>
            <w:r>
              <w:rPr>
                <w:b w:val="0"/>
                <w:i w:val="0"/>
                <w:sz w:val="15"/>
              </w:rPr>
              <w:t>8K Exhibit 5 (Aug-7)</w:t>
            </w:r>
          </w:p>
        </w:tc>
        <w:tc>
          <w:tcPr>
            <w:tcW w:type="dxa" w:w="5760"/>
          </w:tcPr>
          <w:p>
            <w:pPr>
              <w:spacing w:after="0" w:line="240" w:lineRule="auto"/>
            </w:pPr>
            <w:r>
              <w:rPr>
                <w:b w:val="0"/>
                <w:i w:val="0"/>
                <w:sz w:val="15"/>
              </w:rPr>
              <w:t>Same 6-item text as the 10Q.</w:t>
            </w:r>
          </w:p>
        </w:tc>
        <w:tc>
          <w:tcPr>
            <w:tcW w:type="dxa" w:w="1728"/>
          </w:tcPr>
          <w:p>
            <w:pPr>
              <w:spacing w:after="0" w:line="240" w:lineRule="auto"/>
            </w:pPr>
            <w:r>
              <w:rPr>
                <w:b w:val="0"/>
                <w:i w:val="0"/>
                <w:sz w:val="15"/>
              </w:rPr>
              <w:t>8K p.11</w:t>
            </w:r>
          </w:p>
        </w:tc>
      </w:tr>
      <w:tr>
        <w:trPr>
          <w:cantSplit/>
        </w:trPr>
        <w:tc>
          <w:tcPr>
            <w:tcW w:type="dxa" w:w="2304"/>
            <w:shd w:val="clear" w:color="auto" w:fill="D9E1F2"/>
          </w:tcPr>
          <w:p>
            <w:pPr>
              <w:spacing w:after="0" w:line="240" w:lineRule="auto"/>
            </w:pPr>
            <w:r>
              <w:rPr>
                <w:b w:val="0"/>
                <w:i w:val="0"/>
                <w:sz w:val="15"/>
              </w:rPr>
              <w:t>Q2-deck slide 12 (Aug-7)</w:t>
            </w:r>
          </w:p>
        </w:tc>
        <w:tc>
          <w:tcPr>
            <w:tcW w:type="dxa" w:w="5760"/>
            <w:shd w:val="clear" w:color="auto" w:fill="D9E1F2"/>
          </w:tcPr>
          <w:p>
            <w:pPr>
              <w:spacing w:after="0" w:line="240" w:lineRule="auto"/>
            </w:pPr>
            <w:r>
              <w:rPr>
                <w:b/>
                <w:i w:val="0"/>
                <w:sz w:val="15"/>
              </w:rPr>
              <w:t>Still the 10-item Form 10 text</w:t>
            </w:r>
            <w:r>
              <w:rPr>
                <w:b w:val="0"/>
                <w:i w:val="0"/>
                <w:sz w:val="15"/>
              </w:rPr>
              <w:t>, printed next to a 6-line reconciliation.</w:t>
            </w:r>
          </w:p>
        </w:tc>
        <w:tc>
          <w:tcPr>
            <w:tcW w:type="dxa" w:w="1728"/>
            <w:shd w:val="clear" w:color="auto" w:fill="D9E1F2"/>
          </w:tcPr>
          <w:p>
            <w:pPr>
              <w:spacing w:after="0" w:line="240" w:lineRule="auto"/>
            </w:pPr>
            <w:r>
              <w:rPr>
                <w:b w:val="0"/>
                <w:i w:val="0"/>
                <w:sz w:val="15"/>
              </w:rPr>
              <w:t>Q2-deck p.12</w:t>
            </w:r>
          </w:p>
        </w:tc>
      </w:tr>
    </w:tbl>
    <w:p>
      <w:pPr>
        <w:spacing w:after="120"/>
      </w:pPr>
      <w:r>
        <w:rPr>
          <w:b w:val="0"/>
          <w:i/>
          <w:color w:val="595959"/>
          <w:sz w:val="15"/>
        </w:rPr>
        <w:t>Source: D4 §1. The Q2 deck still prints the 10-item text beside a 6-line reconciliation.</w:t>
      </w:r>
    </w:p>
    <w:p>
      <w:pPr>
        <w:keepNext/>
        <w:spacing w:before="80" w:after="40"/>
      </w:pPr>
      <w:r>
        <w:rPr>
          <w:b/>
          <w:i w:val="0"/>
          <w:color w:val="1F3864"/>
          <w:sz w:val="17"/>
        </w:rPr>
        <w:t xml:space="preserve">Exhibit 14.3 — What the old segment measure would have shown </w:t>
      </w:r>
      <w:r>
        <w:rPr>
          <w:b/>
          <w:color w:val="2E548C"/>
          <w:sz w:val="14"/>
        </w:rPr>
        <w:t>[D]</w:t>
      </w:r>
      <w:r>
        <w:rPr>
          <w:b/>
          <w:i w:val="0"/>
          <w:color w:val="1F3864"/>
          <w:sz w:val="17"/>
        </w:rPr>
        <w:t>/</w:t>
      </w:r>
      <w:r>
        <w:rPr>
          <w:b/>
          <w:color w:val="2E548C"/>
          <w:sz w:val="14"/>
        </w:rPr>
        <w:t>[C]</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160"/>
        <w:gridCol w:w="1007"/>
        <w:gridCol w:w="1152"/>
        <w:gridCol w:w="1007"/>
        <w:gridCol w:w="1152"/>
        <w:gridCol w:w="1007"/>
        <w:gridCol w:w="1152"/>
        <w:gridCol w:w="1152"/>
      </w:tblGrid>
      <w:tr>
        <w:trPr>
          <w:cantSplit/>
          <w:tblHeader/>
        </w:trPr>
        <w:tc>
          <w:tcPr>
            <w:tcW w:type="dxa" w:w="2160"/>
            <w:shd w:val="clear" w:color="auto" w:fill="1F3864"/>
          </w:tcPr>
          <w:p>
            <w:pPr>
              <w:spacing w:after="0" w:line="240" w:lineRule="auto"/>
            </w:pPr>
            <w:r>
              <w:rPr>
                <w:b/>
                <w:i w:val="0"/>
                <w:color w:val="FFFFFF"/>
                <w:sz w:val="15"/>
              </w:rPr>
              <w:t>Segment OP, $m</w:t>
            </w:r>
          </w:p>
        </w:tc>
        <w:tc>
          <w:tcPr>
            <w:tcW w:type="dxa" w:w="1008"/>
            <w:shd w:val="clear" w:color="auto" w:fill="1F3864"/>
          </w:tcPr>
          <w:p>
            <w:pPr>
              <w:spacing w:after="0" w:line="240" w:lineRule="auto"/>
            </w:pPr>
            <w:r>
              <w:rPr>
                <w:b/>
                <w:i w:val="0"/>
                <w:color w:val="FFFFFF"/>
                <w:sz w:val="15"/>
              </w:rPr>
              <w:t>Q1-25</w:t>
            </w:r>
          </w:p>
        </w:tc>
        <w:tc>
          <w:tcPr>
            <w:tcW w:type="dxa" w:w="1152"/>
            <w:shd w:val="clear" w:color="auto" w:fill="1F3864"/>
          </w:tcPr>
          <w:p>
            <w:pPr>
              <w:spacing w:after="0" w:line="240" w:lineRule="auto"/>
            </w:pPr>
            <w:r>
              <w:rPr>
                <w:b/>
                <w:i w:val="0"/>
                <w:color w:val="FFFFFF"/>
                <w:sz w:val="15"/>
              </w:rPr>
              <w:t>Q1-26</w:t>
            </w:r>
          </w:p>
        </w:tc>
        <w:tc>
          <w:tcPr>
            <w:tcW w:type="dxa" w:w="1008"/>
            <w:shd w:val="clear" w:color="auto" w:fill="1F3864"/>
          </w:tcPr>
          <w:p>
            <w:pPr>
              <w:spacing w:after="0" w:line="240" w:lineRule="auto"/>
            </w:pPr>
            <w:r>
              <w:rPr>
                <w:b/>
                <w:i w:val="0"/>
                <w:color w:val="FFFFFF"/>
                <w:sz w:val="15"/>
              </w:rPr>
              <w:t>Q2-25</w:t>
            </w:r>
          </w:p>
        </w:tc>
        <w:tc>
          <w:tcPr>
            <w:tcW w:type="dxa" w:w="1152"/>
            <w:shd w:val="clear" w:color="auto" w:fill="1F3864"/>
          </w:tcPr>
          <w:p>
            <w:pPr>
              <w:spacing w:after="0" w:line="240" w:lineRule="auto"/>
            </w:pPr>
            <w:r>
              <w:rPr>
                <w:b/>
                <w:i w:val="0"/>
                <w:color w:val="FFFFFF"/>
                <w:sz w:val="15"/>
              </w:rPr>
              <w:t>Q2-26</w:t>
            </w:r>
          </w:p>
        </w:tc>
        <w:tc>
          <w:tcPr>
            <w:tcW w:type="dxa" w:w="1008"/>
            <w:shd w:val="clear" w:color="auto" w:fill="1F3864"/>
          </w:tcPr>
          <w:p>
            <w:pPr>
              <w:spacing w:after="0" w:line="240" w:lineRule="auto"/>
            </w:pPr>
            <w:r>
              <w:rPr>
                <w:b/>
                <w:i w:val="0"/>
                <w:color w:val="FFFFFF"/>
                <w:sz w:val="15"/>
              </w:rPr>
              <w:t>6M-25</w:t>
            </w:r>
          </w:p>
        </w:tc>
        <w:tc>
          <w:tcPr>
            <w:tcW w:type="dxa" w:w="1152"/>
            <w:shd w:val="clear" w:color="auto" w:fill="1F3864"/>
          </w:tcPr>
          <w:p>
            <w:pPr>
              <w:spacing w:after="0" w:line="240" w:lineRule="auto"/>
            </w:pPr>
            <w:r>
              <w:rPr>
                <w:b/>
                <w:i w:val="0"/>
                <w:color w:val="FFFFFF"/>
                <w:sz w:val="15"/>
              </w:rPr>
              <w:t>6M-26</w:t>
            </w:r>
          </w:p>
        </w:tc>
        <w:tc>
          <w:tcPr>
            <w:tcW w:type="dxa" w:w="1152"/>
            <w:shd w:val="clear" w:color="auto" w:fill="1F3864"/>
          </w:tcPr>
          <w:p>
            <w:pPr>
              <w:spacing w:after="0" w:line="240" w:lineRule="auto"/>
            </w:pPr>
            <w:r>
              <w:rPr>
                <w:b/>
                <w:i w:val="0"/>
                <w:color w:val="FFFFFF"/>
                <w:sz w:val="15"/>
              </w:rPr>
              <w:t>Source</w:t>
            </w:r>
          </w:p>
        </w:tc>
      </w:tr>
      <w:tr>
        <w:trPr>
          <w:cantSplit/>
        </w:trPr>
        <w:tc>
          <w:tcPr>
            <w:tcW w:type="dxa" w:w="2160"/>
          </w:tcPr>
          <w:p>
            <w:pPr>
              <w:spacing w:after="0" w:line="240" w:lineRule="auto"/>
            </w:pPr>
            <w:r>
              <w:rPr>
                <w:b w:val="0"/>
                <w:i w:val="0"/>
                <w:sz w:val="15"/>
              </w:rPr>
              <w:t>CARFAX</w:t>
            </w:r>
          </w:p>
        </w:tc>
        <w:tc>
          <w:tcPr>
            <w:tcW w:type="dxa" w:w="1008"/>
          </w:tcPr>
          <w:p>
            <w:pPr>
              <w:spacing w:after="0" w:line="240" w:lineRule="auto"/>
            </w:pPr>
            <w:r>
              <w:rPr>
                <w:b w:val="0"/>
                <w:i w:val="0"/>
                <w:sz w:val="15"/>
              </w:rPr>
              <w:t xml:space="preserve">77 </w:t>
            </w:r>
            <w:r>
              <w:rPr>
                <w:b/>
                <w:color w:val="2E548C"/>
                <w:sz w:val="12"/>
              </w:rPr>
              <w:t>[D]</w:t>
            </w:r>
          </w:p>
        </w:tc>
        <w:tc>
          <w:tcPr>
            <w:tcW w:type="dxa" w:w="1152"/>
          </w:tcPr>
          <w:p>
            <w:pPr>
              <w:spacing w:after="0" w:line="240" w:lineRule="auto"/>
            </w:pPr>
            <w:r>
              <w:rPr>
                <w:b w:val="0"/>
                <w:i w:val="0"/>
                <w:sz w:val="15"/>
              </w:rPr>
              <w:t xml:space="preserve">89 </w:t>
            </w:r>
            <w:r>
              <w:rPr>
                <w:b/>
                <w:color w:val="2E548C"/>
                <w:sz w:val="12"/>
              </w:rPr>
              <w:t>[D]</w:t>
            </w:r>
          </w:p>
        </w:tc>
        <w:tc>
          <w:tcPr>
            <w:tcW w:type="dxa" w:w="1008"/>
          </w:tcPr>
          <w:p>
            <w:pPr>
              <w:spacing w:after="0" w:line="240" w:lineRule="auto"/>
            </w:pPr>
            <w:r>
              <w:rPr>
                <w:b w:val="0"/>
                <w:i w:val="0"/>
                <w:sz w:val="15"/>
              </w:rPr>
              <w:t xml:space="preserve">89 </w:t>
            </w:r>
            <w:r>
              <w:rPr>
                <w:b/>
                <w:color w:val="2E548C"/>
                <w:sz w:val="12"/>
              </w:rPr>
              <w:t>[D]</w:t>
            </w:r>
          </w:p>
        </w:tc>
        <w:tc>
          <w:tcPr>
            <w:tcW w:type="dxa" w:w="1152"/>
          </w:tcPr>
          <w:p>
            <w:pPr>
              <w:spacing w:after="0" w:line="240" w:lineRule="auto"/>
            </w:pPr>
            <w:r>
              <w:rPr>
                <w:b w:val="0"/>
                <w:i w:val="0"/>
                <w:sz w:val="15"/>
              </w:rPr>
              <w:t xml:space="preserve">101 </w:t>
            </w:r>
            <w:r>
              <w:rPr>
                <w:b/>
                <w:color w:val="2E548C"/>
                <w:sz w:val="12"/>
              </w:rPr>
              <w:t>[D]</w:t>
            </w:r>
          </w:p>
        </w:tc>
        <w:tc>
          <w:tcPr>
            <w:tcW w:type="dxa" w:w="1008"/>
          </w:tcPr>
          <w:p>
            <w:pPr>
              <w:spacing w:after="0" w:line="240" w:lineRule="auto"/>
            </w:pPr>
            <w:r>
              <w:rPr>
                <w:b w:val="0"/>
                <w:i w:val="0"/>
                <w:sz w:val="15"/>
              </w:rPr>
              <w:t xml:space="preserve">166 </w:t>
            </w:r>
            <w:r>
              <w:rPr>
                <w:b/>
                <w:color w:val="2E548C"/>
                <w:sz w:val="12"/>
              </w:rPr>
              <w:t>[D]</w:t>
            </w:r>
          </w:p>
        </w:tc>
        <w:tc>
          <w:tcPr>
            <w:tcW w:type="dxa" w:w="1152"/>
          </w:tcPr>
          <w:p>
            <w:pPr>
              <w:spacing w:after="0" w:line="240" w:lineRule="auto"/>
            </w:pPr>
            <w:r>
              <w:rPr>
                <w:b w:val="0"/>
                <w:i w:val="0"/>
                <w:sz w:val="15"/>
              </w:rPr>
              <w:t xml:space="preserve">190 </w:t>
            </w:r>
            <w:r>
              <w:rPr>
                <w:b/>
                <w:color w:val="2E548C"/>
                <w:sz w:val="12"/>
              </w:rPr>
              <w:t>[D]</w:t>
            </w:r>
          </w:p>
        </w:tc>
        <w:tc>
          <w:tcPr>
            <w:tcW w:type="dxa" w:w="1152"/>
          </w:tcPr>
          <w:p>
            <w:pPr>
              <w:spacing w:after="0" w:line="240" w:lineRule="auto"/>
            </w:pPr>
            <w:r>
              <w:rPr>
                <w:b w:val="0"/>
                <w:i w:val="0"/>
                <w:sz w:val="15"/>
              </w:rPr>
              <w:t>10A p.348; 10Q p.24–25</w:t>
            </w:r>
          </w:p>
        </w:tc>
      </w:tr>
      <w:tr>
        <w:trPr>
          <w:cantSplit/>
        </w:trPr>
        <w:tc>
          <w:tcPr>
            <w:tcW w:type="dxa" w:w="2160"/>
            <w:shd w:val="clear" w:color="auto" w:fill="D9E1F2"/>
          </w:tcPr>
          <w:p>
            <w:pPr>
              <w:spacing w:after="0" w:line="240" w:lineRule="auto"/>
            </w:pPr>
            <w:r>
              <w:rPr>
                <w:b w:val="0"/>
                <w:i w:val="0"/>
                <w:sz w:val="15"/>
              </w:rPr>
              <w:t>B2B</w:t>
            </w:r>
          </w:p>
        </w:tc>
        <w:tc>
          <w:tcPr>
            <w:tcW w:type="dxa" w:w="1008"/>
            <w:shd w:val="clear" w:color="auto" w:fill="D9E1F2"/>
          </w:tcPr>
          <w:p>
            <w:pPr>
              <w:spacing w:after="0" w:line="240" w:lineRule="auto"/>
            </w:pPr>
            <w:r>
              <w:rPr>
                <w:b w:val="0"/>
                <w:i w:val="0"/>
                <w:sz w:val="15"/>
              </w:rPr>
              <w:t xml:space="preserve">14 </w:t>
            </w:r>
            <w:r>
              <w:rPr>
                <w:b/>
                <w:color w:val="2E548C"/>
                <w:sz w:val="12"/>
              </w:rPr>
              <w:t>[D]</w:t>
            </w:r>
          </w:p>
        </w:tc>
        <w:tc>
          <w:tcPr>
            <w:tcW w:type="dxa" w:w="1152"/>
            <w:shd w:val="clear" w:color="auto" w:fill="D9E1F2"/>
          </w:tcPr>
          <w:p>
            <w:pPr>
              <w:spacing w:after="0" w:line="240" w:lineRule="auto"/>
            </w:pPr>
            <w:r>
              <w:rPr>
                <w:b w:val="0"/>
                <w:i w:val="0"/>
                <w:sz w:val="15"/>
              </w:rPr>
              <w:t xml:space="preserve">5 </w:t>
            </w:r>
            <w:r>
              <w:rPr>
                <w:b/>
                <w:color w:val="2E548C"/>
                <w:sz w:val="12"/>
              </w:rPr>
              <w:t>[D]</w:t>
            </w:r>
            <w:r>
              <w:rPr>
                <w:b w:val="0"/>
                <w:i w:val="0"/>
                <w:sz w:val="15"/>
              </w:rPr>
              <w:t xml:space="preserve"> (−62% printed)</w:t>
            </w:r>
          </w:p>
        </w:tc>
        <w:tc>
          <w:tcPr>
            <w:tcW w:type="dxa" w:w="1008"/>
            <w:shd w:val="clear" w:color="auto" w:fill="D9E1F2"/>
          </w:tcPr>
          <w:p>
            <w:pPr>
              <w:spacing w:after="0" w:line="240" w:lineRule="auto"/>
            </w:pPr>
            <w:r>
              <w:rPr>
                <w:b w:val="0"/>
                <w:i w:val="0"/>
                <w:sz w:val="15"/>
              </w:rPr>
              <w:t xml:space="preserve">16 </w:t>
            </w:r>
            <w:r>
              <w:rPr>
                <w:b/>
                <w:color w:val="2E548C"/>
                <w:sz w:val="12"/>
              </w:rPr>
              <w:t>[D]</w:t>
            </w:r>
          </w:p>
        </w:tc>
        <w:tc>
          <w:tcPr>
            <w:tcW w:type="dxa" w:w="1152"/>
            <w:shd w:val="clear" w:color="auto" w:fill="D9E1F2"/>
          </w:tcPr>
          <w:p>
            <w:pPr>
              <w:spacing w:after="0" w:line="240" w:lineRule="auto"/>
            </w:pPr>
            <w:r>
              <w:rPr>
                <w:b w:val="0"/>
                <w:i w:val="0"/>
                <w:sz w:val="15"/>
              </w:rPr>
              <w:t xml:space="preserve">3 </w:t>
            </w:r>
            <w:r>
              <w:rPr>
                <w:b/>
                <w:color w:val="2E548C"/>
                <w:sz w:val="12"/>
              </w:rPr>
              <w:t>[D]</w:t>
            </w:r>
            <w:r>
              <w:rPr>
                <w:b w:val="0"/>
                <w:i w:val="0"/>
                <w:sz w:val="15"/>
              </w:rPr>
              <w:t xml:space="preserve"> (−81% </w:t>
            </w:r>
            <w:r>
              <w:rPr>
                <w:b/>
                <w:color w:val="2E548C"/>
                <w:sz w:val="12"/>
              </w:rPr>
              <w:t>[C]</w:t>
            </w:r>
            <w:r>
              <w:rPr>
                <w:b w:val="0"/>
                <w:i w:val="0"/>
                <w:sz w:val="15"/>
              </w:rPr>
              <w:t>)</w:t>
            </w:r>
          </w:p>
        </w:tc>
        <w:tc>
          <w:tcPr>
            <w:tcW w:type="dxa" w:w="1008"/>
            <w:shd w:val="clear" w:color="auto" w:fill="D9E1F2"/>
          </w:tcPr>
          <w:p>
            <w:pPr>
              <w:spacing w:after="0" w:line="240" w:lineRule="auto"/>
            </w:pPr>
            <w:r>
              <w:rPr>
                <w:b w:val="0"/>
                <w:i w:val="0"/>
                <w:sz w:val="15"/>
              </w:rPr>
              <w:t xml:space="preserve">30 </w:t>
            </w:r>
            <w:r>
              <w:rPr>
                <w:b/>
                <w:color w:val="2E548C"/>
                <w:sz w:val="12"/>
              </w:rPr>
              <w:t>[D]</w:t>
            </w:r>
          </w:p>
        </w:tc>
        <w:tc>
          <w:tcPr>
            <w:tcW w:type="dxa" w:w="1152"/>
            <w:shd w:val="clear" w:color="auto" w:fill="D9E1F2"/>
          </w:tcPr>
          <w:p>
            <w:pPr>
              <w:spacing w:after="0" w:line="240" w:lineRule="auto"/>
            </w:pPr>
            <w:r>
              <w:rPr>
                <w:b w:val="0"/>
                <w:i w:val="0"/>
                <w:sz w:val="15"/>
              </w:rPr>
              <w:t xml:space="preserve">8 </w:t>
            </w:r>
            <w:r>
              <w:rPr>
                <w:b/>
                <w:color w:val="2E548C"/>
                <w:sz w:val="12"/>
              </w:rPr>
              <w:t>[D]</w:t>
            </w:r>
            <w:r>
              <w:rPr>
                <w:b w:val="0"/>
                <w:i w:val="0"/>
                <w:sz w:val="15"/>
              </w:rPr>
              <w:t xml:space="preserve"> (−73% </w:t>
            </w:r>
            <w:r>
              <w:rPr>
                <w:b/>
                <w:color w:val="2E548C"/>
                <w:sz w:val="12"/>
              </w:rPr>
              <w:t>[C]</w:t>
            </w:r>
            <w:r>
              <w:rPr>
                <w:b w:val="0"/>
                <w:i w:val="0"/>
                <w:sz w:val="15"/>
              </w:rPr>
              <w:t>)</w:t>
            </w:r>
          </w:p>
        </w:tc>
        <w:tc>
          <w:tcPr>
            <w:tcW w:type="dxa" w:w="1152"/>
            <w:shd w:val="clear" w:color="auto" w:fill="D9E1F2"/>
          </w:tcPr>
          <w:p>
            <w:pPr>
              <w:spacing w:after="0" w:line="240" w:lineRule="auto"/>
            </w:pPr>
            <w:r>
              <w:rPr>
                <w:b w:val="0"/>
                <w:i w:val="0"/>
                <w:sz w:val="15"/>
              </w:rPr>
              <w:t>same</w:t>
            </w:r>
          </w:p>
        </w:tc>
      </w:tr>
      <w:tr>
        <w:trPr>
          <w:cantSplit/>
        </w:trPr>
        <w:tc>
          <w:tcPr>
            <w:tcW w:type="dxa" w:w="2160"/>
          </w:tcPr>
          <w:p>
            <w:pPr>
              <w:spacing w:after="0" w:line="240" w:lineRule="auto"/>
            </w:pPr>
            <w:r>
              <w:rPr>
                <w:b w:val="0"/>
                <w:i w:val="0"/>
                <w:sz w:val="15"/>
              </w:rPr>
              <w:t>B2B Adj. EBITDA (new measure)</w:t>
            </w:r>
          </w:p>
        </w:tc>
        <w:tc>
          <w:tcPr>
            <w:tcW w:type="dxa" w:w="1008"/>
          </w:tcPr>
          <w:p>
            <w:pPr>
              <w:spacing w:after="0" w:line="240" w:lineRule="auto"/>
            </w:pPr>
            <w:r>
              <w:rPr>
                <w:b w:val="0"/>
                <w:i w:val="0"/>
                <w:sz w:val="15"/>
              </w:rPr>
              <w:t>—</w:t>
            </w:r>
          </w:p>
        </w:tc>
        <w:tc>
          <w:tcPr>
            <w:tcW w:type="dxa" w:w="1152"/>
          </w:tcPr>
          <w:p>
            <w:pPr>
              <w:spacing w:after="0" w:line="240" w:lineRule="auto"/>
            </w:pPr>
            <w:r>
              <w:rPr>
                <w:b w:val="0"/>
                <w:i w:val="0"/>
                <w:sz w:val="15"/>
              </w:rPr>
              <w:t xml:space="preserve">49 </w:t>
            </w:r>
            <w:r>
              <w:rPr>
                <w:b/>
                <w:color w:val="2E548C"/>
                <w:sz w:val="12"/>
              </w:rPr>
              <w:t>[D]</w:t>
            </w:r>
          </w:p>
        </w:tc>
        <w:tc>
          <w:tcPr>
            <w:tcW w:type="dxa" w:w="1008"/>
          </w:tcPr>
          <w:p>
            <w:pPr>
              <w:spacing w:after="0" w:line="240" w:lineRule="auto"/>
            </w:pPr>
            <w:r>
              <w:rPr>
                <w:b w:val="0"/>
                <w:i w:val="0"/>
                <w:sz w:val="15"/>
              </w:rPr>
              <w:t xml:space="preserve">49 </w:t>
            </w:r>
            <w:r>
              <w:rPr>
                <w:b/>
                <w:color w:val="2E548C"/>
                <w:sz w:val="12"/>
              </w:rPr>
              <w:t>[D]</w:t>
            </w:r>
          </w:p>
        </w:tc>
        <w:tc>
          <w:tcPr>
            <w:tcW w:type="dxa" w:w="1152"/>
          </w:tcPr>
          <w:p>
            <w:pPr>
              <w:spacing w:after="0" w:line="240" w:lineRule="auto"/>
            </w:pPr>
            <w:r>
              <w:rPr>
                <w:b w:val="0"/>
                <w:i w:val="0"/>
                <w:sz w:val="15"/>
              </w:rPr>
              <w:t xml:space="preserve">53 </w:t>
            </w:r>
            <w:r>
              <w:rPr>
                <w:b/>
                <w:color w:val="2E548C"/>
                <w:sz w:val="12"/>
              </w:rPr>
              <w:t>[D]</w:t>
            </w:r>
            <w:r>
              <w:rPr>
                <w:b w:val="0"/>
                <w:i w:val="0"/>
                <w:sz w:val="15"/>
              </w:rPr>
              <w:t xml:space="preserve"> (+8%)</w:t>
            </w:r>
          </w:p>
        </w:tc>
        <w:tc>
          <w:tcPr>
            <w:tcW w:type="dxa" w:w="1008"/>
          </w:tcPr>
          <w:p>
            <w:pPr>
              <w:spacing w:after="0" w:line="240" w:lineRule="auto"/>
            </w:pPr>
            <w:r>
              <w:rPr>
                <w:b w:val="0"/>
                <w:i w:val="0"/>
                <w:sz w:val="15"/>
              </w:rPr>
              <w:t xml:space="preserve">93 </w:t>
            </w:r>
            <w:r>
              <w:rPr>
                <w:b/>
                <w:color w:val="2E548C"/>
                <w:sz w:val="12"/>
              </w:rPr>
              <w:t>[D]</w:t>
            </w:r>
          </w:p>
        </w:tc>
        <w:tc>
          <w:tcPr>
            <w:tcW w:type="dxa" w:w="1152"/>
          </w:tcPr>
          <w:p>
            <w:pPr>
              <w:spacing w:after="0" w:line="240" w:lineRule="auto"/>
            </w:pPr>
            <w:r>
              <w:rPr>
                <w:b w:val="0"/>
                <w:i w:val="0"/>
                <w:sz w:val="15"/>
              </w:rPr>
              <w:t xml:space="preserve">102 </w:t>
            </w:r>
            <w:r>
              <w:rPr>
                <w:b/>
                <w:color w:val="2E548C"/>
                <w:sz w:val="12"/>
              </w:rPr>
              <w:t>[D]</w:t>
            </w:r>
            <w:r>
              <w:rPr>
                <w:b w:val="0"/>
                <w:i w:val="0"/>
                <w:sz w:val="15"/>
              </w:rPr>
              <w:t xml:space="preserve"> (+10%)</w:t>
            </w:r>
          </w:p>
        </w:tc>
        <w:tc>
          <w:tcPr>
            <w:tcW w:type="dxa" w:w="1152"/>
          </w:tcPr>
          <w:p>
            <w:pPr>
              <w:spacing w:after="0" w:line="240" w:lineRule="auto"/>
            </w:pPr>
            <w:r>
              <w:rPr>
                <w:b w:val="0"/>
                <w:i w:val="0"/>
                <w:sz w:val="15"/>
              </w:rPr>
              <w:t>10Q p.14, 24–25</w:t>
            </w:r>
          </w:p>
        </w:tc>
      </w:tr>
    </w:tbl>
    <w:p>
      <w:pPr>
        <w:spacing w:after="120"/>
      </w:pPr>
      <w:r>
        <w:rPr>
          <w:b w:val="0"/>
          <w:i/>
          <w:color w:val="595959"/>
          <w:sz w:val="15"/>
        </w:rPr>
        <w:t xml:space="preserve">Source: D4 §2. Stand-up transaction costs were booked in B2B ($13m Q1-26, $20m Q2-26) </w:t>
      </w:r>
      <w:r>
        <w:rPr>
          <w:b/>
          <w:color w:val="2E548C"/>
          <w:sz w:val="12"/>
        </w:rPr>
        <w:t>[D]</w:t>
      </w:r>
      <w:r>
        <w:rPr>
          <w:b w:val="0"/>
          <w:i/>
          <w:color w:val="595959"/>
          <w:sz w:val="15"/>
        </w:rPr>
        <w:t>.</w:t>
      </w:r>
    </w:p>
    <w:p>
      <w:pPr>
        <w:keepNext/>
        <w:spacing w:before="80" w:after="40"/>
      </w:pPr>
      <w:r>
        <w:rPr>
          <w:b/>
          <w:i w:val="0"/>
          <w:color w:val="1F3864"/>
          <w:sz w:val="17"/>
        </w:rPr>
        <w:t xml:space="preserve">Exhibit 14.4 — S&amp;P Global Mobility segment vs Form 10/A carve-out, FY23–25 ($m) </w:t>
      </w:r>
      <w:r>
        <w:rPr>
          <w:b/>
          <w:color w:val="2E548C"/>
          <w:sz w:val="14"/>
        </w:rPr>
        <w:t>[D]</w:t>
      </w:r>
      <w:r>
        <w:rPr>
          <w:b/>
          <w:i w:val="0"/>
          <w:color w:val="1F3864"/>
          <w:sz w:val="17"/>
        </w:rPr>
        <w:t>/</w:t>
      </w:r>
      <w:r>
        <w:rPr>
          <w:b/>
          <w:color w:val="2E548C"/>
          <w:sz w:val="14"/>
        </w:rPr>
        <w:t>[C]</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296"/>
        <w:gridCol w:w="864"/>
        <w:gridCol w:w="864"/>
        <w:gridCol w:w="864"/>
        <w:gridCol w:w="864"/>
        <w:gridCol w:w="864"/>
        <w:gridCol w:w="864"/>
        <w:gridCol w:w="3311"/>
      </w:tblGrid>
      <w:tr>
        <w:trPr>
          <w:cantSplit/>
          <w:tblHeader/>
        </w:trPr>
        <w:tc>
          <w:tcPr>
            <w:tcW w:type="dxa" w:w="1296"/>
            <w:shd w:val="clear" w:color="auto" w:fill="1F3864"/>
          </w:tcPr>
          <w:p>
            <w:pPr>
              <w:spacing w:after="0" w:line="240" w:lineRule="auto"/>
            </w:pPr>
            <w:r>
              <w:rPr>
                <w:b/>
                <w:i w:val="0"/>
                <w:color w:val="FFFFFF"/>
                <w:sz w:val="14"/>
              </w:rPr>
              <w:t>Item</w:t>
            </w:r>
          </w:p>
        </w:tc>
        <w:tc>
          <w:tcPr>
            <w:tcW w:type="dxa" w:w="864"/>
            <w:shd w:val="clear" w:color="auto" w:fill="1F3864"/>
          </w:tcPr>
          <w:p>
            <w:pPr>
              <w:spacing w:after="0" w:line="240" w:lineRule="auto"/>
            </w:pPr>
            <w:r>
              <w:rPr>
                <w:b/>
                <w:i w:val="0"/>
                <w:color w:val="FFFFFF"/>
                <w:sz w:val="14"/>
              </w:rPr>
              <w:t>FY23 SPGI</w:t>
            </w:r>
          </w:p>
        </w:tc>
        <w:tc>
          <w:tcPr>
            <w:tcW w:type="dxa" w:w="864"/>
            <w:shd w:val="clear" w:color="auto" w:fill="1F3864"/>
          </w:tcPr>
          <w:p>
            <w:pPr>
              <w:spacing w:after="0" w:line="240" w:lineRule="auto"/>
            </w:pPr>
            <w:r>
              <w:rPr>
                <w:b/>
                <w:i w:val="0"/>
                <w:color w:val="FFFFFF"/>
                <w:sz w:val="14"/>
              </w:rPr>
              <w:t>FY23 10A</w:t>
            </w:r>
          </w:p>
        </w:tc>
        <w:tc>
          <w:tcPr>
            <w:tcW w:type="dxa" w:w="864"/>
            <w:shd w:val="clear" w:color="auto" w:fill="1F3864"/>
          </w:tcPr>
          <w:p>
            <w:pPr>
              <w:spacing w:after="0" w:line="240" w:lineRule="auto"/>
            </w:pPr>
            <w:r>
              <w:rPr>
                <w:b/>
                <w:i w:val="0"/>
                <w:color w:val="FFFFFF"/>
                <w:sz w:val="14"/>
              </w:rPr>
              <w:t>FY24 SPGI</w:t>
            </w:r>
          </w:p>
        </w:tc>
        <w:tc>
          <w:tcPr>
            <w:tcW w:type="dxa" w:w="864"/>
            <w:shd w:val="clear" w:color="auto" w:fill="1F3864"/>
          </w:tcPr>
          <w:p>
            <w:pPr>
              <w:spacing w:after="0" w:line="240" w:lineRule="auto"/>
            </w:pPr>
            <w:r>
              <w:rPr>
                <w:b/>
                <w:i w:val="0"/>
                <w:color w:val="FFFFFF"/>
                <w:sz w:val="14"/>
              </w:rPr>
              <w:t>FY24 10A</w:t>
            </w:r>
          </w:p>
        </w:tc>
        <w:tc>
          <w:tcPr>
            <w:tcW w:type="dxa" w:w="864"/>
            <w:shd w:val="clear" w:color="auto" w:fill="1F3864"/>
          </w:tcPr>
          <w:p>
            <w:pPr>
              <w:spacing w:after="0" w:line="240" w:lineRule="auto"/>
            </w:pPr>
            <w:r>
              <w:rPr>
                <w:b/>
                <w:i w:val="0"/>
                <w:color w:val="FFFFFF"/>
                <w:sz w:val="14"/>
              </w:rPr>
              <w:t>FY25 SPGI</w:t>
            </w:r>
          </w:p>
        </w:tc>
        <w:tc>
          <w:tcPr>
            <w:tcW w:type="dxa" w:w="864"/>
            <w:shd w:val="clear" w:color="auto" w:fill="1F3864"/>
          </w:tcPr>
          <w:p>
            <w:pPr>
              <w:spacing w:after="0" w:line="240" w:lineRule="auto"/>
            </w:pPr>
            <w:r>
              <w:rPr>
                <w:b/>
                <w:i w:val="0"/>
                <w:color w:val="FFFFFF"/>
                <w:sz w:val="14"/>
              </w:rPr>
              <w:t>FY25 10A</w:t>
            </w:r>
          </w:p>
        </w:tc>
        <w:tc>
          <w:tcPr>
            <w:tcW w:type="dxa" w:w="3312"/>
            <w:shd w:val="clear" w:color="auto" w:fill="1F3864"/>
          </w:tcPr>
          <w:p>
            <w:pPr>
              <w:spacing w:after="0" w:line="240" w:lineRule="auto"/>
            </w:pPr>
            <w:r>
              <w:rPr>
                <w:b/>
                <w:i w:val="0"/>
                <w:color w:val="FFFFFF"/>
                <w:sz w:val="14"/>
              </w:rPr>
              <w:t>Explanation</w:t>
            </w:r>
          </w:p>
        </w:tc>
      </w:tr>
      <w:tr>
        <w:trPr>
          <w:cantSplit/>
        </w:trPr>
        <w:tc>
          <w:tcPr>
            <w:tcW w:type="dxa" w:w="1296"/>
          </w:tcPr>
          <w:p>
            <w:pPr>
              <w:spacing w:after="0" w:line="240" w:lineRule="auto"/>
            </w:pPr>
            <w:r>
              <w:rPr>
                <w:b w:val="0"/>
                <w:i w:val="0"/>
                <w:sz w:val="14"/>
              </w:rPr>
              <w:t>Revenue</w:t>
            </w:r>
          </w:p>
        </w:tc>
        <w:tc>
          <w:tcPr>
            <w:tcW w:type="dxa" w:w="864"/>
          </w:tcPr>
          <w:p>
            <w:pPr>
              <w:spacing w:after="0" w:line="240" w:lineRule="auto"/>
            </w:pPr>
            <w:r>
              <w:rPr>
                <w:b w:val="0"/>
                <w:i w:val="0"/>
                <w:sz w:val="14"/>
              </w:rPr>
              <w:t xml:space="preserve">1,484 </w:t>
            </w:r>
            <w:r>
              <w:rPr>
                <w:b/>
                <w:color w:val="2E548C"/>
                <w:sz w:val="11"/>
              </w:rPr>
              <w:t>[D]</w:t>
            </w:r>
          </w:p>
        </w:tc>
        <w:tc>
          <w:tcPr>
            <w:tcW w:type="dxa" w:w="864"/>
          </w:tcPr>
          <w:p>
            <w:pPr>
              <w:spacing w:after="0" w:line="240" w:lineRule="auto"/>
            </w:pPr>
            <w:r>
              <w:rPr>
                <w:b w:val="0"/>
                <w:i w:val="0"/>
                <w:sz w:val="14"/>
              </w:rPr>
              <w:t xml:space="preserve">1,485 </w:t>
            </w:r>
            <w:r>
              <w:rPr>
                <w:b/>
                <w:color w:val="2E548C"/>
                <w:sz w:val="11"/>
              </w:rPr>
              <w:t>[D]</w:t>
            </w:r>
          </w:p>
        </w:tc>
        <w:tc>
          <w:tcPr>
            <w:tcW w:type="dxa" w:w="864"/>
          </w:tcPr>
          <w:p>
            <w:pPr>
              <w:spacing w:after="0" w:line="240" w:lineRule="auto"/>
            </w:pPr>
            <w:r>
              <w:rPr>
                <w:b w:val="0"/>
                <w:i w:val="0"/>
                <w:sz w:val="14"/>
              </w:rPr>
              <w:t>1,609</w:t>
            </w:r>
          </w:p>
        </w:tc>
        <w:tc>
          <w:tcPr>
            <w:tcW w:type="dxa" w:w="864"/>
          </w:tcPr>
          <w:p>
            <w:pPr>
              <w:spacing w:after="0" w:line="240" w:lineRule="auto"/>
            </w:pPr>
            <w:r>
              <w:rPr>
                <w:b w:val="0"/>
                <w:i w:val="0"/>
                <w:sz w:val="14"/>
              </w:rPr>
              <w:t>1,613</w:t>
            </w:r>
          </w:p>
        </w:tc>
        <w:tc>
          <w:tcPr>
            <w:tcW w:type="dxa" w:w="864"/>
          </w:tcPr>
          <w:p>
            <w:pPr>
              <w:spacing w:after="0" w:line="240" w:lineRule="auto"/>
            </w:pPr>
            <w:r>
              <w:rPr>
                <w:b w:val="0"/>
                <w:i w:val="0"/>
                <w:sz w:val="14"/>
              </w:rPr>
              <w:t>1,747</w:t>
            </w:r>
          </w:p>
        </w:tc>
        <w:tc>
          <w:tcPr>
            <w:tcW w:type="dxa" w:w="864"/>
          </w:tcPr>
          <w:p>
            <w:pPr>
              <w:spacing w:after="0" w:line="240" w:lineRule="auto"/>
            </w:pPr>
            <w:r>
              <w:rPr>
                <w:b w:val="0"/>
                <w:i w:val="0"/>
                <w:sz w:val="14"/>
              </w:rPr>
              <w:t>1,750</w:t>
            </w:r>
          </w:p>
        </w:tc>
        <w:tc>
          <w:tcPr>
            <w:tcW w:type="dxa" w:w="3312"/>
          </w:tcPr>
          <w:p>
            <w:pPr>
              <w:spacing w:after="0" w:line="240" w:lineRule="auto"/>
            </w:pPr>
            <w:r>
              <w:rPr>
                <w:b w:val="0"/>
                <w:i w:val="0"/>
                <w:sz w:val="14"/>
              </w:rPr>
              <w:t xml:space="preserve">US subscription only; SPGI data-sharing revenue 3/3/3 </w:t>
            </w:r>
            <w:r>
              <w:rPr>
                <w:b/>
                <w:color w:val="2E548C"/>
                <w:sz w:val="11"/>
              </w:rPr>
              <w:t>[D]</w:t>
            </w:r>
            <w:r>
              <w:rPr>
                <w:b w:val="0"/>
                <w:i w:val="0"/>
                <w:sz w:val="14"/>
              </w:rPr>
              <w:t xml:space="preserve"> (10A p.465) eliminated at SPGI</w:t>
            </w:r>
          </w:p>
        </w:tc>
      </w:tr>
      <w:tr>
        <w:trPr>
          <w:cantSplit/>
        </w:trPr>
        <w:tc>
          <w:tcPr>
            <w:tcW w:type="dxa" w:w="1296"/>
            <w:shd w:val="clear" w:color="auto" w:fill="D9E1F2"/>
          </w:tcPr>
          <w:p>
            <w:pPr>
              <w:spacing w:after="0" w:line="240" w:lineRule="auto"/>
            </w:pPr>
            <w:r>
              <w:rPr>
                <w:b w:val="0"/>
                <w:i w:val="0"/>
                <w:sz w:val="14"/>
              </w:rPr>
              <w:t>Segment OP (pre-corporate)</w:t>
            </w:r>
          </w:p>
        </w:tc>
        <w:tc>
          <w:tcPr>
            <w:tcW w:type="dxa" w:w="864"/>
            <w:shd w:val="clear" w:color="auto" w:fill="D9E1F2"/>
          </w:tcPr>
          <w:p>
            <w:pPr>
              <w:spacing w:after="0" w:line="240" w:lineRule="auto"/>
            </w:pPr>
            <w:r>
              <w:rPr>
                <w:b w:val="0"/>
                <w:i w:val="0"/>
                <w:sz w:val="14"/>
              </w:rPr>
              <w:t>260</w:t>
            </w:r>
          </w:p>
        </w:tc>
        <w:tc>
          <w:tcPr>
            <w:tcW w:type="dxa" w:w="864"/>
            <w:shd w:val="clear" w:color="auto" w:fill="D9E1F2"/>
          </w:tcPr>
          <w:p>
            <w:pPr>
              <w:spacing w:after="0" w:line="240" w:lineRule="auto"/>
            </w:pPr>
            <w:r>
              <w:rPr>
                <w:b w:val="0"/>
                <w:i w:val="0"/>
                <w:sz w:val="14"/>
              </w:rPr>
              <w:t>271</w:t>
            </w:r>
          </w:p>
        </w:tc>
        <w:tc>
          <w:tcPr>
            <w:tcW w:type="dxa" w:w="864"/>
            <w:shd w:val="clear" w:color="auto" w:fill="D9E1F2"/>
          </w:tcPr>
          <w:p>
            <w:pPr>
              <w:spacing w:after="0" w:line="240" w:lineRule="auto"/>
            </w:pPr>
            <w:r>
              <w:rPr>
                <w:b w:val="0"/>
                <w:i w:val="0"/>
                <w:sz w:val="14"/>
              </w:rPr>
              <w:t>312</w:t>
            </w:r>
          </w:p>
        </w:tc>
        <w:tc>
          <w:tcPr>
            <w:tcW w:type="dxa" w:w="864"/>
            <w:shd w:val="clear" w:color="auto" w:fill="D9E1F2"/>
          </w:tcPr>
          <w:p>
            <w:pPr>
              <w:spacing w:after="0" w:line="240" w:lineRule="auto"/>
            </w:pPr>
            <w:r>
              <w:rPr>
                <w:b w:val="0"/>
                <w:i w:val="0"/>
                <w:sz w:val="14"/>
              </w:rPr>
              <w:t>328</w:t>
            </w:r>
          </w:p>
        </w:tc>
        <w:tc>
          <w:tcPr>
            <w:tcW w:type="dxa" w:w="864"/>
            <w:shd w:val="clear" w:color="auto" w:fill="D9E1F2"/>
          </w:tcPr>
          <w:p>
            <w:pPr>
              <w:spacing w:after="0" w:line="240" w:lineRule="auto"/>
            </w:pPr>
            <w:r>
              <w:rPr>
                <w:b w:val="0"/>
                <w:i w:val="0"/>
                <w:sz w:val="14"/>
              </w:rPr>
              <w:t>378</w:t>
            </w:r>
          </w:p>
        </w:tc>
        <w:tc>
          <w:tcPr>
            <w:tcW w:type="dxa" w:w="864"/>
            <w:shd w:val="clear" w:color="auto" w:fill="D9E1F2"/>
          </w:tcPr>
          <w:p>
            <w:pPr>
              <w:spacing w:after="0" w:line="240" w:lineRule="auto"/>
            </w:pPr>
            <w:r>
              <w:rPr>
                <w:b w:val="0"/>
                <w:i w:val="0"/>
                <w:sz w:val="14"/>
              </w:rPr>
              <w:t>384</w:t>
            </w:r>
          </w:p>
        </w:tc>
        <w:tc>
          <w:tcPr>
            <w:tcW w:type="dxa" w:w="3312"/>
            <w:shd w:val="clear" w:color="auto" w:fill="D9E1F2"/>
          </w:tcPr>
          <w:p>
            <w:pPr>
              <w:spacing w:after="0" w:line="240" w:lineRule="auto"/>
            </w:pPr>
            <w:r>
              <w:rPr>
                <w:b w:val="0"/>
                <w:i w:val="0"/>
                <w:sz w:val="14"/>
              </w:rPr>
              <w:t>carve-out moves costs to Corporate Unallocated (32/30/45)</w:t>
            </w:r>
          </w:p>
        </w:tc>
      </w:tr>
      <w:tr>
        <w:trPr>
          <w:cantSplit/>
        </w:trPr>
        <w:tc>
          <w:tcPr>
            <w:tcW w:type="dxa" w:w="1296"/>
          </w:tcPr>
          <w:p>
            <w:pPr>
              <w:spacing w:after="0" w:line="240" w:lineRule="auto"/>
            </w:pPr>
            <w:r>
              <w:rPr>
                <w:b w:val="0"/>
                <w:i w:val="0"/>
                <w:sz w:val="14"/>
              </w:rPr>
              <w:t>Total OP</w:t>
            </w:r>
          </w:p>
        </w:tc>
        <w:tc>
          <w:tcPr>
            <w:tcW w:type="dxa" w:w="864"/>
          </w:tcPr>
          <w:p>
            <w:pPr>
              <w:spacing w:after="0" w:line="240" w:lineRule="auto"/>
            </w:pPr>
            <w:r>
              <w:rPr>
                <w:b w:val="0"/>
                <w:i w:val="0"/>
                <w:sz w:val="14"/>
              </w:rPr>
              <w:t>260</w:t>
            </w:r>
          </w:p>
        </w:tc>
        <w:tc>
          <w:tcPr>
            <w:tcW w:type="dxa" w:w="864"/>
          </w:tcPr>
          <w:p>
            <w:pPr>
              <w:spacing w:after="0" w:line="240" w:lineRule="auto"/>
            </w:pPr>
            <w:r>
              <w:rPr>
                <w:b w:val="0"/>
                <w:i w:val="0"/>
                <w:sz w:val="14"/>
              </w:rPr>
              <w:t>239</w:t>
            </w:r>
          </w:p>
        </w:tc>
        <w:tc>
          <w:tcPr>
            <w:tcW w:type="dxa" w:w="864"/>
          </w:tcPr>
          <w:p>
            <w:pPr>
              <w:spacing w:after="0" w:line="240" w:lineRule="auto"/>
            </w:pPr>
            <w:r>
              <w:rPr>
                <w:b w:val="0"/>
                <w:i w:val="0"/>
                <w:sz w:val="14"/>
              </w:rPr>
              <w:t>312</w:t>
            </w:r>
          </w:p>
        </w:tc>
        <w:tc>
          <w:tcPr>
            <w:tcW w:type="dxa" w:w="864"/>
          </w:tcPr>
          <w:p>
            <w:pPr>
              <w:spacing w:after="0" w:line="240" w:lineRule="auto"/>
            </w:pPr>
            <w:r>
              <w:rPr>
                <w:b w:val="0"/>
                <w:i w:val="0"/>
                <w:sz w:val="14"/>
              </w:rPr>
              <w:t>298</w:t>
            </w:r>
          </w:p>
        </w:tc>
        <w:tc>
          <w:tcPr>
            <w:tcW w:type="dxa" w:w="864"/>
          </w:tcPr>
          <w:p>
            <w:pPr>
              <w:spacing w:after="0" w:line="240" w:lineRule="auto"/>
            </w:pPr>
            <w:r>
              <w:rPr>
                <w:b w:val="0"/>
                <w:i w:val="0"/>
                <w:sz w:val="14"/>
              </w:rPr>
              <w:t>378</w:t>
            </w:r>
          </w:p>
        </w:tc>
        <w:tc>
          <w:tcPr>
            <w:tcW w:type="dxa" w:w="864"/>
          </w:tcPr>
          <w:p>
            <w:pPr>
              <w:spacing w:after="0" w:line="240" w:lineRule="auto"/>
            </w:pPr>
            <w:r>
              <w:rPr>
                <w:b w:val="0"/>
                <w:i w:val="0"/>
                <w:sz w:val="14"/>
              </w:rPr>
              <w:t>339</w:t>
            </w:r>
          </w:p>
        </w:tc>
        <w:tc>
          <w:tcPr>
            <w:tcW w:type="dxa" w:w="3312"/>
          </w:tcPr>
          <w:p>
            <w:pPr>
              <w:spacing w:after="0" w:line="240" w:lineRule="auto"/>
            </w:pPr>
            <w:r>
              <w:rPr>
                <w:b w:val="0"/>
                <w:i w:val="0"/>
                <w:sz w:val="14"/>
              </w:rPr>
              <w:t xml:space="preserve">bridge: +amort Δ (6/7/7) +rev Δ −Corp; residual +4/+5/−4 </w:t>
            </w:r>
            <w:r>
              <w:rPr>
                <w:b/>
                <w:color w:val="2E548C"/>
                <w:sz w:val="11"/>
              </w:rPr>
              <w:t>[C]</w:t>
            </w:r>
          </w:p>
        </w:tc>
      </w:tr>
      <w:tr>
        <w:trPr>
          <w:cantSplit/>
        </w:trPr>
        <w:tc>
          <w:tcPr>
            <w:tcW w:type="dxa" w:w="1296"/>
            <w:shd w:val="clear" w:color="auto" w:fill="D9E1F2"/>
          </w:tcPr>
          <w:p>
            <w:pPr>
              <w:spacing w:after="0" w:line="240" w:lineRule="auto"/>
            </w:pPr>
            <w:r>
              <w:rPr>
                <w:b w:val="0"/>
                <w:i w:val="0"/>
                <w:sz w:val="14"/>
              </w:rPr>
              <w:t>Amortization</w:t>
            </w:r>
          </w:p>
        </w:tc>
        <w:tc>
          <w:tcPr>
            <w:tcW w:type="dxa" w:w="864"/>
            <w:shd w:val="clear" w:color="auto" w:fill="D9E1F2"/>
          </w:tcPr>
          <w:p>
            <w:pPr>
              <w:spacing w:after="0" w:line="240" w:lineRule="auto"/>
            </w:pPr>
            <w:r>
              <w:rPr>
                <w:b w:val="0"/>
                <w:i w:val="0"/>
                <w:sz w:val="14"/>
              </w:rPr>
              <w:t>301</w:t>
            </w:r>
          </w:p>
        </w:tc>
        <w:tc>
          <w:tcPr>
            <w:tcW w:type="dxa" w:w="864"/>
            <w:shd w:val="clear" w:color="auto" w:fill="D9E1F2"/>
          </w:tcPr>
          <w:p>
            <w:pPr>
              <w:spacing w:after="0" w:line="240" w:lineRule="auto"/>
            </w:pPr>
            <w:r>
              <w:rPr>
                <w:b w:val="0"/>
                <w:i w:val="0"/>
                <w:sz w:val="14"/>
              </w:rPr>
              <w:t>295</w:t>
            </w:r>
          </w:p>
        </w:tc>
        <w:tc>
          <w:tcPr>
            <w:tcW w:type="dxa" w:w="864"/>
            <w:shd w:val="clear" w:color="auto" w:fill="D9E1F2"/>
          </w:tcPr>
          <w:p>
            <w:pPr>
              <w:spacing w:after="0" w:line="240" w:lineRule="auto"/>
            </w:pPr>
            <w:r>
              <w:rPr>
                <w:b w:val="0"/>
                <w:i w:val="0"/>
                <w:sz w:val="14"/>
              </w:rPr>
              <w:t>303</w:t>
            </w:r>
          </w:p>
        </w:tc>
        <w:tc>
          <w:tcPr>
            <w:tcW w:type="dxa" w:w="864"/>
            <w:shd w:val="clear" w:color="auto" w:fill="D9E1F2"/>
          </w:tcPr>
          <w:p>
            <w:pPr>
              <w:spacing w:after="0" w:line="240" w:lineRule="auto"/>
            </w:pPr>
            <w:r>
              <w:rPr>
                <w:b w:val="0"/>
                <w:i w:val="0"/>
                <w:sz w:val="14"/>
              </w:rPr>
              <w:t>296</w:t>
            </w:r>
          </w:p>
        </w:tc>
        <w:tc>
          <w:tcPr>
            <w:tcW w:type="dxa" w:w="864"/>
            <w:shd w:val="clear" w:color="auto" w:fill="D9E1F2"/>
          </w:tcPr>
          <w:p>
            <w:pPr>
              <w:spacing w:after="0" w:line="240" w:lineRule="auto"/>
            </w:pPr>
            <w:r>
              <w:rPr>
                <w:b w:val="0"/>
                <w:i w:val="0"/>
                <w:sz w:val="14"/>
              </w:rPr>
              <w:t>303</w:t>
            </w:r>
          </w:p>
        </w:tc>
        <w:tc>
          <w:tcPr>
            <w:tcW w:type="dxa" w:w="864"/>
            <w:shd w:val="clear" w:color="auto" w:fill="D9E1F2"/>
          </w:tcPr>
          <w:p>
            <w:pPr>
              <w:spacing w:after="0" w:line="240" w:lineRule="auto"/>
            </w:pPr>
            <w:r>
              <w:rPr>
                <w:b w:val="0"/>
                <w:i w:val="0"/>
                <w:sz w:val="14"/>
              </w:rPr>
              <w:t>296</w:t>
            </w:r>
          </w:p>
        </w:tc>
        <w:tc>
          <w:tcPr>
            <w:tcW w:type="dxa" w:w="3312"/>
            <w:shd w:val="clear" w:color="auto" w:fill="D9E1F2"/>
          </w:tcPr>
          <w:p>
            <w:pPr>
              <w:spacing w:after="0" w:line="240" w:lineRule="auto"/>
            </w:pPr>
            <w:r>
              <w:rPr>
                <w:b w:val="0"/>
                <w:i w:val="0"/>
                <w:sz w:val="14"/>
              </w:rPr>
              <w:t>unexplained in text read</w:t>
            </w:r>
          </w:p>
        </w:tc>
      </w:tr>
      <w:tr>
        <w:trPr>
          <w:cantSplit/>
        </w:trPr>
        <w:tc>
          <w:tcPr>
            <w:tcW w:type="dxa" w:w="1296"/>
          </w:tcPr>
          <w:p>
            <w:pPr>
              <w:spacing w:after="0" w:line="240" w:lineRule="auto"/>
            </w:pPr>
            <w:r>
              <w:rPr>
                <w:b w:val="0"/>
                <w:i w:val="0"/>
                <w:sz w:val="14"/>
              </w:rPr>
              <w:t>Adj. margin</w:t>
            </w:r>
          </w:p>
        </w:tc>
        <w:tc>
          <w:tcPr>
            <w:tcW w:type="dxa" w:w="864"/>
          </w:tcPr>
          <w:p>
            <w:pPr>
              <w:spacing w:after="0" w:line="240" w:lineRule="auto"/>
            </w:pPr>
            <w:r>
              <w:rPr>
                <w:b w:val="0"/>
                <w:i w:val="0"/>
                <w:sz w:val="14"/>
              </w:rPr>
              <w:t>38.8% adj OP</w:t>
            </w:r>
          </w:p>
        </w:tc>
        <w:tc>
          <w:tcPr>
            <w:tcW w:type="dxa" w:w="864"/>
          </w:tcPr>
          <w:p>
            <w:pPr>
              <w:spacing w:after="0" w:line="240" w:lineRule="auto"/>
            </w:pPr>
            <w:r>
              <w:rPr>
                <w:b w:val="0"/>
                <w:i w:val="0"/>
                <w:sz w:val="14"/>
              </w:rPr>
              <w:t xml:space="preserve">40.3% Adj EBITDA </w:t>
            </w:r>
            <w:r>
              <w:rPr>
                <w:b/>
                <w:color w:val="2E548C"/>
                <w:sz w:val="11"/>
              </w:rPr>
              <w:t>[C]</w:t>
            </w:r>
          </w:p>
        </w:tc>
        <w:tc>
          <w:tcPr>
            <w:tcW w:type="dxa" w:w="864"/>
          </w:tcPr>
          <w:p>
            <w:pPr>
              <w:spacing w:after="0" w:line="240" w:lineRule="auto"/>
            </w:pPr>
            <w:r>
              <w:rPr>
                <w:b w:val="0"/>
                <w:i w:val="0"/>
                <w:sz w:val="14"/>
              </w:rPr>
              <w:t>39.0%</w:t>
            </w:r>
          </w:p>
        </w:tc>
        <w:tc>
          <w:tcPr>
            <w:tcW w:type="dxa" w:w="864"/>
          </w:tcPr>
          <w:p>
            <w:pPr>
              <w:spacing w:after="0" w:line="240" w:lineRule="auto"/>
            </w:pPr>
            <w:r>
              <w:rPr>
                <w:b w:val="0"/>
                <w:i w:val="0"/>
                <w:sz w:val="14"/>
              </w:rPr>
              <w:t xml:space="preserve">40.8% </w:t>
            </w:r>
            <w:r>
              <w:rPr>
                <w:b/>
                <w:color w:val="2E548C"/>
                <w:sz w:val="11"/>
              </w:rPr>
              <w:t>[C]</w:t>
            </w:r>
          </w:p>
        </w:tc>
        <w:tc>
          <w:tcPr>
            <w:tcW w:type="dxa" w:w="864"/>
          </w:tcPr>
          <w:p>
            <w:pPr>
              <w:spacing w:after="0" w:line="240" w:lineRule="auto"/>
            </w:pPr>
            <w:r>
              <w:rPr>
                <w:b w:val="0"/>
                <w:i w:val="0"/>
                <w:sz w:val="14"/>
              </w:rPr>
              <w:t>39.9%</w:t>
            </w:r>
          </w:p>
        </w:tc>
        <w:tc>
          <w:tcPr>
            <w:tcW w:type="dxa" w:w="864"/>
          </w:tcPr>
          <w:p>
            <w:pPr>
              <w:spacing w:after="0" w:line="240" w:lineRule="auto"/>
            </w:pPr>
            <w:r>
              <w:rPr>
                <w:b w:val="0"/>
                <w:i w:val="0"/>
                <w:sz w:val="14"/>
              </w:rPr>
              <w:t>40.6%</w:t>
            </w:r>
          </w:p>
        </w:tc>
        <w:tc>
          <w:tcPr>
            <w:tcW w:type="dxa" w:w="3312"/>
          </w:tcPr>
          <w:p>
            <w:pPr>
              <w:spacing w:after="0" w:line="240" w:lineRule="auto"/>
            </w:pPr>
            <w:r>
              <w:rPr>
                <w:b w:val="0"/>
                <w:i w:val="0"/>
                <w:sz w:val="14"/>
              </w:rPr>
              <w:t>measure change: EBITDA adds back depreciation + SBC</w:t>
            </w:r>
          </w:p>
        </w:tc>
      </w:tr>
    </w:tbl>
    <w:p>
      <w:pPr>
        <w:spacing w:after="120"/>
      </w:pPr>
      <w:r>
        <w:rPr>
          <w:b w:val="0"/>
          <w:i/>
          <w:color w:val="595959"/>
          <w:sz w:val="15"/>
        </w:rPr>
        <w:t xml:space="preserve">Source: K_session_tables.md (D4 §12). MBGL Adj. EBITDA margin is +1.5 / +1.8 / +0.7pt above SPGI adjusted OP margin on the same business </w:t>
      </w:r>
      <w:r>
        <w:rPr>
          <w:b/>
          <w:color w:val="2E548C"/>
          <w:sz w:val="12"/>
        </w:rPr>
        <w:t>[C]</w:t>
      </w:r>
      <w:r>
        <w:rPr>
          <w:b w:val="0"/>
          <w:i/>
          <w:color w:val="595959"/>
          <w:sz w:val="15"/>
        </w:rPr>
        <w:t>.</w:t>
      </w:r>
    </w:p>
    <w:p>
      <w:pPr>
        <w:keepNext/>
        <w:spacing w:before="80" w:after="40"/>
      </w:pPr>
      <w:r>
        <w:rPr>
          <w:b/>
          <w:i w:val="0"/>
          <w:color w:val="1F3864"/>
          <w:sz w:val="17"/>
        </w:rPr>
        <w:t>Exhibit 14.5 — Disclosures printed by predecessors that MBGL does not print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160"/>
        <w:gridCol w:w="3456"/>
        <w:gridCol w:w="2592"/>
        <w:gridCol w:w="1584"/>
      </w:tblGrid>
      <w:tr>
        <w:trPr>
          <w:cantSplit/>
          <w:tblHeader/>
        </w:trPr>
        <w:tc>
          <w:tcPr>
            <w:tcW w:type="dxa" w:w="2160"/>
            <w:shd w:val="clear" w:color="auto" w:fill="1F3864"/>
          </w:tcPr>
          <w:p>
            <w:pPr>
              <w:spacing w:after="0" w:line="240" w:lineRule="auto"/>
            </w:pPr>
            <w:r>
              <w:rPr>
                <w:b/>
                <w:i w:val="0"/>
                <w:color w:val="FFFFFF"/>
                <w:sz w:val="15"/>
              </w:rPr>
              <w:t>Disclosure</w:t>
            </w:r>
          </w:p>
        </w:tc>
        <w:tc>
          <w:tcPr>
            <w:tcW w:type="dxa" w:w="3456"/>
            <w:shd w:val="clear" w:color="auto" w:fill="1F3864"/>
          </w:tcPr>
          <w:p>
            <w:pPr>
              <w:spacing w:after="0" w:line="240" w:lineRule="auto"/>
            </w:pPr>
            <w:r>
              <w:rPr>
                <w:b/>
                <w:i w:val="0"/>
                <w:color w:val="FFFFFF"/>
                <w:sz w:val="15"/>
              </w:rPr>
              <w:t>Last predecessor print</w:t>
            </w:r>
          </w:p>
        </w:tc>
        <w:tc>
          <w:tcPr>
            <w:tcW w:type="dxa" w:w="2592"/>
            <w:shd w:val="clear" w:color="auto" w:fill="1F3864"/>
          </w:tcPr>
          <w:p>
            <w:pPr>
              <w:spacing w:after="0" w:line="240" w:lineRule="auto"/>
            </w:pPr>
            <w:r>
              <w:rPr>
                <w:b/>
                <w:i w:val="0"/>
                <w:color w:val="FFFFFF"/>
                <w:sz w:val="15"/>
              </w:rPr>
              <w:t>MBGL status</w:t>
            </w:r>
          </w:p>
        </w:tc>
        <w:tc>
          <w:tcPr>
            <w:tcW w:type="dxa" w:w="1584"/>
            <w:shd w:val="clear" w:color="auto" w:fill="1F3864"/>
          </w:tcPr>
          <w:p>
            <w:pPr>
              <w:spacing w:after="0" w:line="240" w:lineRule="auto"/>
            </w:pPr>
            <w:r>
              <w:rPr>
                <w:b/>
                <w:i w:val="0"/>
                <w:color w:val="FFFFFF"/>
                <w:sz w:val="15"/>
              </w:rPr>
              <w:t>Unflattering?</w:t>
            </w:r>
          </w:p>
        </w:tc>
      </w:tr>
      <w:tr>
        <w:trPr>
          <w:cantSplit/>
        </w:trPr>
        <w:tc>
          <w:tcPr>
            <w:tcW w:type="dxa" w:w="2160"/>
          </w:tcPr>
          <w:p>
            <w:pPr>
              <w:spacing w:after="0" w:line="240" w:lineRule="auto"/>
            </w:pPr>
            <w:r>
              <w:rPr>
                <w:b w:val="0"/>
                <w:i w:val="0"/>
                <w:sz w:val="15"/>
              </w:rPr>
              <w:t>Business-line revenue $ (Dealer / Manufacturing / Financials &amp; Other), quarterly</w:t>
            </w:r>
          </w:p>
        </w:tc>
        <w:tc>
          <w:tcPr>
            <w:tcW w:type="dxa" w:w="3456"/>
          </w:tcPr>
          <w:p>
            <w:pPr>
              <w:spacing w:after="0" w:line="240" w:lineRule="auto"/>
            </w:pPr>
            <w:r>
              <w:rPr>
                <w:b w:val="0"/>
                <w:i w:val="0"/>
                <w:sz w:val="15"/>
              </w:rPr>
              <w:t xml:space="preserve">SPGI every quarter through Q1-26, e.g. Q4-25 Dealer $274m (+10%), Manufacturing $91m (+1%), Fin &amp; Other $80m (+11%) </w:t>
            </w:r>
            <w:r>
              <w:rPr>
                <w:b/>
                <w:color w:val="2E548C"/>
                <w:sz w:val="12"/>
              </w:rPr>
              <w:t>[D]</w:t>
            </w:r>
            <w:r>
              <w:rPr>
                <w:b w:val="0"/>
                <w:i w:val="0"/>
                <w:sz w:val="15"/>
              </w:rPr>
              <w:t xml:space="preserve"> (SPGI-Q4-25 p.22)</w:t>
            </w:r>
          </w:p>
        </w:tc>
        <w:tc>
          <w:tcPr>
            <w:tcW w:type="dxa" w:w="2592"/>
          </w:tcPr>
          <w:p>
            <w:pPr>
              <w:spacing w:after="0" w:line="240" w:lineRule="auto"/>
            </w:pPr>
            <w:r>
              <w:rPr>
                <w:b w:val="0"/>
                <w:i w:val="0"/>
                <w:sz w:val="15"/>
              </w:rPr>
              <w:t>Replaced by CARFAX/B2B segments. B2B business-line split given only as % of FY25 (ID-deck p.93, 34).</w:t>
            </w:r>
          </w:p>
        </w:tc>
        <w:tc>
          <w:tcPr>
            <w:tcW w:type="dxa" w:w="1584"/>
          </w:tcPr>
          <w:p>
            <w:pPr>
              <w:spacing w:after="0" w:line="240" w:lineRule="auto"/>
            </w:pPr>
            <w:r>
              <w:rPr>
                <w:b/>
                <w:i w:val="0"/>
                <w:sz w:val="15"/>
              </w:rPr>
              <w:t>Yes.</w:t>
            </w:r>
            <w:r>
              <w:rPr>
                <w:b w:val="0"/>
                <w:i w:val="0"/>
                <w:sz w:val="15"/>
              </w:rPr>
              <w:t xml:space="preserve"> Manufacturing (Polk planning, recall) was the weak line: −3% Q3-25 </w:t>
            </w:r>
            <w:r>
              <w:rPr>
                <w:b/>
                <w:color w:val="2E548C"/>
                <w:sz w:val="12"/>
              </w:rPr>
              <w:t>[IR]</w:t>
            </w:r>
            <w:r>
              <w:rPr>
                <w:b w:val="0"/>
                <w:i w:val="0"/>
                <w:sz w:val="15"/>
              </w:rPr>
              <w:t xml:space="preserve"> (SPGI-Q3-25 call), +1% Q4-25.</w:t>
            </w:r>
          </w:p>
        </w:tc>
      </w:tr>
      <w:tr>
        <w:trPr>
          <w:cantSplit/>
        </w:trPr>
        <w:tc>
          <w:tcPr>
            <w:tcW w:type="dxa" w:w="2160"/>
            <w:shd w:val="clear" w:color="auto" w:fill="D9E1F2"/>
          </w:tcPr>
          <w:p>
            <w:pPr>
              <w:spacing w:after="0" w:line="240" w:lineRule="auto"/>
            </w:pPr>
            <w:r>
              <w:rPr>
                <w:b w:val="0"/>
                <w:i w:val="0"/>
                <w:sz w:val="15"/>
              </w:rPr>
              <w:t>Organic constant-currency growth by division</w:t>
            </w:r>
          </w:p>
        </w:tc>
        <w:tc>
          <w:tcPr>
            <w:tcW w:type="dxa" w:w="3456"/>
            <w:shd w:val="clear" w:color="auto" w:fill="D9E1F2"/>
          </w:tcPr>
          <w:p>
            <w:pPr>
              <w:spacing w:after="0" w:line="240" w:lineRule="auto"/>
            </w:pPr>
            <w:r>
              <w:rPr>
                <w:b w:val="0"/>
                <w:i w:val="0"/>
                <w:sz w:val="15"/>
              </w:rPr>
              <w:t>SPGI 2025 slides (Mobility +10/+10/+8/+8%)</w:t>
            </w:r>
          </w:p>
        </w:tc>
        <w:tc>
          <w:tcPr>
            <w:tcW w:type="dxa" w:w="2592"/>
            <w:shd w:val="clear" w:color="auto" w:fill="D9E1F2"/>
          </w:tcPr>
          <w:p>
            <w:pPr>
              <w:spacing w:after="0" w:line="240" w:lineRule="auto"/>
            </w:pPr>
            <w:r>
              <w:rPr>
                <w:b w:val="0"/>
                <w:i w:val="0"/>
                <w:sz w:val="15"/>
              </w:rPr>
              <w:t>Not printed; only FX $</w:t>
            </w:r>
          </w:p>
        </w:tc>
        <w:tc>
          <w:tcPr>
            <w:tcW w:type="dxa" w:w="1584"/>
            <w:shd w:val="clear" w:color="auto" w:fill="D9E1F2"/>
          </w:tcPr>
          <w:p>
            <w:pPr>
              <w:spacing w:after="0" w:line="240" w:lineRule="auto"/>
            </w:pPr>
            <w:r>
              <w:rPr>
                <w:b/>
                <w:i w:val="0"/>
                <w:sz w:val="15"/>
              </w:rPr>
              <w:t>Yes</w:t>
            </w:r>
            <w:r>
              <w:rPr>
                <w:b w:val="0"/>
                <w:i w:val="0"/>
                <w:sz w:val="15"/>
              </w:rPr>
              <w:t xml:space="preserve"> (see §4)</w:t>
            </w:r>
          </w:p>
        </w:tc>
      </w:tr>
      <w:tr>
        <w:trPr>
          <w:cantSplit/>
        </w:trPr>
        <w:tc>
          <w:tcPr>
            <w:tcW w:type="dxa" w:w="2160"/>
          </w:tcPr>
          <w:p>
            <w:pPr>
              <w:spacing w:after="0" w:line="240" w:lineRule="auto"/>
            </w:pPr>
            <w:r>
              <w:rPr>
                <w:b w:val="0"/>
                <w:i w:val="0"/>
                <w:sz w:val="15"/>
              </w:rPr>
              <w:t>Recurring revenue % / TTM adjusted margin</w:t>
            </w:r>
          </w:p>
        </w:tc>
        <w:tc>
          <w:tcPr>
            <w:tcW w:type="dxa" w:w="3456"/>
          </w:tcPr>
          <w:p>
            <w:pPr>
              <w:spacing w:after="0" w:line="240" w:lineRule="auto"/>
            </w:pPr>
            <w:r>
              <w:rPr>
                <w:b w:val="0"/>
                <w:i w:val="0"/>
                <w:sz w:val="15"/>
              </w:rPr>
              <w:t xml:space="preserve">SPGI 2022 slides ("Recurring revenue as % of revenue" 78.3% Q4-22) </w:t>
            </w:r>
            <w:r>
              <w:rPr>
                <w:b/>
                <w:color w:val="2E548C"/>
                <w:sz w:val="12"/>
              </w:rPr>
              <w:t>[D]</w:t>
            </w:r>
          </w:p>
        </w:tc>
        <w:tc>
          <w:tcPr>
            <w:tcW w:type="dxa" w:w="2592"/>
          </w:tcPr>
          <w:p>
            <w:pPr>
              <w:spacing w:after="0" w:line="240" w:lineRule="auto"/>
            </w:pPr>
            <w:r>
              <w:rPr>
                <w:b w:val="0"/>
                <w:i w:val="0"/>
                <w:sz w:val="15"/>
              </w:rPr>
              <w:t xml:space="preserve">"Subscription" % (81–82%) </w:t>
            </w:r>
            <w:r>
              <w:rPr>
                <w:b/>
                <w:color w:val="2E548C"/>
                <w:sz w:val="12"/>
              </w:rPr>
              <w:t>[D]</w:t>
            </w:r>
            <w:r>
              <w:rPr>
                <w:b w:val="0"/>
                <w:i w:val="0"/>
                <w:sz w:val="15"/>
              </w:rPr>
              <w:t>; no TTM margin</w:t>
            </w:r>
          </w:p>
        </w:tc>
        <w:tc>
          <w:tcPr>
            <w:tcW w:type="dxa" w:w="1584"/>
          </w:tcPr>
          <w:p>
            <w:pPr>
              <w:spacing w:after="0" w:line="240" w:lineRule="auto"/>
            </w:pPr>
            <w:r>
              <w:rPr>
                <w:b w:val="0"/>
                <w:i w:val="0"/>
                <w:sz w:val="15"/>
              </w:rPr>
              <w:t>No; definitional</w:t>
            </w:r>
          </w:p>
        </w:tc>
      </w:tr>
      <w:tr>
        <w:trPr>
          <w:cantSplit/>
        </w:trPr>
        <w:tc>
          <w:tcPr>
            <w:tcW w:type="dxa" w:w="2160"/>
            <w:shd w:val="clear" w:color="auto" w:fill="D9E1F2"/>
          </w:tcPr>
          <w:p>
            <w:pPr>
              <w:spacing w:after="0" w:line="240" w:lineRule="auto"/>
            </w:pPr>
            <w:r>
              <w:rPr>
                <w:b w:val="0"/>
                <w:i w:val="0"/>
                <w:sz w:val="15"/>
              </w:rPr>
              <w:t>Division margin guidance</w:t>
            </w:r>
          </w:p>
        </w:tc>
        <w:tc>
          <w:tcPr>
            <w:tcW w:type="dxa" w:w="3456"/>
            <w:shd w:val="clear" w:color="auto" w:fill="D9E1F2"/>
          </w:tcPr>
          <w:p>
            <w:pPr>
              <w:spacing w:after="0" w:line="240" w:lineRule="auto"/>
            </w:pPr>
            <w:r>
              <w:rPr>
                <w:b w:val="0"/>
                <w:i w:val="0"/>
                <w:sz w:val="15"/>
              </w:rPr>
              <w:t>SPGI 2023–25</w:t>
            </w:r>
          </w:p>
        </w:tc>
        <w:tc>
          <w:tcPr>
            <w:tcW w:type="dxa" w:w="2592"/>
            <w:shd w:val="clear" w:color="auto" w:fill="D9E1F2"/>
          </w:tcPr>
          <w:p>
            <w:pPr>
              <w:spacing w:after="0" w:line="240" w:lineRule="auto"/>
            </w:pPr>
            <w:r>
              <w:rPr>
                <w:b w:val="0"/>
                <w:i w:val="0"/>
                <w:sz w:val="15"/>
              </w:rPr>
              <w:t>MBGL guides only FY Adj. EBITDA $ (~40%)</w:t>
            </w:r>
          </w:p>
        </w:tc>
        <w:tc>
          <w:tcPr>
            <w:tcW w:type="dxa" w:w="1584"/>
            <w:shd w:val="clear" w:color="auto" w:fill="D9E1F2"/>
          </w:tcPr>
          <w:p>
            <w:pPr>
              <w:spacing w:after="0" w:line="240" w:lineRule="auto"/>
            </w:pPr>
            <w:r>
              <w:rPr>
                <w:b w:val="0"/>
                <w:i w:val="0"/>
                <w:sz w:val="15"/>
              </w:rPr>
              <w:t>Neutral</w:t>
            </w:r>
          </w:p>
        </w:tc>
      </w:tr>
      <w:tr>
        <w:trPr>
          <w:cantSplit/>
        </w:trPr>
        <w:tc>
          <w:tcPr>
            <w:tcW w:type="dxa" w:w="2160"/>
          </w:tcPr>
          <w:p>
            <w:pPr>
              <w:spacing w:after="0" w:line="240" w:lineRule="auto"/>
            </w:pPr>
            <w:r>
              <w:rPr>
                <w:b w:val="0"/>
                <w:i w:val="0"/>
                <w:sz w:val="15"/>
              </w:rPr>
              <w:t>Transportation "recurring revenue organic growth"</w:t>
            </w:r>
          </w:p>
        </w:tc>
        <w:tc>
          <w:tcPr>
            <w:tcW w:type="dxa" w:w="3456"/>
          </w:tcPr>
          <w:p>
            <w:pPr>
              <w:spacing w:after="0" w:line="240" w:lineRule="auto"/>
            </w:pPr>
            <w:r>
              <w:rPr>
                <w:b w:val="0"/>
                <w:i w:val="0"/>
                <w:sz w:val="15"/>
              </w:rPr>
              <w:t xml:space="preserve">INFO10K FY2016–21 (10/10/11/10/3/18%) </w:t>
            </w:r>
            <w:r>
              <w:rPr>
                <w:b/>
                <w:color w:val="2E548C"/>
                <w:sz w:val="12"/>
              </w:rPr>
              <w:t>[D]</w:t>
            </w:r>
          </w:p>
        </w:tc>
        <w:tc>
          <w:tcPr>
            <w:tcW w:type="dxa" w:w="2592"/>
          </w:tcPr>
          <w:p>
            <w:pPr>
              <w:spacing w:after="0" w:line="240" w:lineRule="auto"/>
            </w:pPr>
            <w:r>
              <w:rPr>
                <w:b w:val="0"/>
                <w:i w:val="0"/>
                <w:sz w:val="15"/>
              </w:rPr>
              <w:t>n/a. Scope differs (P0 includes Maritime &amp; Trade)</w:t>
            </w:r>
          </w:p>
        </w:tc>
        <w:tc>
          <w:tcPr>
            <w:tcW w:type="dxa" w:w="1584"/>
          </w:tcPr>
          <w:p>
            <w:pPr>
              <w:spacing w:after="0" w:line="240" w:lineRule="auto"/>
            </w:pPr>
            <w:r>
              <w:rPr>
                <w:b w:val="0"/>
                <w:i w:val="0"/>
                <w:sz w:val="15"/>
              </w:rPr>
              <w:t>n/a</w:t>
            </w:r>
          </w:p>
        </w:tc>
      </w:tr>
      <w:tr>
        <w:trPr>
          <w:cantSplit/>
        </w:trPr>
        <w:tc>
          <w:tcPr>
            <w:tcW w:type="dxa" w:w="2160"/>
            <w:shd w:val="clear" w:color="auto" w:fill="D9E1F2"/>
          </w:tcPr>
          <w:p>
            <w:pPr>
              <w:spacing w:after="0" w:line="240" w:lineRule="auto"/>
            </w:pPr>
            <w:r>
              <w:rPr>
                <w:b w:val="0"/>
                <w:i w:val="0"/>
                <w:sz w:val="15"/>
              </w:rPr>
              <w:t>CARFAX record / source counts</w:t>
            </w:r>
          </w:p>
        </w:tc>
        <w:tc>
          <w:tcPr>
            <w:tcW w:type="dxa" w:w="3456"/>
            <w:shd w:val="clear" w:color="auto" w:fill="D9E1F2"/>
          </w:tcPr>
          <w:p>
            <w:pPr>
              <w:spacing w:after="0" w:line="240" w:lineRule="auto"/>
            </w:pPr>
            <w:r>
              <w:rPr>
                <w:b w:val="0"/>
                <w:i w:val="0"/>
                <w:sz w:val="15"/>
              </w:rPr>
              <w:t xml:space="preserve">INFO FY2021 "more than 27 billion records … more than 130,000 data sources" </w:t>
            </w:r>
            <w:r>
              <w:rPr>
                <w:b/>
                <w:color w:val="2E548C"/>
                <w:sz w:val="12"/>
              </w:rPr>
              <w:t>[D]</w:t>
            </w:r>
          </w:p>
        </w:tc>
        <w:tc>
          <w:tcPr>
            <w:tcW w:type="dxa" w:w="2592"/>
            <w:shd w:val="clear" w:color="auto" w:fill="D9E1F2"/>
          </w:tcPr>
          <w:p>
            <w:pPr>
              <w:spacing w:after="0" w:line="240" w:lineRule="auto"/>
            </w:pPr>
            <w:r>
              <w:rPr>
                <w:b w:val="0"/>
                <w:i w:val="0"/>
                <w:sz w:val="15"/>
              </w:rPr>
              <w:t xml:space="preserve">Still printed: 38bn+ records, 177,000+ sources </w:t>
            </w:r>
            <w:r>
              <w:rPr>
                <w:b/>
                <w:color w:val="2E548C"/>
                <w:sz w:val="12"/>
              </w:rPr>
              <w:t>[D]</w:t>
            </w:r>
            <w:r>
              <w:rPr>
                <w:b w:val="0"/>
                <w:i w:val="0"/>
                <w:sz w:val="15"/>
              </w:rPr>
              <w:t xml:space="preserve"> (10A p.263)</w:t>
            </w:r>
          </w:p>
        </w:tc>
        <w:tc>
          <w:tcPr>
            <w:tcW w:type="dxa" w:w="1584"/>
            <w:shd w:val="clear" w:color="auto" w:fill="D9E1F2"/>
          </w:tcPr>
          <w:p>
            <w:pPr>
              <w:spacing w:after="0" w:line="240" w:lineRule="auto"/>
            </w:pPr>
            <w:r>
              <w:rPr>
                <w:b w:val="0"/>
                <w:i w:val="0"/>
                <w:sz w:val="15"/>
              </w:rPr>
              <w:t>No (continued)</w:t>
            </w:r>
          </w:p>
        </w:tc>
      </w:tr>
      <w:tr>
        <w:trPr>
          <w:cantSplit/>
        </w:trPr>
        <w:tc>
          <w:tcPr>
            <w:tcW w:type="dxa" w:w="2160"/>
          </w:tcPr>
          <w:p>
            <w:pPr>
              <w:spacing w:after="0" w:line="240" w:lineRule="auto"/>
            </w:pPr>
            <w:r>
              <w:rPr>
                <w:b w:val="0"/>
                <w:i w:val="0"/>
                <w:sz w:val="15"/>
              </w:rPr>
              <w:t>Car Care users</w:t>
            </w:r>
          </w:p>
        </w:tc>
        <w:tc>
          <w:tcPr>
            <w:tcW w:type="dxa" w:w="3456"/>
          </w:tcPr>
          <w:p>
            <w:pPr>
              <w:spacing w:after="0" w:line="240" w:lineRule="auto"/>
            </w:pPr>
            <w:r>
              <w:rPr>
                <w:b w:val="0"/>
                <w:i w:val="0"/>
                <w:sz w:val="15"/>
              </w:rPr>
              <w:t xml:space="preserve">SPGI Q1-25: "approximately 46 million users" </w:t>
            </w:r>
            <w:r>
              <w:rPr>
                <w:b/>
                <w:color w:val="2E548C"/>
                <w:sz w:val="12"/>
              </w:rPr>
              <w:t>[IR]</w:t>
            </w:r>
          </w:p>
        </w:tc>
        <w:tc>
          <w:tcPr>
            <w:tcW w:type="dxa" w:w="2592"/>
          </w:tcPr>
          <w:p>
            <w:pPr>
              <w:spacing w:after="0" w:line="240" w:lineRule="auto"/>
            </w:pPr>
            <w:r>
              <w:rPr>
                <w:b w:val="0"/>
                <w:i w:val="0"/>
                <w:sz w:val="15"/>
              </w:rPr>
              <w:t xml:space="preserve">53m+ </w:t>
            </w:r>
            <w:r>
              <w:rPr>
                <w:b/>
                <w:color w:val="2E548C"/>
                <w:sz w:val="12"/>
              </w:rPr>
              <w:t>[D]</w:t>
            </w:r>
            <w:r>
              <w:rPr>
                <w:b w:val="0"/>
                <w:i w:val="0"/>
                <w:sz w:val="15"/>
              </w:rPr>
              <w:t xml:space="preserve"> (10A p.263). Goal "150 million" US+Canada (ID) became US "north of 100 million" (GS).</w:t>
            </w:r>
          </w:p>
        </w:tc>
        <w:tc>
          <w:tcPr>
            <w:tcW w:type="dxa" w:w="1584"/>
          </w:tcPr>
          <w:p>
            <w:pPr>
              <w:spacing w:after="0" w:line="240" w:lineRule="auto"/>
            </w:pPr>
            <w:r>
              <w:rPr>
                <w:b w:val="0"/>
                <w:i w:val="0"/>
                <w:sz w:val="15"/>
              </w:rPr>
              <w:t>Mixed; goal reframed</w:t>
            </w:r>
          </w:p>
        </w:tc>
      </w:tr>
    </w:tbl>
    <w:p>
      <w:pPr>
        <w:spacing w:after="120"/>
      </w:pPr>
      <w:r>
        <w:rPr>
          <w:b w:val="0"/>
          <w:i/>
          <w:color w:val="595959"/>
          <w:sz w:val="15"/>
        </w:rPr>
        <w:t>Source: D4 §11.</w:t>
      </w:r>
    </w:p>
    <w:p>
      <w:pPr>
        <w:keepNext/>
        <w:spacing w:before="80" w:after="40"/>
      </w:pPr>
      <w:r>
        <w:rPr>
          <w:b/>
          <w:i w:val="0"/>
          <w:color w:val="1F3864"/>
          <w:sz w:val="17"/>
        </w:rPr>
        <w:t>Exhibit 14.6 — Smaller items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6048"/>
        <w:gridCol w:w="1728"/>
        <w:gridCol w:w="2015"/>
      </w:tblGrid>
      <w:tr>
        <w:trPr>
          <w:cantSplit/>
          <w:tblHeader/>
        </w:trPr>
        <w:tc>
          <w:tcPr>
            <w:tcW w:type="dxa" w:w="6048"/>
            <w:shd w:val="clear" w:color="auto" w:fill="1F3864"/>
          </w:tcPr>
          <w:p>
            <w:pPr>
              <w:spacing w:after="0" w:line="240" w:lineRule="auto"/>
            </w:pPr>
            <w:r>
              <w:rPr>
                <w:b/>
                <w:i w:val="0"/>
                <w:color w:val="FFFFFF"/>
                <w:sz w:val="15"/>
              </w:rPr>
              <w:t>Item</w:t>
            </w:r>
          </w:p>
        </w:tc>
        <w:tc>
          <w:tcPr>
            <w:tcW w:type="dxa" w:w="1728"/>
            <w:shd w:val="clear" w:color="auto" w:fill="1F3864"/>
          </w:tcPr>
          <w:p>
            <w:pPr>
              <w:spacing w:after="0" w:line="240" w:lineRule="auto"/>
            </w:pPr>
            <w:r>
              <w:rPr>
                <w:b/>
                <w:i w:val="0"/>
                <w:color w:val="FFFFFF"/>
                <w:sz w:val="15"/>
              </w:rPr>
              <w:t>Vintages</w:t>
            </w:r>
          </w:p>
        </w:tc>
        <w:tc>
          <w:tcPr>
            <w:tcW w:type="dxa" w:w="2016"/>
            <w:shd w:val="clear" w:color="auto" w:fill="1F3864"/>
          </w:tcPr>
          <w:p>
            <w:pPr>
              <w:spacing w:after="0" w:line="240" w:lineRule="auto"/>
            </w:pPr>
            <w:r>
              <w:rPr>
                <w:b/>
                <w:i w:val="0"/>
                <w:color w:val="FFFFFF"/>
                <w:sz w:val="15"/>
              </w:rPr>
              <w:t>Unflattering?</w:t>
            </w:r>
          </w:p>
        </w:tc>
      </w:tr>
      <w:tr>
        <w:trPr>
          <w:cantSplit/>
        </w:trPr>
        <w:tc>
          <w:tcPr>
            <w:tcW w:type="dxa" w:w="6048"/>
          </w:tcPr>
          <w:p>
            <w:pPr>
              <w:spacing w:after="0" w:line="240" w:lineRule="auto"/>
            </w:pPr>
            <w:r>
              <w:rPr>
                <w:b/>
                <w:i w:val="0"/>
                <w:sz w:val="15"/>
              </w:rPr>
              <w:t>TAM source unnamed.</w:t>
            </w:r>
            <w:r>
              <w:rPr>
                <w:b w:val="0"/>
                <w:i w:val="0"/>
                <w:sz w:val="15"/>
              </w:rPr>
              <w:t xml:space="preserve"> "according to an independent third-party consulting firm" ($75–81bn) (10A p.266 = F10 p.345). ID-deck: "2025 ESTIMATES FROM INDEPENDENT THIRD-PARTY CONSULTING FIRM; MIDPOINT OF RANGES" ($78bn) (ID-deck p.27). Never named in any document read. The CARFAX TAM is cited as $26bn by the CEO and $60bn on slide 71 (core+extended vs total).</w:t>
            </w:r>
          </w:p>
        </w:tc>
        <w:tc>
          <w:tcPr>
            <w:tcW w:type="dxa" w:w="1728"/>
          </w:tcPr>
          <w:p>
            <w:pPr>
              <w:spacing w:after="0" w:line="240" w:lineRule="auto"/>
            </w:pPr>
            <w:r>
              <w:rPr>
                <w:b w:val="0"/>
                <w:i w:val="0"/>
                <w:sz w:val="15"/>
              </w:rPr>
              <w:t>F10 → ID</w:t>
            </w:r>
          </w:p>
        </w:tc>
        <w:tc>
          <w:tcPr>
            <w:tcW w:type="dxa" w:w="2016"/>
          </w:tcPr>
          <w:p>
            <w:pPr>
              <w:spacing w:after="0" w:line="240" w:lineRule="auto"/>
            </w:pPr>
            <w:r>
              <w:rPr>
                <w:b w:val="0"/>
                <w:i w:val="0"/>
                <w:sz w:val="15"/>
              </w:rPr>
              <w:t xml:space="preserve">Neutral, but unverifiable </w:t>
            </w:r>
            <w:r>
              <w:rPr>
                <w:b/>
                <w:color w:val="2E548C"/>
                <w:sz w:val="12"/>
              </w:rPr>
              <w:t>[X unnamed]</w:t>
            </w:r>
          </w:p>
        </w:tc>
      </w:tr>
      <w:tr>
        <w:trPr>
          <w:cantSplit/>
        </w:trPr>
        <w:tc>
          <w:tcPr>
            <w:tcW w:type="dxa" w:w="6048"/>
            <w:shd w:val="clear" w:color="auto" w:fill="D9E1F2"/>
          </w:tcPr>
          <w:p>
            <w:pPr>
              <w:spacing w:after="0" w:line="240" w:lineRule="auto"/>
            </w:pPr>
            <w:r>
              <w:rPr>
                <w:b/>
                <w:i w:val="0"/>
                <w:sz w:val="15"/>
              </w:rPr>
              <w:t>Payment to SPGI.</w:t>
            </w:r>
            <w:r>
              <w:rPr>
                <w:b w:val="0"/>
                <w:i w:val="0"/>
                <w:sz w:val="15"/>
              </w:rPr>
              <w:t xml:space="preserve"> "approximately $1.9 billion" (10A p.278, 321) → "$2.0 billion dividend" (10Q p.12, 18)</w:t>
            </w:r>
          </w:p>
        </w:tc>
        <w:tc>
          <w:tcPr>
            <w:tcW w:type="dxa" w:w="1728"/>
            <w:shd w:val="clear" w:color="auto" w:fill="D9E1F2"/>
          </w:tcPr>
          <w:p>
            <w:pPr>
              <w:spacing w:after="0" w:line="240" w:lineRule="auto"/>
            </w:pPr>
            <w:r>
              <w:rPr>
                <w:b w:val="0"/>
                <w:i w:val="0"/>
                <w:sz w:val="15"/>
              </w:rPr>
              <w:t>10A → 10Q</w:t>
            </w:r>
          </w:p>
        </w:tc>
        <w:tc>
          <w:tcPr>
            <w:tcW w:type="dxa" w:w="2016"/>
            <w:shd w:val="clear" w:color="auto" w:fill="D9E1F2"/>
          </w:tcPr>
          <w:p>
            <w:pPr>
              <w:spacing w:after="0" w:line="240" w:lineRule="auto"/>
            </w:pPr>
            <w:r>
              <w:rPr>
                <w:b w:val="0"/>
                <w:i w:val="0"/>
                <w:sz w:val="15"/>
              </w:rPr>
              <w:t>Mildly: more debt-funded cash leaving</w:t>
            </w:r>
          </w:p>
        </w:tc>
      </w:tr>
      <w:tr>
        <w:trPr>
          <w:cantSplit/>
        </w:trPr>
        <w:tc>
          <w:tcPr>
            <w:tcW w:type="dxa" w:w="6048"/>
          </w:tcPr>
          <w:p>
            <w:pPr>
              <w:spacing w:after="0" w:line="240" w:lineRule="auto"/>
            </w:pPr>
            <w:r>
              <w:rPr>
                <w:b/>
                <w:i w:val="0"/>
                <w:sz w:val="15"/>
              </w:rPr>
              <w:t>Leverage target.</w:t>
            </w:r>
            <w:r>
              <w:rPr>
                <w:b w:val="0"/>
                <w:i w:val="0"/>
                <w:sz w:val="15"/>
              </w:rPr>
              <w:t xml:space="preserve"> "target gross leverage ratio of 2.5 times or below" (ID) → "2.5x-ish" (GS); actual gross 2.7x </w:t>
            </w:r>
            <w:r>
              <w:rPr>
                <w:b/>
                <w:color w:val="2E548C"/>
                <w:sz w:val="12"/>
              </w:rPr>
              <w:t>[IR]</w:t>
            </w:r>
          </w:p>
        </w:tc>
        <w:tc>
          <w:tcPr>
            <w:tcW w:type="dxa" w:w="1728"/>
          </w:tcPr>
          <w:p>
            <w:pPr>
              <w:spacing w:after="0" w:line="240" w:lineRule="auto"/>
            </w:pPr>
            <w:r>
              <w:rPr>
                <w:b w:val="0"/>
                <w:i w:val="0"/>
                <w:sz w:val="15"/>
              </w:rPr>
              <w:t>ID → GS</w:t>
            </w:r>
          </w:p>
        </w:tc>
        <w:tc>
          <w:tcPr>
            <w:tcW w:type="dxa" w:w="2016"/>
          </w:tcPr>
          <w:p>
            <w:pPr>
              <w:spacing w:after="0" w:line="240" w:lineRule="auto"/>
            </w:pPr>
            <w:r>
              <w:rPr>
                <w:b w:val="0"/>
                <w:i w:val="0"/>
                <w:sz w:val="15"/>
              </w:rPr>
              <w:t>Yes, wording softened while above target</w:t>
            </w:r>
          </w:p>
        </w:tc>
      </w:tr>
      <w:tr>
        <w:trPr>
          <w:cantSplit/>
        </w:trPr>
        <w:tc>
          <w:tcPr>
            <w:tcW w:type="dxa" w:w="6048"/>
            <w:shd w:val="clear" w:color="auto" w:fill="D9E1F2"/>
          </w:tcPr>
          <w:p>
            <w:pPr>
              <w:spacing w:after="0" w:line="240" w:lineRule="auto"/>
            </w:pPr>
            <w:r>
              <w:rPr>
                <w:b/>
                <w:i w:val="0"/>
                <w:sz w:val="15"/>
              </w:rPr>
              <w:t>Dividend payout.</w:t>
            </w:r>
            <w:r>
              <w:rPr>
                <w:b w:val="0"/>
                <w:i w:val="0"/>
                <w:sz w:val="15"/>
              </w:rPr>
              <w:t xml:space="preserve"> "20%-25% of net income" (ID) → "pegged at 25% of GAAP net income", "normalized" (GS). $0.06 × 4 × 294.8m ≈ $71m ≈ 32% of FY25 NI of $220m </w:t>
            </w:r>
            <w:r>
              <w:rPr>
                <w:b/>
                <w:color w:val="2E548C"/>
                <w:sz w:val="12"/>
              </w:rPr>
              <w:t>[C]</w:t>
            </w:r>
            <w:r>
              <w:rPr>
                <w:b w:val="0"/>
                <w:i w:val="0"/>
                <w:sz w:val="15"/>
              </w:rPr>
              <w:t>.</w:t>
            </w:r>
          </w:p>
        </w:tc>
        <w:tc>
          <w:tcPr>
            <w:tcW w:type="dxa" w:w="1728"/>
            <w:shd w:val="clear" w:color="auto" w:fill="D9E1F2"/>
          </w:tcPr>
          <w:p>
            <w:pPr>
              <w:spacing w:after="0" w:line="240" w:lineRule="auto"/>
            </w:pPr>
            <w:r>
              <w:rPr>
                <w:b w:val="0"/>
                <w:i w:val="0"/>
                <w:sz w:val="15"/>
              </w:rPr>
              <w:t>ID → GS</w:t>
            </w:r>
          </w:p>
        </w:tc>
        <w:tc>
          <w:tcPr>
            <w:tcW w:type="dxa" w:w="2016"/>
            <w:shd w:val="clear" w:color="auto" w:fill="D9E1F2"/>
          </w:tcPr>
          <w:p>
            <w:pPr>
              <w:spacing w:after="0" w:line="240" w:lineRule="auto"/>
            </w:pPr>
            <w:r>
              <w:rPr>
                <w:b w:val="0"/>
                <w:i w:val="0"/>
                <w:sz w:val="15"/>
              </w:rPr>
              <w:t>Yes: "normalized" undefined</w:t>
            </w:r>
          </w:p>
        </w:tc>
      </w:tr>
      <w:tr>
        <w:trPr>
          <w:cantSplit/>
        </w:trPr>
        <w:tc>
          <w:tcPr>
            <w:tcW w:type="dxa" w:w="6048"/>
          </w:tcPr>
          <w:p>
            <w:pPr>
              <w:spacing w:after="0" w:line="240" w:lineRule="auto"/>
            </w:pPr>
            <w:r>
              <w:rPr>
                <w:b/>
                <w:i w:val="0"/>
                <w:sz w:val="15"/>
              </w:rPr>
              <w:t>Medium term.</w:t>
            </w:r>
            <w:r>
              <w:rPr>
                <w:b w:val="0"/>
                <w:i w:val="0"/>
                <w:sz w:val="15"/>
              </w:rPr>
              <w:t xml:space="preserve"> "2028 and beyond" (ID Q&amp;A) → "That's really when the medium-term targets, in our mind, start" (GS)</w:t>
            </w:r>
          </w:p>
        </w:tc>
        <w:tc>
          <w:tcPr>
            <w:tcW w:type="dxa" w:w="1728"/>
          </w:tcPr>
          <w:p>
            <w:pPr>
              <w:spacing w:after="0" w:line="240" w:lineRule="auto"/>
            </w:pPr>
            <w:r>
              <w:rPr>
                <w:b w:val="0"/>
                <w:i w:val="0"/>
                <w:sz w:val="15"/>
              </w:rPr>
              <w:t>ID → GS</w:t>
            </w:r>
          </w:p>
        </w:tc>
        <w:tc>
          <w:tcPr>
            <w:tcW w:type="dxa" w:w="2016"/>
          </w:tcPr>
          <w:p>
            <w:pPr>
              <w:spacing w:after="0" w:line="240" w:lineRule="auto"/>
            </w:pPr>
            <w:r>
              <w:rPr>
                <w:b w:val="0"/>
                <w:i w:val="0"/>
                <w:sz w:val="15"/>
              </w:rPr>
              <w:t>Yes: clock reset</w:t>
            </w:r>
          </w:p>
        </w:tc>
      </w:tr>
      <w:tr>
        <w:trPr>
          <w:cantSplit/>
        </w:trPr>
        <w:tc>
          <w:tcPr>
            <w:tcW w:type="dxa" w:w="6048"/>
            <w:shd w:val="clear" w:color="auto" w:fill="D9E1F2"/>
          </w:tcPr>
          <w:p>
            <w:pPr>
              <w:spacing w:after="0" w:line="240" w:lineRule="auto"/>
            </w:pPr>
            <w:r>
              <w:rPr>
                <w:b/>
                <w:i w:val="0"/>
                <w:sz w:val="15"/>
              </w:rPr>
              <w:t>Headcount.</w:t>
            </w:r>
            <w:r>
              <w:rPr>
                <w:b w:val="0"/>
                <w:i w:val="0"/>
                <w:sz w:val="15"/>
              </w:rPr>
              <w:t xml:space="preserve"> "over 3,400 FTEs" (10A p.268) vs ~3,522 (10A p.384) vs "3,500" (GS)</w:t>
            </w:r>
          </w:p>
        </w:tc>
        <w:tc>
          <w:tcPr>
            <w:tcW w:type="dxa" w:w="1728"/>
            <w:shd w:val="clear" w:color="auto" w:fill="D9E1F2"/>
          </w:tcPr>
          <w:p>
            <w:pPr>
              <w:spacing w:after="0" w:line="240" w:lineRule="auto"/>
            </w:pPr>
            <w:r>
              <w:rPr>
                <w:b w:val="0"/>
                <w:i w:val="0"/>
                <w:sz w:val="15"/>
              </w:rPr>
              <w:t>—</w:t>
            </w:r>
          </w:p>
        </w:tc>
        <w:tc>
          <w:tcPr>
            <w:tcW w:type="dxa" w:w="2016"/>
            <w:shd w:val="clear" w:color="auto" w:fill="D9E1F2"/>
          </w:tcPr>
          <w:p>
            <w:pPr>
              <w:spacing w:after="0" w:line="240" w:lineRule="auto"/>
            </w:pPr>
            <w:r>
              <w:rPr>
                <w:b w:val="0"/>
                <w:i w:val="0"/>
                <w:sz w:val="15"/>
              </w:rPr>
              <w:t>No</w:t>
            </w:r>
          </w:p>
        </w:tc>
      </w:tr>
    </w:tbl>
    <w:p>
      <w:pPr>
        <w:spacing w:after="120"/>
      </w:pPr>
      <w:r>
        <w:rPr>
          <w:b w:val="0"/>
          <w:i/>
          <w:color w:val="595959"/>
          <w:sz w:val="15"/>
        </w:rPr>
        <w:t>Source: D4 §13.</w:t>
      </w:r>
    </w:p>
    <w:p>
      <w:pPr>
        <w:pStyle w:val="Heading2"/>
      </w:pPr>
      <w:r>
        <w:t>14.1 Other red flags (SYNTHESIS)</w:t>
      </w:r>
    </w:p>
    <w:p>
      <w:pPr>
        <w:pStyle w:val="ListBullet"/>
      </w:pPr>
      <w:r>
        <w:rPr>
          <w:b w:val="0"/>
          <w:i w:val="0"/>
        </w:rPr>
        <w:t xml:space="preserve">The FY26 guide was “reaffirmed” on May-12 while Q1 constant-currency growth (~7.4% </w:t>
      </w:r>
      <w:r>
        <w:rPr>
          <w:b/>
          <w:color w:val="2E548C"/>
          <w:sz w:val="16"/>
        </w:rPr>
        <w:t>[C]</w:t>
      </w:r>
      <w:r>
        <w:rPr>
          <w:b w:val="0"/>
          <w:i w:val="0"/>
        </w:rPr>
        <w:t>) was already below its 7.5% floor; it was cut 3 months later (D10 §3).</w:t>
      </w:r>
    </w:p>
    <w:p>
      <w:pPr>
        <w:pStyle w:val="ListBullet"/>
      </w:pPr>
      <w:r>
        <w:rPr>
          <w:b w:val="0"/>
          <w:i w:val="0"/>
        </w:rPr>
        <w:t xml:space="preserve">Units changed when the dollar figure would have breached the range: the standalone cost moved from “$20–25m” to “150bp” (≈$26m </w:t>
      </w:r>
      <w:r>
        <w:rPr>
          <w:b/>
          <w:color w:val="2E548C"/>
          <w:sz w:val="16"/>
        </w:rPr>
        <w:t>[C]</w:t>
      </w:r>
      <w:r>
        <w:rPr>
          <w:b w:val="0"/>
          <w:i w:val="0"/>
        </w:rPr>
        <w:t>) (D4 §8).</w:t>
      </w:r>
    </w:p>
    <w:p>
      <w:pPr>
        <w:pStyle w:val="ListBullet"/>
      </w:pPr>
      <w:r>
        <w:rPr>
          <w:b w:val="0"/>
          <w:i w:val="0"/>
        </w:rPr>
        <w:t xml:space="preserve">One-time costs: $75–100m → ~$100m (call) → $75–110m (10-Q) on the same day, with ~50% newly capitalised </w:t>
      </w:r>
      <w:r>
        <w:rPr>
          <w:b/>
          <w:color w:val="2E548C"/>
          <w:sz w:val="16"/>
        </w:rPr>
        <w:t>[D]</w:t>
      </w:r>
      <w:r>
        <w:rPr>
          <w:b w:val="0"/>
          <w:i w:val="0"/>
        </w:rPr>
        <w:t>/</w:t>
      </w:r>
      <w:r>
        <w:rPr>
          <w:b/>
          <w:color w:val="2E548C"/>
          <w:sz w:val="16"/>
        </w:rPr>
        <w:t>[IR]</w:t>
      </w:r>
      <w:r>
        <w:rPr>
          <w:b w:val="0"/>
          <w:i w:val="0"/>
        </w:rPr>
        <w:t xml:space="preserve"> (D4 §7).</w:t>
      </w:r>
    </w:p>
    <w:p>
      <w:pPr>
        <w:pStyle w:val="ListBullet"/>
      </w:pPr>
      <w:r>
        <w:rPr>
          <w:b w:val="0"/>
          <w:i w:val="0"/>
        </w:rPr>
        <w:t xml:space="preserve">Ad expense grew faster than revenue (+31% vs +18% FY23–25 </w:t>
      </w:r>
      <w:r>
        <w:rPr>
          <w:b/>
          <w:color w:val="2E548C"/>
          <w:sz w:val="16"/>
        </w:rPr>
        <w:t>[C]</w:t>
      </w:r>
      <w:r>
        <w:rPr>
          <w:b w:val="0"/>
          <w:i w:val="0"/>
        </w:rPr>
        <w:t xml:space="preserve">) and the 10/A says customer-acquisition cost is rising </w:t>
      </w:r>
      <w:r>
        <w:rPr>
          <w:b/>
          <w:color w:val="2E548C"/>
          <w:sz w:val="16"/>
        </w:rPr>
        <w:t>[D]</w:t>
      </w:r>
      <w:r>
        <w:rPr>
          <w:b w:val="0"/>
          <w:i w:val="0"/>
        </w:rPr>
        <w:t xml:space="preserve"> (D1 §6).</w:t>
      </w:r>
    </w:p>
    <w:p>
      <w:pPr>
        <w:pStyle w:val="ListBullet"/>
      </w:pPr>
      <w:r>
        <w:rPr>
          <w:b w:val="0"/>
          <w:i w:val="0"/>
        </w:rPr>
        <w:t xml:space="preserve">Carve-out EPS printed in the 10-Q although the Form 10 said it could not be presented — methodology inconsistency, not flattering (EPS −18% </w:t>
      </w:r>
      <w:r>
        <w:rPr>
          <w:b/>
          <w:color w:val="2E548C"/>
          <w:sz w:val="16"/>
        </w:rPr>
        <w:t>[C]</w:t>
      </w:r>
      <w:r>
        <w:rPr>
          <w:b w:val="0"/>
          <w:i w:val="0"/>
        </w:rPr>
        <w:t>) (D4 §6).</w:t>
      </w:r>
    </w:p>
    <w:p>
      <w:r>
        <w:rPr>
          <w:b/>
          <w:i w:val="0"/>
        </w:rPr>
        <w:t>Counter-view (D4 honest counters).</w:t>
      </w:r>
      <w:r>
        <w:rPr>
          <w:b w:val="0"/>
          <w:i w:val="0"/>
        </w:rPr>
        <w:t xml:space="preserve"> Spin-offs routinely move to Adj. EBITDA segment measures and drop parent-format organic growth; several changes cut against the company (the Q2-25 recast 186 → 188 lowers growth; the 10-Q volunteered the price split); management stated the guide cut in the first ~4 minutes of the Q2 call. </w:t>
      </w:r>
      <w:r>
        <w:rPr>
          <w:b/>
          <w:color w:val="E36C09"/>
        </w:rPr>
        <w:t>[TO COLLECT #72: management confirmation of the “new business” vs “price” definitions (D4 §3)]</w:t>
      </w:r>
      <w:r>
        <w:rPr>
          <w:b w:val="0"/>
          <w:i w:val="0"/>
        </w:rPr>
        <w:t xml:space="preserve">; </w:t>
      </w:r>
      <w:r>
        <w:rPr>
          <w:b/>
          <w:color w:val="E36C09"/>
        </w:rPr>
        <w:t>[TO COLLECT #73: FY25 Adj. EBITDA restated on the 6-item definition]</w:t>
      </w:r>
      <w:r>
        <w:rPr>
          <w:b w:val="0"/>
          <w:i w:val="0"/>
        </w:rPr>
        <w:t>.</w:t>
      </w:r>
    </w:p>
    <w:p>
      <w:pPr>
        <w:pStyle w:val="Heading1"/>
        <w:pageBreakBefore/>
      </w:pPr>
      <w:r>
        <w:t>15 Pre-mortem &amp; risks</w:t>
      </w:r>
    </w:p>
    <w:p>
      <w:r>
        <w:rPr>
          <w:b w:val="0"/>
          <w:i w:val="0"/>
        </w:rPr>
        <w:t xml:space="preserve">Ground rule (D11): every bear case extrapolates something </w:t>
      </w:r>
      <w:r>
        <w:rPr>
          <w:b/>
          <w:i w:val="0"/>
        </w:rPr>
        <w:t>already observed</w:t>
      </w:r>
      <w:r>
        <w:rPr>
          <w:b w:val="0"/>
          <w:i w:val="0"/>
        </w:rPr>
        <w:t xml:space="preserve"> in the record. Magnitudes are gaps against a “plan” of the medium-term 7.5–10% organic growth (midpoint 8.75%) from the FY26 guide midpoint (revenue $1,877.5m, Adj. EBITDA $752.5m </w:t>
      </w:r>
      <w:r>
        <w:rPr>
          <w:b/>
          <w:color w:val="2E548C"/>
          <w:sz w:val="16"/>
        </w:rPr>
        <w:t>[D]</w:t>
      </w:r>
      <w:r>
        <w:rPr>
          <w:b w:val="0"/>
          <w:i w:val="0"/>
        </w:rPr>
        <w:t xml:space="preserve">): FY28 plan revenue ≈ $2,220m and Adj. EBITDA ≈ $870m </w:t>
      </w:r>
      <w:r>
        <w:rPr>
          <w:b/>
          <w:color w:val="2E548C"/>
          <w:sz w:val="16"/>
        </w:rPr>
        <w:t>[E]</w:t>
      </w:r>
      <w:r>
        <w:rPr>
          <w:b w:val="0"/>
          <w:i w:val="0"/>
        </w:rPr>
        <w:t>. Magnitudes are not additive (cases 1, 2 and 4 overlap).</w:t>
      </w:r>
    </w:p>
    <w:p>
      <w:pPr>
        <w:keepNext/>
        <w:spacing w:before="80" w:after="40"/>
      </w:pPr>
      <w:r>
        <w:rPr>
          <w:b/>
          <w:i w:val="0"/>
          <w:color w:val="1F3864"/>
          <w:sz w:val="17"/>
        </w:rPr>
        <w:t>Exhibit 15.1 — How can we lose?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432"/>
        <w:gridCol w:w="2592"/>
        <w:gridCol w:w="3311"/>
        <w:gridCol w:w="3456"/>
      </w:tblGrid>
      <w:tr>
        <w:trPr>
          <w:cantSplit/>
          <w:tblHeader/>
        </w:trPr>
        <w:tc>
          <w:tcPr>
            <w:tcW w:type="dxa" w:w="432"/>
            <w:shd w:val="clear" w:color="auto" w:fill="1F3864"/>
          </w:tcPr>
          <w:p>
            <w:pPr>
              <w:spacing w:after="0" w:line="240" w:lineRule="auto"/>
            </w:pPr>
            <w:r>
              <w:rPr>
                <w:b/>
                <w:i w:val="0"/>
                <w:color w:val="FFFFFF"/>
                <w:sz w:val="15"/>
              </w:rPr>
              <w:t>#</w:t>
            </w:r>
          </w:p>
        </w:tc>
        <w:tc>
          <w:tcPr>
            <w:tcW w:type="dxa" w:w="2592"/>
            <w:shd w:val="clear" w:color="auto" w:fill="1F3864"/>
          </w:tcPr>
          <w:p>
            <w:pPr>
              <w:spacing w:after="0" w:line="240" w:lineRule="auto"/>
            </w:pPr>
            <w:r>
              <w:rPr>
                <w:b/>
                <w:i w:val="0"/>
                <w:color w:val="FFFFFF"/>
                <w:sz w:val="15"/>
              </w:rPr>
              <w:t>Bear case</w:t>
            </w:r>
          </w:p>
        </w:tc>
        <w:tc>
          <w:tcPr>
            <w:tcW w:type="dxa" w:w="3312"/>
            <w:shd w:val="clear" w:color="auto" w:fill="1F3864"/>
          </w:tcPr>
          <w:p>
            <w:pPr>
              <w:spacing w:after="0" w:line="240" w:lineRule="auto"/>
            </w:pPr>
            <w:r>
              <w:rPr>
                <w:b/>
                <w:i w:val="0"/>
                <w:color w:val="FFFFFF"/>
                <w:sz w:val="15"/>
              </w:rPr>
              <w:t>Leading indicator to watch</w:t>
            </w:r>
          </w:p>
        </w:tc>
        <w:tc>
          <w:tcPr>
            <w:tcW w:type="dxa" w:w="3456"/>
            <w:shd w:val="clear" w:color="auto" w:fill="1F3864"/>
          </w:tcPr>
          <w:p>
            <w:pPr>
              <w:spacing w:after="0" w:line="240" w:lineRule="auto"/>
            </w:pPr>
            <w:r>
              <w:rPr>
                <w:b/>
                <w:i w:val="0"/>
                <w:color w:val="FFFFFF"/>
                <w:sz w:val="15"/>
              </w:rPr>
              <w:t xml:space="preserve">Magnitude </w:t>
            </w:r>
            <w:r>
              <w:rPr>
                <w:b/>
                <w:color w:val="FFFFFF"/>
                <w:sz w:val="12"/>
              </w:rPr>
              <w:t>[E]</w:t>
            </w:r>
          </w:p>
        </w:tc>
      </w:tr>
      <w:tr>
        <w:trPr>
          <w:cantSplit/>
        </w:trPr>
        <w:tc>
          <w:tcPr>
            <w:tcW w:type="dxa" w:w="432"/>
          </w:tcPr>
          <w:p>
            <w:pPr>
              <w:spacing w:after="0" w:line="240" w:lineRule="auto"/>
            </w:pPr>
            <w:r>
              <w:rPr>
                <w:b w:val="0"/>
                <w:i w:val="0"/>
                <w:sz w:val="15"/>
              </w:rPr>
              <w:t>1</w:t>
            </w:r>
          </w:p>
        </w:tc>
        <w:tc>
          <w:tcPr>
            <w:tcW w:type="dxa" w:w="2592"/>
          </w:tcPr>
          <w:p>
            <w:pPr>
              <w:spacing w:after="0" w:line="240" w:lineRule="auto"/>
            </w:pPr>
            <w:r>
              <w:rPr>
                <w:b/>
                <w:i w:val="0"/>
                <w:sz w:val="15"/>
              </w:rPr>
              <w:t>The price lever wears out: core growth was price, and price has a ceiling</w:t>
            </w:r>
          </w:p>
        </w:tc>
        <w:tc>
          <w:tcPr>
            <w:tcW w:type="dxa" w:w="3312"/>
          </w:tcPr>
          <w:p>
            <w:pPr>
              <w:spacing w:after="0" w:line="240" w:lineRule="auto"/>
            </w:pPr>
            <w:r>
              <w:rPr>
                <w:b w:val="0"/>
                <w:i w:val="0"/>
                <w:sz w:val="15"/>
              </w:rPr>
              <w:t xml:space="preserve">10-Q price vs new-business split each quarter (now disclosed). CARFAX subscription growth (+8% in 1H-26 </w:t>
            </w:r>
            <w:r>
              <w:rPr>
                <w:b/>
                <w:color w:val="2E548C"/>
                <w:sz w:val="12"/>
              </w:rPr>
              <w:t>[D]</w:t>
            </w:r>
            <w:r>
              <w:rPr>
                <w:b w:val="0"/>
                <w:i w:val="0"/>
                <w:sz w:val="15"/>
              </w:rPr>
              <w:t xml:space="preserve">). Q1 pricing-season commentary ("pricing actions take effect early in the year" </w:t>
            </w:r>
            <w:r>
              <w:rPr>
                <w:b/>
                <w:color w:val="2E548C"/>
                <w:sz w:val="12"/>
              </w:rPr>
              <w:t>[IR]</w:t>
            </w:r>
            <w:r>
              <w:rPr>
                <w:b w:val="0"/>
                <w:i w:val="0"/>
                <w:sz w:val="15"/>
              </w:rPr>
              <w:t xml:space="preserve">). </w:t>
            </w:r>
            <w:r>
              <w:rPr>
                <w:b/>
                <w:color w:val="2E548C"/>
                <w:sz w:val="12"/>
              </w:rPr>
              <w:t>[context]</w:t>
            </w:r>
            <w:r>
              <w:rPr>
                <w:b w:val="0"/>
                <w:i w:val="0"/>
                <w:sz w:val="15"/>
              </w:rPr>
              <w:t xml:space="preserve"> dealer gross profit per used unit.</w:t>
            </w:r>
          </w:p>
        </w:tc>
        <w:tc>
          <w:tcPr>
            <w:tcW w:type="dxa" w:w="3456"/>
          </w:tcPr>
          <w:p>
            <w:pPr>
              <w:spacing w:after="0" w:line="240" w:lineRule="auto"/>
            </w:pPr>
            <w:r>
              <w:rPr>
                <w:b w:val="0"/>
                <w:i w:val="0"/>
                <w:sz w:val="15"/>
              </w:rPr>
              <w:t xml:space="preserve">Assume 5% organic for FY27–28 against the 8.75% plan: FY28 revenue ≈ $2,070m vs $2,220m, a </w:t>
            </w:r>
            <w:r>
              <w:rPr>
                <w:b/>
                <w:i w:val="0"/>
                <w:sz w:val="15"/>
              </w:rPr>
              <w:t>~$150m gap</w:t>
            </w:r>
            <w:r>
              <w:rPr>
                <w:b w:val="0"/>
                <w:i w:val="0"/>
                <w:sz w:val="15"/>
              </w:rPr>
              <w:t xml:space="preserve">. Assume ~70% flow-through (price ≈100%, new business ≈50%): </w:t>
            </w:r>
            <w:r>
              <w:rPr>
                <w:b/>
                <w:i w:val="0"/>
                <w:sz w:val="15"/>
              </w:rPr>
              <w:t>~$105m Adj. EBITDA, ≈12% of FY28 plan</w:t>
            </w:r>
            <w:r>
              <w:rPr>
                <w:b w:val="0"/>
                <w:i w:val="0"/>
                <w:sz w:val="15"/>
              </w:rPr>
              <w:t>.</w:t>
            </w:r>
          </w:p>
        </w:tc>
      </w:tr>
      <w:tr>
        <w:trPr>
          <w:cantSplit/>
        </w:trPr>
        <w:tc>
          <w:tcPr>
            <w:tcW w:type="dxa" w:w="432"/>
            <w:shd w:val="clear" w:color="auto" w:fill="D9E1F2"/>
          </w:tcPr>
          <w:p>
            <w:pPr>
              <w:spacing w:after="0" w:line="240" w:lineRule="auto"/>
            </w:pPr>
            <w:r>
              <w:rPr>
                <w:b w:val="0"/>
                <w:i w:val="0"/>
                <w:sz w:val="15"/>
              </w:rPr>
              <w:t>2</w:t>
            </w:r>
          </w:p>
        </w:tc>
        <w:tc>
          <w:tcPr>
            <w:tcW w:type="dxa" w:w="2592"/>
            <w:shd w:val="clear" w:color="auto" w:fill="D9E1F2"/>
          </w:tcPr>
          <w:p>
            <w:pPr>
              <w:spacing w:after="0" w:line="240" w:lineRule="auto"/>
            </w:pPr>
            <w:r>
              <w:rPr>
                <w:b/>
                <w:i w:val="0"/>
                <w:sz w:val="15"/>
              </w:rPr>
              <w:t>Cross-sell and go-to-market keep failing; the "new products +1–2pt" bucket does not arrive</w:t>
            </w:r>
          </w:p>
        </w:tc>
        <w:tc>
          <w:tcPr>
            <w:tcW w:type="dxa" w:w="3312"/>
            <w:shd w:val="clear" w:color="auto" w:fill="D9E1F2"/>
          </w:tcPr>
          <w:p>
            <w:pPr>
              <w:spacing w:after="0" w:line="240" w:lineRule="auto"/>
            </w:pPr>
            <w:r>
              <w:rPr>
                <w:b w:val="0"/>
                <w:i w:val="0"/>
                <w:sz w:val="15"/>
              </w:rPr>
              <w:t xml:space="preserve">Products-per-dealer commentary. Showroom uptake. New-business $ in the 10-Q. Whether the GS-era growth buckets (5–7 / 1–2 / 1–2 </w:t>
            </w:r>
            <w:r>
              <w:rPr>
                <w:b/>
                <w:color w:val="2E548C"/>
                <w:sz w:val="12"/>
              </w:rPr>
              <w:t>[IR]</w:t>
            </w:r>
            <w:r>
              <w:rPr>
                <w:b w:val="0"/>
                <w:i w:val="0"/>
                <w:sz w:val="15"/>
              </w:rPr>
              <w:t>) are restated at the FY27 guide.</w:t>
            </w:r>
          </w:p>
        </w:tc>
        <w:tc>
          <w:tcPr>
            <w:tcW w:type="dxa" w:w="3456"/>
            <w:shd w:val="clear" w:color="auto" w:fill="D9E1F2"/>
          </w:tcPr>
          <w:p>
            <w:pPr>
              <w:spacing w:after="0" w:line="240" w:lineRule="auto"/>
            </w:pPr>
            <w:r>
              <w:rPr>
                <w:b w:val="0"/>
                <w:i w:val="0"/>
                <w:sz w:val="15"/>
              </w:rPr>
              <w:t xml:space="preserve">The 1–2pt bucket equals </w:t>
            </w:r>
            <w:r>
              <w:rPr>
                <w:b/>
                <w:i w:val="0"/>
                <w:sz w:val="15"/>
              </w:rPr>
              <w:t>~$18–38m a year</w:t>
            </w:r>
            <w:r>
              <w:rPr>
                <w:b w:val="0"/>
                <w:i w:val="0"/>
                <w:sz w:val="15"/>
              </w:rPr>
              <w:t xml:space="preserve"> of revenue </w:t>
            </w:r>
            <w:r>
              <w:rPr>
                <w:b/>
                <w:color w:val="2E548C"/>
                <w:sz w:val="12"/>
              </w:rPr>
              <w:t>[C]</w:t>
            </w:r>
            <w:r>
              <w:rPr>
                <w:b w:val="0"/>
                <w:i w:val="0"/>
                <w:sz w:val="15"/>
              </w:rPr>
              <w:t xml:space="preserve"> (D2 (f)). Losing it for three years compounds to </w:t>
            </w:r>
            <w:r>
              <w:rPr>
                <w:b/>
                <w:i w:val="0"/>
                <w:sz w:val="15"/>
              </w:rPr>
              <w:t>~$55–115m of revenue</w:t>
            </w:r>
            <w:r>
              <w:rPr>
                <w:b w:val="0"/>
                <w:i w:val="0"/>
                <w:sz w:val="15"/>
              </w:rPr>
              <w:t xml:space="preserve"> by FY28. At ~50% flow-through that is </w:t>
            </w:r>
            <w:r>
              <w:rPr>
                <w:b/>
                <w:i w:val="0"/>
                <w:sz w:val="15"/>
              </w:rPr>
              <w:t>~$30–55m of EBITDA</w:t>
            </w:r>
            <w:r>
              <w:rPr>
                <w:b w:val="0"/>
                <w:i w:val="0"/>
                <w:sz w:val="15"/>
              </w:rPr>
              <w:t>.</w:t>
            </w:r>
          </w:p>
        </w:tc>
      </w:tr>
      <w:tr>
        <w:trPr>
          <w:cantSplit/>
        </w:trPr>
        <w:tc>
          <w:tcPr>
            <w:tcW w:type="dxa" w:w="432"/>
          </w:tcPr>
          <w:p>
            <w:pPr>
              <w:spacing w:after="0" w:line="240" w:lineRule="auto"/>
            </w:pPr>
            <w:r>
              <w:rPr>
                <w:b w:val="0"/>
                <w:i w:val="0"/>
                <w:sz w:val="15"/>
              </w:rPr>
              <w:t>3</w:t>
            </w:r>
          </w:p>
        </w:tc>
        <w:tc>
          <w:tcPr>
            <w:tcW w:type="dxa" w:w="2592"/>
          </w:tcPr>
          <w:p>
            <w:pPr>
              <w:spacing w:after="0" w:line="240" w:lineRule="auto"/>
            </w:pPr>
            <w:r>
              <w:rPr>
                <w:b/>
                <w:i w:val="0"/>
                <w:sz w:val="15"/>
              </w:rPr>
              <w:t>AI and search cut off consumer traffic, so the brand leg of the moat costs more to defend</w:t>
            </w:r>
          </w:p>
        </w:tc>
        <w:tc>
          <w:tcPr>
            <w:tcW w:type="dxa" w:w="3312"/>
          </w:tcPr>
          <w:p>
            <w:pPr>
              <w:spacing w:after="0" w:line="240" w:lineRule="auto"/>
            </w:pPr>
            <w:r>
              <w:rPr>
                <w:b w:val="0"/>
                <w:i w:val="0"/>
                <w:sz w:val="15"/>
              </w:rPr>
              <w:t xml:space="preserve">Ad expense / revenue in the 10-K. MUV (23m) and VHR views (28m+/month) </w:t>
            </w:r>
            <w:r>
              <w:rPr>
                <w:b/>
                <w:color w:val="2E548C"/>
                <w:sz w:val="12"/>
              </w:rPr>
              <w:t>[D]</w:t>
            </w:r>
            <w:r>
              <w:rPr>
                <w:b w:val="0"/>
                <w:i w:val="0"/>
                <w:sz w:val="15"/>
              </w:rPr>
              <w:t>, if they are still printed. Any change in the wording of the AI or search risk factors.</w:t>
            </w:r>
          </w:p>
        </w:tc>
        <w:tc>
          <w:tcPr>
            <w:tcW w:type="dxa" w:w="3456"/>
          </w:tcPr>
          <w:p>
            <w:pPr>
              <w:spacing w:after="0" w:line="240" w:lineRule="auto"/>
            </w:pPr>
            <w:r>
              <w:rPr>
                <w:b w:val="0"/>
                <w:i w:val="0"/>
                <w:sz w:val="15"/>
              </w:rPr>
              <w:t xml:space="preserve">Each +1pt of ad/revenue costs </w:t>
            </w:r>
            <w:r>
              <w:rPr>
                <w:b/>
                <w:i w:val="0"/>
                <w:sz w:val="15"/>
              </w:rPr>
              <w:t>≈$19m of EBITDA</w:t>
            </w:r>
            <w:r>
              <w:rPr>
                <w:b w:val="0"/>
                <w:i w:val="0"/>
                <w:sz w:val="15"/>
              </w:rPr>
              <w:t xml:space="preserve"> at FY26 revenue </w:t>
            </w:r>
            <w:r>
              <w:rPr>
                <w:b/>
                <w:color w:val="2E548C"/>
                <w:sz w:val="12"/>
              </w:rPr>
              <w:t>[C]</w:t>
            </w:r>
            <w:r>
              <w:rPr>
                <w:b w:val="0"/>
                <w:i w:val="0"/>
                <w:sz w:val="15"/>
              </w:rPr>
              <w:t xml:space="preserve">. A move from 10.1% to 12% costs </w:t>
            </w:r>
            <w:r>
              <w:rPr>
                <w:b/>
                <w:i w:val="0"/>
                <w:sz w:val="15"/>
              </w:rPr>
              <w:t>~$35–40m (~5% of EBITDA)</w:t>
            </w:r>
            <w:r>
              <w:rPr>
                <w:b w:val="0"/>
                <w:i w:val="0"/>
                <w:sz w:val="15"/>
              </w:rPr>
              <w:t>. Second-order price erosion is not estimated.</w:t>
            </w:r>
          </w:p>
        </w:tc>
      </w:tr>
      <w:tr>
        <w:trPr>
          <w:cantSplit/>
        </w:trPr>
        <w:tc>
          <w:tcPr>
            <w:tcW w:type="dxa" w:w="432"/>
            <w:shd w:val="clear" w:color="auto" w:fill="D9E1F2"/>
          </w:tcPr>
          <w:p>
            <w:pPr>
              <w:spacing w:after="0" w:line="240" w:lineRule="auto"/>
            </w:pPr>
            <w:r>
              <w:rPr>
                <w:b w:val="0"/>
                <w:i w:val="0"/>
                <w:sz w:val="15"/>
              </w:rPr>
              <w:t>4</w:t>
            </w:r>
          </w:p>
        </w:tc>
        <w:tc>
          <w:tcPr>
            <w:tcW w:type="dxa" w:w="2592"/>
            <w:shd w:val="clear" w:color="auto" w:fill="D9E1F2"/>
          </w:tcPr>
          <w:p>
            <w:pPr>
              <w:spacing w:after="0" w:line="240" w:lineRule="auto"/>
            </w:pPr>
            <w:r>
              <w:rPr>
                <w:b/>
                <w:i w:val="0"/>
                <w:sz w:val="15"/>
              </w:rPr>
              <w:t>B2B commoditises: low-cost alternatives plus OEM budget pressure</w:t>
            </w:r>
          </w:p>
        </w:tc>
        <w:tc>
          <w:tcPr>
            <w:tcW w:type="dxa" w:w="3312"/>
            <w:shd w:val="clear" w:color="auto" w:fill="D9E1F2"/>
          </w:tcPr>
          <w:p>
            <w:pPr>
              <w:spacing w:after="0" w:line="240" w:lineRule="auto"/>
            </w:pPr>
            <w:r>
              <w:rPr>
                <w:b w:val="0"/>
                <w:i w:val="0"/>
                <w:sz w:val="15"/>
              </w:rPr>
              <w:t xml:space="preserve">B2B subscription growth (~6% 1H-26 </w:t>
            </w:r>
            <w:r>
              <w:rPr>
                <w:b/>
                <w:color w:val="2E548C"/>
                <w:sz w:val="12"/>
              </w:rPr>
              <w:t>[IR]</w:t>
            </w:r>
            <w:r>
              <w:rPr>
                <w:b w:val="0"/>
                <w:i w:val="0"/>
                <w:sz w:val="15"/>
              </w:rPr>
              <w:t xml:space="preserve">; +8% 6M printed </w:t>
            </w:r>
            <w:r>
              <w:rPr>
                <w:b/>
                <w:color w:val="2E548C"/>
                <w:sz w:val="12"/>
              </w:rPr>
              <w:t>[D]</w:t>
            </w:r>
            <w:r>
              <w:rPr>
                <w:b w:val="0"/>
                <w:i w:val="0"/>
                <w:sz w:val="15"/>
              </w:rPr>
              <w:t xml:space="preserve">). B2B transactional. The segment margin </w:t>
            </w:r>
            <w:r>
              <w:rPr>
                <w:b/>
                <w:i w:val="0"/>
                <w:sz w:val="15"/>
              </w:rPr>
              <w:t>after</w:t>
            </w:r>
            <w:r>
              <w:rPr>
                <w:b w:val="0"/>
                <w:i w:val="0"/>
                <w:sz w:val="15"/>
              </w:rPr>
              <w:t xml:space="preserve"> the pending cost reallocation (D3 §2).</w:t>
            </w:r>
          </w:p>
        </w:tc>
        <w:tc>
          <w:tcPr>
            <w:tcW w:type="dxa" w:w="3456"/>
            <w:shd w:val="clear" w:color="auto" w:fill="D9E1F2"/>
          </w:tcPr>
          <w:p>
            <w:pPr>
              <w:spacing w:after="0" w:line="240" w:lineRule="auto"/>
            </w:pPr>
            <w:r>
              <w:rPr>
                <w:b w:val="0"/>
                <w:i w:val="0"/>
                <w:sz w:val="15"/>
              </w:rPr>
              <w:t xml:space="preserve">Assume 3% a year against 8% for three years: B2B revenue in FY28 ≈ $664m vs $766m from the FY25 base of $608m </w:t>
            </w:r>
            <w:r>
              <w:rPr>
                <w:b/>
                <w:color w:val="2E548C"/>
                <w:sz w:val="12"/>
              </w:rPr>
              <w:t>[C]</w:t>
            </w:r>
            <w:r>
              <w:rPr>
                <w:b w:val="0"/>
                <w:i w:val="0"/>
                <w:sz w:val="15"/>
              </w:rPr>
              <w:t xml:space="preserve">. That is a </w:t>
            </w:r>
            <w:r>
              <w:rPr>
                <w:b/>
                <w:i w:val="0"/>
                <w:sz w:val="15"/>
              </w:rPr>
              <w:t>~$100m revenue gap</w:t>
            </w:r>
            <w:r>
              <w:rPr>
                <w:b w:val="0"/>
                <w:i w:val="0"/>
                <w:sz w:val="15"/>
              </w:rPr>
              <w:t xml:space="preserve"> and </w:t>
            </w:r>
            <w:r>
              <w:rPr>
                <w:b/>
                <w:i w:val="0"/>
                <w:sz w:val="15"/>
              </w:rPr>
              <w:t>~$35m of EBITDA</w:t>
            </w:r>
            <w:r>
              <w:rPr>
                <w:b w:val="0"/>
                <w:i w:val="0"/>
                <w:sz w:val="15"/>
              </w:rPr>
              <w:t xml:space="preserve"> at a ~35% margin.</w:t>
            </w:r>
          </w:p>
        </w:tc>
      </w:tr>
      <w:tr>
        <w:trPr>
          <w:cantSplit/>
        </w:trPr>
        <w:tc>
          <w:tcPr>
            <w:tcW w:type="dxa" w:w="432"/>
          </w:tcPr>
          <w:p>
            <w:pPr>
              <w:spacing w:after="0" w:line="240" w:lineRule="auto"/>
            </w:pPr>
            <w:r>
              <w:rPr>
                <w:b w:val="0"/>
                <w:i w:val="0"/>
                <w:sz w:val="15"/>
              </w:rPr>
              <w:t>5</w:t>
            </w:r>
          </w:p>
        </w:tc>
        <w:tc>
          <w:tcPr>
            <w:tcW w:type="dxa" w:w="2592"/>
          </w:tcPr>
          <w:p>
            <w:pPr>
              <w:spacing w:after="0" w:line="240" w:lineRule="auto"/>
            </w:pPr>
            <w:r>
              <w:rPr>
                <w:b/>
                <w:i w:val="0"/>
                <w:sz w:val="15"/>
              </w:rPr>
              <w:t>The "acyclical" claim fails in a real downturn; the ~19% transactional sleeve and price relief bite</w:t>
            </w:r>
          </w:p>
        </w:tc>
        <w:tc>
          <w:tcPr>
            <w:tcW w:type="dxa" w:w="3312"/>
          </w:tcPr>
          <w:p>
            <w:pPr>
              <w:spacing w:after="0" w:line="240" w:lineRule="auto"/>
            </w:pPr>
            <w:r>
              <w:rPr>
                <w:b w:val="0"/>
                <w:i w:val="0"/>
                <w:sz w:val="15"/>
              </w:rPr>
              <w:t xml:space="preserve">Underwriting-volume $ in the MD&amp;A. Recall $. Canada and Europe transactional. FY27 guide assumptions about the macro ("not assuming any improvement" </w:t>
            </w:r>
            <w:r>
              <w:rPr>
                <w:b/>
                <w:color w:val="2E548C"/>
                <w:sz w:val="12"/>
              </w:rPr>
              <w:t>[IR]</w:t>
            </w:r>
            <w:r>
              <w:rPr>
                <w:b w:val="0"/>
                <w:i w:val="0"/>
                <w:sz w:val="15"/>
              </w:rPr>
              <w:t>).</w:t>
            </w:r>
          </w:p>
        </w:tc>
        <w:tc>
          <w:tcPr>
            <w:tcW w:type="dxa" w:w="3456"/>
          </w:tcPr>
          <w:p>
            <w:pPr>
              <w:spacing w:after="0" w:line="240" w:lineRule="auto"/>
            </w:pPr>
            <w:r>
              <w:rPr>
                <w:b w:val="0"/>
                <w:i w:val="0"/>
                <w:sz w:val="15"/>
              </w:rPr>
              <w:t xml:space="preserve">Use the D9 §3 stress template: transactional −25% on ~$357m (19% × 1,877.5) = </w:t>
            </w:r>
            <w:r>
              <w:rPr>
                <w:b/>
                <w:i w:val="0"/>
                <w:sz w:val="15"/>
              </w:rPr>
              <w:t>−$90m of revenue</w:t>
            </w:r>
            <w:r>
              <w:rPr>
                <w:b w:val="0"/>
                <w:i w:val="0"/>
                <w:sz w:val="15"/>
              </w:rPr>
              <w:t xml:space="preserve">. At ~50% decremental that is </w:t>
            </w:r>
            <w:r>
              <w:rPr>
                <w:b/>
                <w:i w:val="0"/>
                <w:sz w:val="15"/>
              </w:rPr>
              <w:t>−$45m of EBITDA (~6%)</w:t>
            </w:r>
            <w:r>
              <w:rPr>
                <w:b w:val="0"/>
                <w:i w:val="0"/>
                <w:sz w:val="15"/>
              </w:rPr>
              <w:t xml:space="preserve">. Adding 2020-style price relief (subscription growth falls to ~+2% from ~+7%) costs another </w:t>
            </w:r>
            <w:r>
              <w:rPr>
                <w:b/>
                <w:i w:val="0"/>
                <w:sz w:val="15"/>
              </w:rPr>
              <w:t>~$75m of revenue</w:t>
            </w:r>
            <w:r>
              <w:rPr>
                <w:b w:val="0"/>
                <w:i w:val="0"/>
                <w:sz w:val="15"/>
              </w:rPr>
              <w:t xml:space="preserve"> </w:t>
            </w:r>
            <w:r>
              <w:rPr>
                <w:b/>
                <w:color w:val="2E548C"/>
                <w:sz w:val="12"/>
              </w:rPr>
              <w:t>[E]</w:t>
            </w:r>
            <w:r>
              <w:rPr>
                <w:b w:val="0"/>
                <w:i w:val="0"/>
                <w:sz w:val="15"/>
              </w:rPr>
              <w:t>.</w:t>
            </w:r>
          </w:p>
        </w:tc>
      </w:tr>
      <w:tr>
        <w:trPr>
          <w:cantSplit/>
        </w:trPr>
        <w:tc>
          <w:tcPr>
            <w:tcW w:type="dxa" w:w="432"/>
            <w:shd w:val="clear" w:color="auto" w:fill="D9E1F2"/>
          </w:tcPr>
          <w:p>
            <w:pPr>
              <w:spacing w:after="0" w:line="240" w:lineRule="auto"/>
            </w:pPr>
            <w:r>
              <w:rPr>
                <w:b w:val="0"/>
                <w:i w:val="0"/>
                <w:sz w:val="15"/>
              </w:rPr>
              <w:t>6</w:t>
            </w:r>
          </w:p>
        </w:tc>
        <w:tc>
          <w:tcPr>
            <w:tcW w:type="dxa" w:w="2592"/>
            <w:shd w:val="clear" w:color="auto" w:fill="D9E1F2"/>
          </w:tcPr>
          <w:p>
            <w:pPr>
              <w:spacing w:after="0" w:line="240" w:lineRule="auto"/>
            </w:pPr>
            <w:r>
              <w:rPr>
                <w:b/>
                <w:i w:val="0"/>
                <w:sz w:val="15"/>
              </w:rPr>
              <w:t>The margin story slips again: standalone costs, SBC and definitional generosity</w:t>
            </w:r>
          </w:p>
        </w:tc>
        <w:tc>
          <w:tcPr>
            <w:tcW w:type="dxa" w:w="3312"/>
            <w:shd w:val="clear" w:color="auto" w:fill="D9E1F2"/>
          </w:tcPr>
          <w:p>
            <w:pPr>
              <w:spacing w:after="0" w:line="240" w:lineRule="auto"/>
            </w:pPr>
            <w:r>
              <w:rPr>
                <w:b w:val="0"/>
                <w:i w:val="0"/>
                <w:sz w:val="15"/>
              </w:rPr>
              <w:t xml:space="preserve">The size of the "severance and other" add-back each quarter. Capex including the ~50% capitalized stand-up spend (~$50m </w:t>
            </w:r>
            <w:r>
              <w:rPr>
                <w:b/>
                <w:color w:val="2E548C"/>
                <w:sz w:val="12"/>
              </w:rPr>
              <w:t>[IR]</w:t>
            </w:r>
            <w:r>
              <w:rPr>
                <w:b w:val="0"/>
                <w:i w:val="0"/>
                <w:sz w:val="15"/>
              </w:rPr>
              <w:t>, D2 (e)). The SBC line. Whether FY25's $711m is restated on the 6-item definition (D4 §5).</w:t>
            </w:r>
          </w:p>
        </w:tc>
        <w:tc>
          <w:tcPr>
            <w:tcW w:type="dxa" w:w="3456"/>
            <w:shd w:val="clear" w:color="auto" w:fill="D9E1F2"/>
          </w:tcPr>
          <w:p>
            <w:pPr>
              <w:spacing w:after="0" w:line="240" w:lineRule="auto"/>
            </w:pPr>
            <w:r>
              <w:rPr>
                <w:b w:val="0"/>
                <w:i w:val="0"/>
                <w:sz w:val="15"/>
              </w:rPr>
              <w:t xml:space="preserve">SBC at 3–4% adds </w:t>
            </w:r>
            <w:r>
              <w:rPr>
                <w:b/>
                <w:i w:val="0"/>
                <w:sz w:val="15"/>
              </w:rPr>
              <w:t>+$34–53m a year</w:t>
            </w:r>
            <w:r>
              <w:rPr>
                <w:b w:val="0"/>
                <w:i w:val="0"/>
                <w:sz w:val="15"/>
              </w:rPr>
              <w:t xml:space="preserve"> of GAAP cost </w:t>
            </w:r>
            <w:r>
              <w:rPr>
                <w:b/>
                <w:color w:val="2E548C"/>
                <w:sz w:val="12"/>
              </w:rPr>
              <w:t>[C]</w:t>
            </w:r>
            <w:r>
              <w:rPr>
                <w:b w:val="0"/>
                <w:i w:val="0"/>
                <w:sz w:val="15"/>
              </w:rPr>
              <w:t xml:space="preserve"> (D5 §4). Missing the +50bp/yr for FY28–29 leaves </w:t>
            </w:r>
            <w:r>
              <w:rPr>
                <w:b/>
                <w:i w:val="0"/>
                <w:sz w:val="15"/>
              </w:rPr>
              <w:t>~$20–25m of EBITDA</w:t>
            </w:r>
            <w:r>
              <w:rPr>
                <w:b w:val="0"/>
                <w:i w:val="0"/>
                <w:sz w:val="15"/>
              </w:rPr>
              <w:t xml:space="preserve"> short of plan. Together that is </w:t>
            </w:r>
            <w:r>
              <w:rPr>
                <w:b/>
                <w:i w:val="0"/>
                <w:sz w:val="15"/>
              </w:rPr>
              <w:t>~$55–75m of GAAP pre-tax</w:t>
            </w:r>
            <w:r>
              <w:rPr>
                <w:b w:val="0"/>
                <w:i w:val="0"/>
                <w:sz w:val="15"/>
              </w:rPr>
              <w:t xml:space="preserve">, ≈25–35% of standalone normalized NI (~$171–209m </w:t>
            </w:r>
            <w:r>
              <w:rPr>
                <w:b/>
                <w:color w:val="2E548C"/>
                <w:sz w:val="12"/>
              </w:rPr>
              <w:t>[C]</w:t>
            </w:r>
            <w:r>
              <w:rPr>
                <w:b w:val="0"/>
                <w:i w:val="0"/>
                <w:sz w:val="15"/>
              </w:rPr>
              <w:t>, D3 §4).</w:t>
            </w:r>
          </w:p>
        </w:tc>
      </w:tr>
      <w:tr>
        <w:trPr>
          <w:cantSplit/>
        </w:trPr>
        <w:tc>
          <w:tcPr>
            <w:tcW w:type="dxa" w:w="432"/>
          </w:tcPr>
          <w:p>
            <w:pPr>
              <w:spacing w:after="0" w:line="240" w:lineRule="auto"/>
            </w:pPr>
            <w:r>
              <w:rPr>
                <w:b w:val="0"/>
                <w:i w:val="0"/>
                <w:sz w:val="15"/>
              </w:rPr>
              <w:t>7</w:t>
            </w:r>
          </w:p>
        </w:tc>
        <w:tc>
          <w:tcPr>
            <w:tcW w:type="dxa" w:w="2592"/>
          </w:tcPr>
          <w:p>
            <w:pPr>
              <w:spacing w:after="0" w:line="240" w:lineRule="auto"/>
            </w:pPr>
            <w:r>
              <w:rPr>
                <w:b/>
                <w:i w:val="0"/>
                <w:sz w:val="15"/>
              </w:rPr>
              <w:t>Leverage and capital-return arithmetic tightens once growth slows</w:t>
            </w:r>
          </w:p>
        </w:tc>
        <w:tc>
          <w:tcPr>
            <w:tcW w:type="dxa" w:w="3312"/>
          </w:tcPr>
          <w:p>
            <w:pPr>
              <w:spacing w:after="0" w:line="240" w:lineRule="auto"/>
            </w:pPr>
            <w:r>
              <w:rPr>
                <w:b w:val="0"/>
                <w:i w:val="0"/>
                <w:sz w:val="15"/>
              </w:rPr>
              <w:t>Net debt / EBITDA each quarter. FCF conversion once the one-time costs roll off. The size of the first buyback authorisation in 2027.</w:t>
            </w:r>
          </w:p>
        </w:tc>
        <w:tc>
          <w:tcPr>
            <w:tcW w:type="dxa" w:w="3456"/>
          </w:tcPr>
          <w:p>
            <w:pPr>
              <w:spacing w:after="0" w:line="240" w:lineRule="auto"/>
            </w:pPr>
            <w:r>
              <w:rPr>
                <w:b w:val="0"/>
                <w:i w:val="0"/>
                <w:sz w:val="15"/>
              </w:rPr>
              <w:t xml:space="preserve">With flat EBITDA growth, $2.0bn of gross debt keeps leverage at ~2.7x </w:t>
            </w:r>
            <w:r>
              <w:rPr>
                <w:b/>
                <w:color w:val="2E548C"/>
                <w:sz w:val="12"/>
              </w:rPr>
              <w:t>[C]</w:t>
            </w:r>
            <w:r>
              <w:rPr>
                <w:b w:val="0"/>
                <w:i w:val="0"/>
                <w:sz w:val="15"/>
              </w:rPr>
              <w:t xml:space="preserve">. Every $50m of EBITDA shortfall is ≈0.15–0.2x of leverage </w:t>
            </w:r>
            <w:r>
              <w:rPr>
                <w:b/>
                <w:color w:val="2E548C"/>
                <w:sz w:val="12"/>
              </w:rPr>
              <w:t>[C]</w:t>
            </w:r>
            <w:r>
              <w:rPr>
                <w:b w:val="0"/>
                <w:i w:val="0"/>
                <w:sz w:val="15"/>
              </w:rPr>
              <w:t>. The ~$200m-a-year buyback capacity is the swing item.</w:t>
            </w:r>
          </w:p>
        </w:tc>
      </w:tr>
      <w:tr>
        <w:trPr>
          <w:cantSplit/>
        </w:trPr>
        <w:tc>
          <w:tcPr>
            <w:tcW w:type="dxa" w:w="432"/>
            <w:shd w:val="clear" w:color="auto" w:fill="D9E1F2"/>
          </w:tcPr>
          <w:p>
            <w:pPr>
              <w:spacing w:after="0" w:line="240" w:lineRule="auto"/>
            </w:pPr>
            <w:r>
              <w:rPr>
                <w:b w:val="0"/>
                <w:i w:val="0"/>
                <w:sz w:val="15"/>
              </w:rPr>
              <w:t>8</w:t>
            </w:r>
          </w:p>
        </w:tc>
        <w:tc>
          <w:tcPr>
            <w:tcW w:type="dxa" w:w="2592"/>
            <w:shd w:val="clear" w:color="auto" w:fill="D9E1F2"/>
          </w:tcPr>
          <w:p>
            <w:pPr>
              <w:spacing w:after="0" w:line="240" w:lineRule="auto"/>
            </w:pPr>
            <w:r>
              <w:rPr>
                <w:b/>
                <w:i w:val="0"/>
                <w:sz w:val="15"/>
              </w:rPr>
              <w:t>A data-supply squeeze: fees rise, or gatekeepers cut access</w:t>
            </w:r>
          </w:p>
        </w:tc>
        <w:tc>
          <w:tcPr>
            <w:tcW w:type="dxa" w:w="3312"/>
            <w:shd w:val="clear" w:color="auto" w:fill="D9E1F2"/>
          </w:tcPr>
          <w:p>
            <w:pPr>
              <w:spacing w:after="0" w:line="240" w:lineRule="auto"/>
            </w:pPr>
            <w:r>
              <w:rPr>
                <w:b w:val="0"/>
                <w:i w:val="0"/>
                <w:sz w:val="15"/>
              </w:rPr>
              <w:t>Operating-related expense growth against revenue (segment tables). Any change in the 177k source count, or in the wording on sources. 8-K or litigation disclosures.</w:t>
            </w:r>
          </w:p>
        </w:tc>
        <w:tc>
          <w:tcPr>
            <w:tcW w:type="dxa" w:w="3456"/>
            <w:shd w:val="clear" w:color="auto" w:fill="D9E1F2"/>
          </w:tcPr>
          <w:p>
            <w:pPr>
              <w:spacing w:after="0" w:line="240" w:lineRule="auto"/>
            </w:pPr>
            <w:r>
              <w:rPr>
                <w:b w:val="0"/>
                <w:i w:val="0"/>
                <w:sz w:val="15"/>
              </w:rPr>
              <w:t xml:space="preserve">No cost of data is disclosed </w:t>
            </w:r>
            <w:r>
              <w:rPr>
                <w:b/>
                <w:color w:val="2E548C"/>
                <w:sz w:val="12"/>
              </w:rPr>
              <w:t>[gap]</w:t>
            </w:r>
            <w:r>
              <w:rPr>
                <w:b w:val="0"/>
                <w:i w:val="0"/>
                <w:sz w:val="15"/>
              </w:rPr>
              <w:t xml:space="preserve">. Illustratively, +10% on an assumed ~$200–300m data and processing cost base costs </w:t>
            </w:r>
            <w:r>
              <w:rPr>
                <w:b/>
                <w:i w:val="0"/>
                <w:sz w:val="15"/>
              </w:rPr>
              <w:t>~$20–30m of EBITDA</w:t>
            </w:r>
            <w:r>
              <w:rPr>
                <w:b w:val="0"/>
                <w:i w:val="0"/>
                <w:sz w:val="15"/>
              </w:rPr>
              <w:t xml:space="preserve"> [E: the cost base is our assumption, not disclosed].</w:t>
            </w:r>
          </w:p>
        </w:tc>
      </w:tr>
      <w:tr>
        <w:trPr>
          <w:cantSplit/>
        </w:trPr>
        <w:tc>
          <w:tcPr>
            <w:tcW w:type="dxa" w:w="432"/>
          </w:tcPr>
          <w:p>
            <w:pPr>
              <w:spacing w:after="0" w:line="240" w:lineRule="auto"/>
            </w:pPr>
            <w:r>
              <w:rPr>
                <w:b w:val="0"/>
                <w:i w:val="0"/>
                <w:sz w:val="15"/>
              </w:rPr>
              <w:t>9</w:t>
            </w:r>
          </w:p>
        </w:tc>
        <w:tc>
          <w:tcPr>
            <w:tcW w:type="dxa" w:w="2592"/>
          </w:tcPr>
          <w:p>
            <w:pPr>
              <w:spacing w:after="0" w:line="240" w:lineRule="auto"/>
            </w:pPr>
            <w:r>
              <w:rPr>
                <w:b/>
                <w:i w:val="0"/>
                <w:sz w:val="15"/>
              </w:rPr>
              <w:t>Retreating disclosure hides deterioration until it shows up in the numbers</w:t>
            </w:r>
          </w:p>
        </w:tc>
        <w:tc>
          <w:tcPr>
            <w:tcW w:type="dxa" w:w="3312"/>
          </w:tcPr>
          <w:p>
            <w:pPr>
              <w:spacing w:after="0" w:line="240" w:lineRule="auto"/>
            </w:pPr>
            <w:r>
              <w:rPr>
                <w:b w:val="0"/>
                <w:i w:val="0"/>
                <w:sz w:val="15"/>
              </w:rPr>
              <w:t>Whether the FY27 guide brings back NRR, location counts or organic constant-currency growth. The Adjusted NI definition (from Q3-26). The first 10-K MD&amp;A wording.</w:t>
            </w:r>
          </w:p>
        </w:tc>
        <w:tc>
          <w:tcPr>
            <w:tcW w:type="dxa" w:w="3456"/>
          </w:tcPr>
          <w:p>
            <w:pPr>
              <w:spacing w:after="0" w:line="240" w:lineRule="auto"/>
            </w:pPr>
            <w:r>
              <w:rPr>
                <w:b w:val="0"/>
                <w:i w:val="0"/>
                <w:sz w:val="15"/>
              </w:rPr>
              <w:t xml:space="preserve">Valuation-multiple risk, which is not quantified. </w:t>
            </w:r>
            <w:r>
              <w:rPr>
                <w:b/>
                <w:i w:val="0"/>
                <w:sz w:val="15"/>
              </w:rPr>
              <w:t>Inference:</w:t>
            </w:r>
            <w:r>
              <w:rPr>
                <w:b w:val="0"/>
                <w:i w:val="0"/>
                <w:sz w:val="15"/>
              </w:rPr>
              <w:t xml:space="preserve"> this amplifies cases #1–#4 rather than adding its own EBITDA.</w:t>
            </w:r>
          </w:p>
        </w:tc>
      </w:tr>
      <w:tr>
        <w:trPr>
          <w:cantSplit/>
        </w:trPr>
        <w:tc>
          <w:tcPr>
            <w:tcW w:type="dxa" w:w="432"/>
            <w:shd w:val="clear" w:color="auto" w:fill="D9E1F2"/>
          </w:tcPr>
          <w:p>
            <w:pPr>
              <w:spacing w:after="0" w:line="240" w:lineRule="auto"/>
            </w:pPr>
            <w:r>
              <w:rPr>
                <w:b w:val="0"/>
                <w:i w:val="0"/>
                <w:sz w:val="15"/>
              </w:rPr>
              <w:t>10</w:t>
            </w:r>
          </w:p>
        </w:tc>
        <w:tc>
          <w:tcPr>
            <w:tcW w:type="dxa" w:w="2592"/>
            <w:shd w:val="clear" w:color="auto" w:fill="D9E1F2"/>
          </w:tcPr>
          <w:p>
            <w:pPr>
              <w:spacing w:after="0" w:line="240" w:lineRule="auto"/>
            </w:pPr>
            <w:r>
              <w:rPr>
                <w:b/>
                <w:i w:val="0"/>
                <w:sz w:val="15"/>
              </w:rPr>
              <w:t>Incentives reward Adj. EBITDA and tenure, not per-share value</w:t>
            </w:r>
          </w:p>
        </w:tc>
        <w:tc>
          <w:tcPr>
            <w:tcW w:type="dxa" w:w="3312"/>
            <w:shd w:val="clear" w:color="auto" w:fill="D9E1F2"/>
          </w:tcPr>
          <w:p>
            <w:pPr>
              <w:spacing w:after="0" w:line="240" w:lineRule="auto"/>
            </w:pPr>
            <w:r>
              <w:rPr>
                <w:b w:val="0"/>
                <w:i w:val="0"/>
                <w:sz w:val="15"/>
              </w:rPr>
              <w:t>The first DEF 14A (~Apr-2027): STI/PSU metrics, TSR, ownership guidelines. Burn rate.</w:t>
            </w:r>
          </w:p>
        </w:tc>
        <w:tc>
          <w:tcPr>
            <w:tcW w:type="dxa" w:w="3456"/>
            <w:shd w:val="clear" w:color="auto" w:fill="D9E1F2"/>
          </w:tcPr>
          <w:p>
            <w:pPr>
              <w:spacing w:after="0" w:line="240" w:lineRule="auto"/>
            </w:pPr>
            <w:r>
              <w:rPr>
                <w:b w:val="0"/>
                <w:i w:val="0"/>
                <w:sz w:val="15"/>
              </w:rPr>
              <w:t xml:space="preserve">SBC at 4% against 1.3% today ≈ </w:t>
            </w:r>
            <w:r>
              <w:rPr>
                <w:b/>
                <w:i w:val="0"/>
                <w:sz w:val="15"/>
              </w:rPr>
              <w:t>+$50m a year</w:t>
            </w:r>
            <w:r>
              <w:rPr>
                <w:b w:val="0"/>
                <w:i w:val="0"/>
                <w:sz w:val="15"/>
              </w:rPr>
              <w:t xml:space="preserve"> of shareholder cost </w:t>
            </w:r>
            <w:r>
              <w:rPr>
                <w:b/>
                <w:color w:val="2E548C"/>
                <w:sz w:val="12"/>
              </w:rPr>
              <w:t>[C]</w:t>
            </w:r>
            <w:r>
              <w:rPr>
                <w:b w:val="0"/>
                <w:i w:val="0"/>
                <w:sz w:val="15"/>
              </w:rPr>
              <w:t xml:space="preserve"> (D5 §4). M&amp;A downside is not quantified.</w:t>
            </w:r>
          </w:p>
        </w:tc>
      </w:tr>
      <w:tr>
        <w:trPr>
          <w:cantSplit/>
        </w:trPr>
        <w:tc>
          <w:tcPr>
            <w:tcW w:type="dxa" w:w="432"/>
          </w:tcPr>
          <w:p>
            <w:pPr>
              <w:spacing w:after="0" w:line="240" w:lineRule="auto"/>
            </w:pPr>
            <w:r>
              <w:rPr>
                <w:b w:val="0"/>
                <w:i w:val="0"/>
                <w:sz w:val="15"/>
              </w:rPr>
              <w:t>11</w:t>
            </w:r>
          </w:p>
        </w:tc>
        <w:tc>
          <w:tcPr>
            <w:tcW w:type="dxa" w:w="2592"/>
          </w:tcPr>
          <w:p>
            <w:pPr>
              <w:spacing w:after="0" w:line="240" w:lineRule="auto"/>
            </w:pPr>
            <w:r>
              <w:rPr>
                <w:b/>
                <w:i w:val="0"/>
                <w:sz w:val="15"/>
              </w:rPr>
              <w:t>International and Listings absorb capital with no disclosed return</w:t>
            </w:r>
          </w:p>
        </w:tc>
        <w:tc>
          <w:tcPr>
            <w:tcW w:type="dxa" w:w="3312"/>
          </w:tcPr>
          <w:p>
            <w:pPr>
              <w:spacing w:after="0" w:line="240" w:lineRule="auto"/>
            </w:pPr>
            <w:r>
              <w:rPr>
                <w:b w:val="0"/>
                <w:i w:val="0"/>
                <w:sz w:val="15"/>
              </w:rPr>
              <w:t xml:space="preserve">International revenue growth (+9% in Q2-26 </w:t>
            </w:r>
            <w:r>
              <w:rPr>
                <w:b/>
                <w:color w:val="2E548C"/>
                <w:sz w:val="12"/>
              </w:rPr>
              <w:t>[D]</w:t>
            </w:r>
            <w:r>
              <w:rPr>
                <w:b w:val="0"/>
                <w:i w:val="0"/>
                <w:sz w:val="15"/>
              </w:rPr>
              <w:t xml:space="preserve">). Group foreign pre-tax income ($50m in FY25 </w:t>
            </w:r>
            <w:r>
              <w:rPr>
                <w:b/>
                <w:color w:val="2E548C"/>
                <w:sz w:val="12"/>
              </w:rPr>
              <w:t>[D]</w:t>
            </w:r>
            <w:r>
              <w:rPr>
                <w:b w:val="0"/>
                <w:i w:val="0"/>
                <w:sz w:val="15"/>
              </w:rPr>
              <w:t>). Any European loss disclosure.</w:t>
            </w:r>
          </w:p>
        </w:tc>
        <w:tc>
          <w:tcPr>
            <w:tcW w:type="dxa" w:w="3456"/>
          </w:tcPr>
          <w:p>
            <w:pPr>
              <w:spacing w:after="0" w:line="240" w:lineRule="auto"/>
            </w:pPr>
            <w:r>
              <w:rPr>
                <w:b w:val="0"/>
                <w:i w:val="0"/>
                <w:sz w:val="15"/>
              </w:rPr>
              <w:t xml:space="preserve">The 1–2pt bucket is ~$18–38m a year of revenue </w:t>
            </w:r>
            <w:r>
              <w:rPr>
                <w:b/>
                <w:color w:val="2E548C"/>
                <w:sz w:val="12"/>
              </w:rPr>
              <w:t>[C]</w:t>
            </w:r>
            <w:r>
              <w:rPr>
                <w:b w:val="0"/>
                <w:i w:val="0"/>
                <w:sz w:val="15"/>
              </w:rPr>
              <w:t>. Assume start-up losses of ~$10–20m a year for 2–3 years [E: no disclosure; sized against the $5m UK allowance and the four-market footprint].</w:t>
            </w:r>
          </w:p>
        </w:tc>
      </w:tr>
    </w:tbl>
    <w:p>
      <w:pPr>
        <w:spacing w:after="120"/>
      </w:pPr>
      <w:r>
        <w:rPr>
          <w:b w:val="0"/>
          <w:i/>
          <w:color w:val="595959"/>
          <w:sz w:val="15"/>
        </w:rPr>
        <w:t>Source: analysis/D11_premortem.md §1 (observed-evidence and mechanism columns omitted here; see the source file).</w:t>
      </w:r>
    </w:p>
    <w:p>
      <w:pPr>
        <w:keepNext/>
        <w:spacing w:before="80" w:after="40"/>
      </w:pPr>
      <w:r>
        <w:rPr>
          <w:b/>
          <w:i w:val="0"/>
          <w:color w:val="1F3864"/>
          <w:sz w:val="17"/>
        </w:rPr>
        <w:t>Exhibit 15.2 — Risk summary</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880"/>
        <w:gridCol w:w="864"/>
        <w:gridCol w:w="1152"/>
        <w:gridCol w:w="4896"/>
      </w:tblGrid>
      <w:tr>
        <w:trPr>
          <w:cantSplit/>
          <w:tblHeader/>
        </w:trPr>
        <w:tc>
          <w:tcPr>
            <w:tcW w:type="dxa" w:w="2880"/>
            <w:shd w:val="clear" w:color="auto" w:fill="1F3864"/>
          </w:tcPr>
          <w:p>
            <w:pPr>
              <w:spacing w:after="0" w:line="240" w:lineRule="auto"/>
            </w:pPr>
            <w:r>
              <w:rPr>
                <w:b/>
                <w:i w:val="0"/>
                <w:color w:val="FFFFFF"/>
                <w:sz w:val="15"/>
              </w:rPr>
              <w:t>Risk</w:t>
            </w:r>
          </w:p>
        </w:tc>
        <w:tc>
          <w:tcPr>
            <w:tcW w:type="dxa" w:w="864"/>
            <w:shd w:val="clear" w:color="auto" w:fill="1F3864"/>
          </w:tcPr>
          <w:p>
            <w:pPr>
              <w:spacing w:after="0" w:line="240" w:lineRule="auto"/>
            </w:pPr>
            <w:r>
              <w:rPr>
                <w:b/>
                <w:i w:val="0"/>
                <w:color w:val="FFFFFF"/>
                <w:sz w:val="15"/>
              </w:rPr>
              <w:t>Impact</w:t>
            </w:r>
          </w:p>
        </w:tc>
        <w:tc>
          <w:tcPr>
            <w:tcW w:type="dxa" w:w="1152"/>
            <w:shd w:val="clear" w:color="auto" w:fill="1F3864"/>
          </w:tcPr>
          <w:p>
            <w:pPr>
              <w:spacing w:after="0" w:line="240" w:lineRule="auto"/>
            </w:pPr>
            <w:r>
              <w:rPr>
                <w:b/>
                <w:i w:val="0"/>
                <w:color w:val="FFFFFF"/>
                <w:sz w:val="15"/>
              </w:rPr>
              <w:t>Likelihood</w:t>
            </w:r>
          </w:p>
        </w:tc>
        <w:tc>
          <w:tcPr>
            <w:tcW w:type="dxa" w:w="4896"/>
            <w:shd w:val="clear" w:color="auto" w:fill="1F3864"/>
          </w:tcPr>
          <w:p>
            <w:pPr>
              <w:spacing w:after="0" w:line="240" w:lineRule="auto"/>
            </w:pPr>
            <w:r>
              <w:rPr>
                <w:b/>
                <w:i w:val="0"/>
                <w:color w:val="FFFFFF"/>
                <w:sz w:val="15"/>
              </w:rPr>
              <w:t>Comment</w:t>
            </w:r>
          </w:p>
        </w:tc>
      </w:tr>
      <w:tr>
        <w:trPr>
          <w:cantSplit/>
        </w:trPr>
        <w:tc>
          <w:tcPr>
            <w:tcW w:type="dxa" w:w="2880"/>
          </w:tcPr>
          <w:p>
            <w:pPr>
              <w:spacing w:after="0" w:line="240" w:lineRule="auto"/>
            </w:pPr>
            <w:r>
              <w:rPr>
                <w:b w:val="0"/>
                <w:i w:val="0"/>
                <w:sz w:val="15"/>
              </w:rPr>
              <w:t>1. Price lever wears out</w:t>
            </w:r>
          </w:p>
        </w:tc>
        <w:tc>
          <w:tcPr>
            <w:tcW w:type="dxa" w:w="864"/>
          </w:tcPr>
          <w:p>
            <w:pPr>
              <w:spacing w:after="0" w:line="240" w:lineRule="auto"/>
            </w:pPr>
            <w:r>
              <w:rPr>
                <w:b/>
                <w:i w:val="0"/>
                <w:sz w:val="15"/>
              </w:rPr>
              <w:t>H</w:t>
            </w:r>
          </w:p>
        </w:tc>
        <w:tc>
          <w:tcPr>
            <w:tcW w:type="dxa" w:w="1152"/>
          </w:tcPr>
          <w:p>
            <w:pPr>
              <w:spacing w:after="0" w:line="240" w:lineRule="auto"/>
            </w:pPr>
            <w:r>
              <w:rPr>
                <w:b/>
                <w:i w:val="0"/>
                <w:sz w:val="15"/>
              </w:rPr>
              <w:t>M</w:t>
            </w:r>
          </w:p>
        </w:tc>
        <w:tc>
          <w:tcPr>
            <w:tcW w:type="dxa" w:w="4896"/>
          </w:tcPr>
          <w:p>
            <w:pPr>
              <w:spacing w:after="0" w:line="240" w:lineRule="auto"/>
            </w:pPr>
            <w:r>
              <w:rPr>
                <w:b w:val="0"/>
                <w:i w:val="0"/>
                <w:sz w:val="15"/>
              </w:rPr>
              <w:t xml:space="preserve">Price is the largest part of growth (≈55% </w:t>
            </w:r>
            <w:r>
              <w:rPr>
                <w:b/>
                <w:color w:val="2E548C"/>
                <w:sz w:val="12"/>
              </w:rPr>
              <w:t>[C]</w:t>
            </w:r>
            <w:r>
              <w:rPr>
                <w:b w:val="0"/>
                <w:i w:val="0"/>
                <w:sz w:val="15"/>
              </w:rPr>
              <w:t>), and new business is already fading. The brand and OEM CPO mandates support price, but dealer profitability drives it.</w:t>
            </w:r>
          </w:p>
        </w:tc>
      </w:tr>
      <w:tr>
        <w:trPr>
          <w:cantSplit/>
        </w:trPr>
        <w:tc>
          <w:tcPr>
            <w:tcW w:type="dxa" w:w="2880"/>
            <w:shd w:val="clear" w:color="auto" w:fill="D9E1F2"/>
          </w:tcPr>
          <w:p>
            <w:pPr>
              <w:spacing w:after="0" w:line="240" w:lineRule="auto"/>
            </w:pPr>
            <w:r>
              <w:rPr>
                <w:b w:val="0"/>
                <w:i w:val="0"/>
                <w:sz w:val="15"/>
              </w:rPr>
              <w:t>2. Cross-sell / GTM failure</w:t>
            </w:r>
          </w:p>
        </w:tc>
        <w:tc>
          <w:tcPr>
            <w:tcW w:type="dxa" w:w="864"/>
            <w:shd w:val="clear" w:color="auto" w:fill="D9E1F2"/>
          </w:tcPr>
          <w:p>
            <w:pPr>
              <w:spacing w:after="0" w:line="240" w:lineRule="auto"/>
            </w:pPr>
            <w:r>
              <w:rPr>
                <w:b w:val="0"/>
                <w:i w:val="0"/>
                <w:sz w:val="15"/>
              </w:rPr>
              <w:t>M</w:t>
            </w:r>
          </w:p>
        </w:tc>
        <w:tc>
          <w:tcPr>
            <w:tcW w:type="dxa" w:w="1152"/>
            <w:shd w:val="clear" w:color="auto" w:fill="D9E1F2"/>
          </w:tcPr>
          <w:p>
            <w:pPr>
              <w:spacing w:after="0" w:line="240" w:lineRule="auto"/>
            </w:pPr>
            <w:r>
              <w:rPr>
                <w:b/>
                <w:i w:val="0"/>
                <w:sz w:val="15"/>
              </w:rPr>
              <w:t>H</w:t>
            </w:r>
          </w:p>
        </w:tc>
        <w:tc>
          <w:tcPr>
            <w:tcW w:type="dxa" w:w="4896"/>
            <w:shd w:val="clear" w:color="auto" w:fill="D9E1F2"/>
          </w:tcPr>
          <w:p>
            <w:pPr>
              <w:spacing w:after="0" w:line="240" w:lineRule="auto"/>
            </w:pPr>
            <w:r>
              <w:rPr>
                <w:b w:val="0"/>
                <w:i w:val="0"/>
                <w:sz w:val="15"/>
              </w:rPr>
              <w:t>Already happened once (the bundle). Integration is only halfway. The 1–2pt bucket is not yet evidenced by any revenue line.</w:t>
            </w:r>
          </w:p>
        </w:tc>
      </w:tr>
      <w:tr>
        <w:trPr>
          <w:cantSplit/>
        </w:trPr>
        <w:tc>
          <w:tcPr>
            <w:tcW w:type="dxa" w:w="2880"/>
          </w:tcPr>
          <w:p>
            <w:pPr>
              <w:spacing w:after="0" w:line="240" w:lineRule="auto"/>
            </w:pPr>
            <w:r>
              <w:rPr>
                <w:b w:val="0"/>
                <w:i w:val="0"/>
                <w:sz w:val="15"/>
              </w:rPr>
              <w:t>3. AI / search traffic disintermediation</w:t>
            </w:r>
          </w:p>
        </w:tc>
        <w:tc>
          <w:tcPr>
            <w:tcW w:type="dxa" w:w="864"/>
          </w:tcPr>
          <w:p>
            <w:pPr>
              <w:spacing w:after="0" w:line="240" w:lineRule="auto"/>
            </w:pPr>
            <w:r>
              <w:rPr>
                <w:b/>
                <w:i w:val="0"/>
                <w:sz w:val="15"/>
              </w:rPr>
              <w:t>H</w:t>
            </w:r>
          </w:p>
        </w:tc>
        <w:tc>
          <w:tcPr>
            <w:tcW w:type="dxa" w:w="1152"/>
          </w:tcPr>
          <w:p>
            <w:pPr>
              <w:spacing w:after="0" w:line="240" w:lineRule="auto"/>
            </w:pPr>
            <w:r>
              <w:rPr>
                <w:b w:val="0"/>
                <w:i w:val="0"/>
                <w:sz w:val="15"/>
              </w:rPr>
              <w:t>M</w:t>
            </w:r>
          </w:p>
        </w:tc>
        <w:tc>
          <w:tcPr>
            <w:tcW w:type="dxa" w:w="4896"/>
          </w:tcPr>
          <w:p>
            <w:pPr>
              <w:spacing w:after="0" w:line="240" w:lineRule="auto"/>
            </w:pPr>
            <w:r>
              <w:rPr>
                <w:b w:val="0"/>
                <w:i w:val="0"/>
                <w:sz w:val="15"/>
              </w:rPr>
              <w:t>Ad intensity is already rising. Management admits the risk but cannot quantify it. The data leg is safe; the traffic leg is not.</w:t>
            </w:r>
          </w:p>
        </w:tc>
      </w:tr>
      <w:tr>
        <w:trPr>
          <w:cantSplit/>
        </w:trPr>
        <w:tc>
          <w:tcPr>
            <w:tcW w:type="dxa" w:w="2880"/>
            <w:shd w:val="clear" w:color="auto" w:fill="D9E1F2"/>
          </w:tcPr>
          <w:p>
            <w:pPr>
              <w:spacing w:after="0" w:line="240" w:lineRule="auto"/>
            </w:pPr>
            <w:r>
              <w:rPr>
                <w:b w:val="0"/>
                <w:i w:val="0"/>
                <w:sz w:val="15"/>
              </w:rPr>
              <w:t>4. B2B commoditisation</w:t>
            </w:r>
          </w:p>
        </w:tc>
        <w:tc>
          <w:tcPr>
            <w:tcW w:type="dxa" w:w="864"/>
            <w:shd w:val="clear" w:color="auto" w:fill="D9E1F2"/>
          </w:tcPr>
          <w:p>
            <w:pPr>
              <w:spacing w:after="0" w:line="240" w:lineRule="auto"/>
            </w:pPr>
            <w:r>
              <w:rPr>
                <w:b w:val="0"/>
                <w:i w:val="0"/>
                <w:sz w:val="15"/>
              </w:rPr>
              <w:t>M</w:t>
            </w:r>
          </w:p>
        </w:tc>
        <w:tc>
          <w:tcPr>
            <w:tcW w:type="dxa" w:w="1152"/>
            <w:shd w:val="clear" w:color="auto" w:fill="D9E1F2"/>
          </w:tcPr>
          <w:p>
            <w:pPr>
              <w:spacing w:after="0" w:line="240" w:lineRule="auto"/>
            </w:pPr>
            <w:r>
              <w:rPr>
                <w:b/>
                <w:i w:val="0"/>
                <w:sz w:val="15"/>
              </w:rPr>
              <w:t>H</w:t>
            </w:r>
          </w:p>
        </w:tc>
        <w:tc>
          <w:tcPr>
            <w:tcW w:type="dxa" w:w="4896"/>
            <w:shd w:val="clear" w:color="auto" w:fill="D9E1F2"/>
          </w:tcPr>
          <w:p>
            <w:pPr>
              <w:spacing w:after="0" w:line="240" w:lineRule="auto"/>
            </w:pPr>
            <w:r>
              <w:rPr>
                <w:b w:val="0"/>
                <w:i w:val="0"/>
                <w:sz w:val="15"/>
              </w:rPr>
              <w:t>B2B growth has been 3–6% for two years, below the plan's high single digits. Low-cost rivals are named by management.</w:t>
            </w:r>
          </w:p>
        </w:tc>
      </w:tr>
      <w:tr>
        <w:trPr>
          <w:cantSplit/>
        </w:trPr>
        <w:tc>
          <w:tcPr>
            <w:tcW w:type="dxa" w:w="2880"/>
          </w:tcPr>
          <w:p>
            <w:pPr>
              <w:spacing w:after="0" w:line="240" w:lineRule="auto"/>
            </w:pPr>
            <w:r>
              <w:rPr>
                <w:b w:val="0"/>
                <w:i w:val="0"/>
                <w:sz w:val="15"/>
              </w:rPr>
              <w:t>5. Cyclical downturn hits transactional revenue plus price relief</w:t>
            </w:r>
          </w:p>
        </w:tc>
        <w:tc>
          <w:tcPr>
            <w:tcW w:type="dxa" w:w="864"/>
          </w:tcPr>
          <w:p>
            <w:pPr>
              <w:spacing w:after="0" w:line="240" w:lineRule="auto"/>
            </w:pPr>
            <w:r>
              <w:rPr>
                <w:b w:val="0"/>
                <w:i w:val="0"/>
                <w:sz w:val="15"/>
              </w:rPr>
              <w:t>M</w:t>
            </w:r>
          </w:p>
        </w:tc>
        <w:tc>
          <w:tcPr>
            <w:tcW w:type="dxa" w:w="1152"/>
          </w:tcPr>
          <w:p>
            <w:pPr>
              <w:spacing w:after="0" w:line="240" w:lineRule="auto"/>
            </w:pPr>
            <w:r>
              <w:rPr>
                <w:b w:val="0"/>
                <w:i w:val="0"/>
                <w:sz w:val="15"/>
              </w:rPr>
              <w:t>M</w:t>
            </w:r>
          </w:p>
        </w:tc>
        <w:tc>
          <w:tcPr>
            <w:tcW w:type="dxa" w:w="4896"/>
          </w:tcPr>
          <w:p>
            <w:pPr>
              <w:spacing w:after="0" w:line="240" w:lineRule="auto"/>
            </w:pPr>
            <w:r>
              <w:rPr>
                <w:b w:val="0"/>
                <w:i w:val="0"/>
                <w:sz w:val="15"/>
              </w:rPr>
              <w:t>2020 is the template: shallow and quickly recovered. A 2008-type shock is untested.</w:t>
            </w:r>
          </w:p>
        </w:tc>
      </w:tr>
      <w:tr>
        <w:trPr>
          <w:cantSplit/>
        </w:trPr>
        <w:tc>
          <w:tcPr>
            <w:tcW w:type="dxa" w:w="2880"/>
            <w:shd w:val="clear" w:color="auto" w:fill="D9E1F2"/>
          </w:tcPr>
          <w:p>
            <w:pPr>
              <w:spacing w:after="0" w:line="240" w:lineRule="auto"/>
            </w:pPr>
            <w:r>
              <w:rPr>
                <w:b w:val="0"/>
                <w:i w:val="0"/>
                <w:sz w:val="15"/>
              </w:rPr>
              <w:t>6. Margin target slippage / definitional generosity</w:t>
            </w:r>
          </w:p>
        </w:tc>
        <w:tc>
          <w:tcPr>
            <w:tcW w:type="dxa" w:w="864"/>
            <w:shd w:val="clear" w:color="auto" w:fill="D9E1F2"/>
          </w:tcPr>
          <w:p>
            <w:pPr>
              <w:spacing w:after="0" w:line="240" w:lineRule="auto"/>
            </w:pPr>
            <w:r>
              <w:rPr>
                <w:b w:val="0"/>
                <w:i w:val="0"/>
                <w:sz w:val="15"/>
              </w:rPr>
              <w:t>M</w:t>
            </w:r>
          </w:p>
        </w:tc>
        <w:tc>
          <w:tcPr>
            <w:tcW w:type="dxa" w:w="1152"/>
            <w:shd w:val="clear" w:color="auto" w:fill="D9E1F2"/>
          </w:tcPr>
          <w:p>
            <w:pPr>
              <w:spacing w:after="0" w:line="240" w:lineRule="auto"/>
            </w:pPr>
            <w:r>
              <w:rPr>
                <w:b/>
                <w:i w:val="0"/>
                <w:sz w:val="15"/>
              </w:rPr>
              <w:t>H</w:t>
            </w:r>
          </w:p>
        </w:tc>
        <w:tc>
          <w:tcPr>
            <w:tcW w:type="dxa" w:w="4896"/>
            <w:shd w:val="clear" w:color="auto" w:fill="D9E1F2"/>
          </w:tcPr>
          <w:p>
            <w:pPr>
              <w:spacing w:after="0" w:line="240" w:lineRule="auto"/>
            </w:pPr>
            <w:r>
              <w:rPr>
                <w:b w:val="0"/>
                <w:i w:val="0"/>
                <w:sz w:val="15"/>
              </w:rPr>
              <w:t>Three resets in four months, and a predecessor target missed while revenue was on plan.</w:t>
            </w:r>
          </w:p>
        </w:tc>
      </w:tr>
      <w:tr>
        <w:trPr>
          <w:cantSplit/>
        </w:trPr>
        <w:tc>
          <w:tcPr>
            <w:tcW w:type="dxa" w:w="2880"/>
          </w:tcPr>
          <w:p>
            <w:pPr>
              <w:spacing w:after="0" w:line="240" w:lineRule="auto"/>
            </w:pPr>
            <w:r>
              <w:rPr>
                <w:b w:val="0"/>
                <w:i w:val="0"/>
                <w:sz w:val="15"/>
              </w:rPr>
              <w:t>7. Leverage / capital-return squeeze</w:t>
            </w:r>
          </w:p>
        </w:tc>
        <w:tc>
          <w:tcPr>
            <w:tcW w:type="dxa" w:w="864"/>
          </w:tcPr>
          <w:p>
            <w:pPr>
              <w:spacing w:after="0" w:line="240" w:lineRule="auto"/>
            </w:pPr>
            <w:r>
              <w:rPr>
                <w:b w:val="0"/>
                <w:i w:val="0"/>
                <w:sz w:val="15"/>
              </w:rPr>
              <w:t>M</w:t>
            </w:r>
          </w:p>
        </w:tc>
        <w:tc>
          <w:tcPr>
            <w:tcW w:type="dxa" w:w="1152"/>
          </w:tcPr>
          <w:p>
            <w:pPr>
              <w:spacing w:after="0" w:line="240" w:lineRule="auto"/>
            </w:pPr>
            <w:r>
              <w:rPr>
                <w:b w:val="0"/>
                <w:i w:val="0"/>
                <w:sz w:val="15"/>
              </w:rPr>
              <w:t>M</w:t>
            </w:r>
          </w:p>
        </w:tc>
        <w:tc>
          <w:tcPr>
            <w:tcW w:type="dxa" w:w="4896"/>
          </w:tcPr>
          <w:p>
            <w:pPr>
              <w:spacing w:after="0" w:line="240" w:lineRule="auto"/>
            </w:pPr>
            <w:r>
              <w:rPr>
                <w:b w:val="0"/>
                <w:i w:val="0"/>
                <w:sz w:val="15"/>
              </w:rPr>
              <w:t xml:space="preserve">FCF (~$365m standalone </w:t>
            </w:r>
            <w:r>
              <w:rPr>
                <w:b/>
                <w:color w:val="2E548C"/>
                <w:sz w:val="12"/>
              </w:rPr>
              <w:t>[C]</w:t>
            </w:r>
            <w:r>
              <w:rPr>
                <w:b w:val="0"/>
                <w:i w:val="0"/>
                <w:sz w:val="15"/>
              </w:rPr>
              <w:t>) covers the dividend about 5x. The squeeze is on buybacks and deleveraging speed, not solvency.</w:t>
            </w:r>
          </w:p>
        </w:tc>
      </w:tr>
      <w:tr>
        <w:trPr>
          <w:cantSplit/>
        </w:trPr>
        <w:tc>
          <w:tcPr>
            <w:tcW w:type="dxa" w:w="2880"/>
            <w:shd w:val="clear" w:color="auto" w:fill="D9E1F2"/>
          </w:tcPr>
          <w:p>
            <w:pPr>
              <w:spacing w:after="0" w:line="240" w:lineRule="auto"/>
            </w:pPr>
            <w:r>
              <w:rPr>
                <w:b w:val="0"/>
                <w:i w:val="0"/>
                <w:sz w:val="15"/>
              </w:rPr>
              <w:t>8. Data-supply squeeze</w:t>
            </w:r>
          </w:p>
        </w:tc>
        <w:tc>
          <w:tcPr>
            <w:tcW w:type="dxa" w:w="864"/>
            <w:shd w:val="clear" w:color="auto" w:fill="D9E1F2"/>
          </w:tcPr>
          <w:p>
            <w:pPr>
              <w:spacing w:after="0" w:line="240" w:lineRule="auto"/>
            </w:pPr>
            <w:r>
              <w:rPr>
                <w:b/>
                <w:i w:val="0"/>
                <w:sz w:val="15"/>
              </w:rPr>
              <w:t>H</w:t>
            </w:r>
          </w:p>
        </w:tc>
        <w:tc>
          <w:tcPr>
            <w:tcW w:type="dxa" w:w="1152"/>
            <w:shd w:val="clear" w:color="auto" w:fill="D9E1F2"/>
          </w:tcPr>
          <w:p>
            <w:pPr>
              <w:spacing w:after="0" w:line="240" w:lineRule="auto"/>
            </w:pPr>
            <w:r>
              <w:rPr>
                <w:b w:val="0"/>
                <w:i w:val="0"/>
                <w:sz w:val="15"/>
              </w:rPr>
              <w:t>L</w:t>
            </w:r>
          </w:p>
        </w:tc>
        <w:tc>
          <w:tcPr>
            <w:tcW w:type="dxa" w:w="4896"/>
            <w:shd w:val="clear" w:color="auto" w:fill="D9E1F2"/>
          </w:tcPr>
          <w:p>
            <w:pPr>
              <w:spacing w:after="0" w:line="240" w:lineRule="auto"/>
            </w:pPr>
            <w:r>
              <w:rPr>
                <w:b w:val="0"/>
                <w:i w:val="0"/>
                <w:sz w:val="15"/>
              </w:rPr>
              <w:t>The impact would be severe if a major feed were cut. The 10/A already reports fee inflation. No dispute is disclosed.</w:t>
            </w:r>
          </w:p>
        </w:tc>
      </w:tr>
      <w:tr>
        <w:trPr>
          <w:cantSplit/>
        </w:trPr>
        <w:tc>
          <w:tcPr>
            <w:tcW w:type="dxa" w:w="2880"/>
          </w:tcPr>
          <w:p>
            <w:pPr>
              <w:spacing w:after="0" w:line="240" w:lineRule="auto"/>
            </w:pPr>
            <w:r>
              <w:rPr>
                <w:b w:val="0"/>
                <w:i w:val="0"/>
                <w:sz w:val="15"/>
              </w:rPr>
              <w:t>9. Disclosure retreat</w:t>
            </w:r>
          </w:p>
        </w:tc>
        <w:tc>
          <w:tcPr>
            <w:tcW w:type="dxa" w:w="864"/>
          </w:tcPr>
          <w:p>
            <w:pPr>
              <w:spacing w:after="0" w:line="240" w:lineRule="auto"/>
            </w:pPr>
            <w:r>
              <w:rPr>
                <w:b w:val="0"/>
                <w:i w:val="0"/>
                <w:sz w:val="15"/>
              </w:rPr>
              <w:t>M</w:t>
            </w:r>
          </w:p>
        </w:tc>
        <w:tc>
          <w:tcPr>
            <w:tcW w:type="dxa" w:w="1152"/>
          </w:tcPr>
          <w:p>
            <w:pPr>
              <w:spacing w:after="0" w:line="240" w:lineRule="auto"/>
            </w:pPr>
            <w:r>
              <w:rPr>
                <w:b/>
                <w:i w:val="0"/>
                <w:sz w:val="15"/>
              </w:rPr>
              <w:t>H</w:t>
            </w:r>
            <w:r>
              <w:rPr>
                <w:b w:val="0"/>
                <w:i w:val="0"/>
                <w:sz w:val="15"/>
              </w:rPr>
              <w:t xml:space="preserve"> (already happening)</w:t>
            </w:r>
          </w:p>
        </w:tc>
        <w:tc>
          <w:tcPr>
            <w:tcW w:type="dxa" w:w="4896"/>
          </w:tcPr>
          <w:p>
            <w:pPr>
              <w:spacing w:after="0" w:line="240" w:lineRule="auto"/>
            </w:pPr>
            <w:r>
              <w:rPr>
                <w:b w:val="0"/>
                <w:i w:val="0"/>
                <w:sz w:val="15"/>
              </w:rPr>
              <w:t>It amplifies the other risks and can re-rate the multiple without any change in fundamentals.</w:t>
            </w:r>
          </w:p>
        </w:tc>
      </w:tr>
      <w:tr>
        <w:trPr>
          <w:cantSplit/>
        </w:trPr>
        <w:tc>
          <w:tcPr>
            <w:tcW w:type="dxa" w:w="2880"/>
            <w:shd w:val="clear" w:color="auto" w:fill="D9E1F2"/>
          </w:tcPr>
          <w:p>
            <w:pPr>
              <w:spacing w:after="0" w:line="240" w:lineRule="auto"/>
            </w:pPr>
            <w:r>
              <w:rPr>
                <w:b w:val="0"/>
                <w:i w:val="0"/>
                <w:sz w:val="15"/>
              </w:rPr>
              <w:t>10. Incentive misalignment</w:t>
            </w:r>
          </w:p>
        </w:tc>
        <w:tc>
          <w:tcPr>
            <w:tcW w:type="dxa" w:w="864"/>
            <w:shd w:val="clear" w:color="auto" w:fill="D9E1F2"/>
          </w:tcPr>
          <w:p>
            <w:pPr>
              <w:spacing w:after="0" w:line="240" w:lineRule="auto"/>
            </w:pPr>
            <w:r>
              <w:rPr>
                <w:b w:val="0"/>
                <w:i w:val="0"/>
                <w:sz w:val="15"/>
              </w:rPr>
              <w:t>M</w:t>
            </w:r>
          </w:p>
        </w:tc>
        <w:tc>
          <w:tcPr>
            <w:tcW w:type="dxa" w:w="1152"/>
            <w:shd w:val="clear" w:color="auto" w:fill="D9E1F2"/>
          </w:tcPr>
          <w:p>
            <w:pPr>
              <w:spacing w:after="0" w:line="240" w:lineRule="auto"/>
            </w:pPr>
            <w:r>
              <w:rPr>
                <w:b w:val="0"/>
                <w:i w:val="0"/>
                <w:sz w:val="15"/>
              </w:rPr>
              <w:t>M</w:t>
            </w:r>
          </w:p>
        </w:tc>
        <w:tc>
          <w:tcPr>
            <w:tcW w:type="dxa" w:w="4896"/>
            <w:shd w:val="clear" w:color="auto" w:fill="D9E1F2"/>
          </w:tcPr>
          <w:p>
            <w:pPr>
              <w:spacing w:after="0" w:line="240" w:lineRule="auto"/>
            </w:pPr>
            <w:r>
              <w:rPr>
                <w:b w:val="0"/>
                <w:i w:val="0"/>
                <w:sz w:val="15"/>
              </w:rPr>
              <w:t>It is mostly about what is absent; the first proxy settles it.</w:t>
            </w:r>
          </w:p>
        </w:tc>
      </w:tr>
      <w:tr>
        <w:trPr>
          <w:cantSplit/>
        </w:trPr>
        <w:tc>
          <w:tcPr>
            <w:tcW w:type="dxa" w:w="2880"/>
          </w:tcPr>
          <w:p>
            <w:pPr>
              <w:spacing w:after="0" w:line="240" w:lineRule="auto"/>
            </w:pPr>
            <w:r>
              <w:rPr>
                <w:b w:val="0"/>
                <w:i w:val="0"/>
                <w:sz w:val="15"/>
              </w:rPr>
              <w:t>11. International / Listings drag</w:t>
            </w:r>
          </w:p>
        </w:tc>
        <w:tc>
          <w:tcPr>
            <w:tcW w:type="dxa" w:w="864"/>
          </w:tcPr>
          <w:p>
            <w:pPr>
              <w:spacing w:after="0" w:line="240" w:lineRule="auto"/>
            </w:pPr>
            <w:r>
              <w:rPr>
                <w:b w:val="0"/>
                <w:i w:val="0"/>
                <w:sz w:val="15"/>
              </w:rPr>
              <w:t>L</w:t>
            </w:r>
          </w:p>
        </w:tc>
        <w:tc>
          <w:tcPr>
            <w:tcW w:type="dxa" w:w="1152"/>
          </w:tcPr>
          <w:p>
            <w:pPr>
              <w:spacing w:after="0" w:line="240" w:lineRule="auto"/>
            </w:pPr>
            <w:r>
              <w:rPr>
                <w:b w:val="0"/>
                <w:i w:val="0"/>
                <w:sz w:val="15"/>
              </w:rPr>
              <w:t>M</w:t>
            </w:r>
          </w:p>
        </w:tc>
        <w:tc>
          <w:tcPr>
            <w:tcW w:type="dxa" w:w="4896"/>
          </w:tcPr>
          <w:p>
            <w:pPr>
              <w:spacing w:after="0" w:line="240" w:lineRule="auto"/>
            </w:pPr>
            <w:r>
              <w:rPr>
                <w:b w:val="0"/>
                <w:i w:val="0"/>
                <w:sz w:val="15"/>
              </w:rPr>
              <w:t>Small in dollars. The risk is opportunity cost and opaque losses.</w:t>
            </w:r>
          </w:p>
        </w:tc>
      </w:tr>
    </w:tbl>
    <w:p>
      <w:pPr>
        <w:spacing w:after="120"/>
      </w:pPr>
      <w:r>
        <w:rPr>
          <w:b w:val="0"/>
          <w:i/>
          <w:color w:val="595959"/>
          <w:sz w:val="15"/>
        </w:rPr>
        <w:t>Source: D11 §2.</w:t>
      </w:r>
    </w:p>
    <w:tbl>
      <w:tblPr>
        <w:tblW w:type="auto" w:w="0"/>
        <w:jc w:val="center"/>
        <w:tblLook w:firstColumn="1" w:firstRow="1" w:lastColumn="0" w:lastRow="0" w:noHBand="0" w:noVBand="1" w:val="04A0"/>
        <w:tblBorders>
          <w:top w:val="nil" w:sz="0" w:space="0" w:color="auto"/>
          <w:left w:val="single" w:sz="24" w:space="0" w:color="1F3864"/>
          <w:bottom w:val="nil" w:sz="0" w:space="0" w:color="auto"/>
          <w:right w:val="nil" w:sz="0" w:space="0" w:color="auto"/>
          <w:insideH w:val="nil" w:sz="0" w:space="0" w:color="auto"/>
          <w:insideV w:val="nil" w:sz="0" w:space="0" w:color="auto"/>
        </w:tblBorders>
        <w:tblCellMar>
          <w:top w:w="90" w:type="dxa"/>
          <w:left w:w="160" w:type="dxa"/>
          <w:bottom w:w="90" w:type="dxa"/>
          <w:right w:w="120" w:type="dxa"/>
        </w:tblCellMar>
      </w:tblPr>
      <w:tblGrid>
        <w:gridCol w:w="8928"/>
      </w:tblGrid>
      <w:tr>
        <w:trPr>
          <w:cantSplit/>
        </w:trPr>
        <w:tc>
          <w:tcPr>
            <w:tcW w:type="dxa" w:w="8928"/>
            <w:shd w:val="clear" w:color="auto" w:fill="EEF2F9"/>
          </w:tcPr>
          <w:p>
            <w:pPr>
              <w:spacing w:after="60"/>
            </w:pPr>
            <w:r>
              <w:rPr>
                <w:i/>
                <w:color w:val="262626"/>
                <w:sz w:val="19"/>
              </w:rPr>
              <w:t>“This is the year we're grinding it, to be honest, right?”</w:t>
            </w:r>
          </w:p>
          <w:p>
            <w:pPr>
              <w:spacing w:after="0"/>
            </w:pPr>
            <w:r>
              <w:rPr>
                <w:b w:val="0"/>
                <w:i w:val="0"/>
                <w:color w:val="1F3864"/>
                <w:sz w:val="15"/>
              </w:rPr>
              <w:t xml:space="preserve">— Matt Calderone (CFO), Investor Day 2026, 2026-05-12 · Quartr t=8064.02s </w:t>
            </w:r>
            <w:r>
              <w:rPr>
                <w:b/>
                <w:color w:val="2E548C"/>
                <w:sz w:val="12"/>
              </w:rPr>
              <w:t>[IR]</w:t>
            </w:r>
          </w:p>
        </w:tc>
      </w:tr>
    </w:tbl>
    <w:p>
      <w:pPr>
        <w:spacing w:after="40"/>
      </w:pPr>
    </w:p>
    <w:p>
      <w:r>
        <w:rPr>
          <w:b w:val="0"/>
          <w:i w:val="0"/>
        </w:rPr>
        <w:t xml:space="preserve">Inputs the pre-mortem cannot size today: </w:t>
      </w:r>
      <w:r>
        <w:rPr>
          <w:b/>
          <w:color w:val="E36C09"/>
        </w:rPr>
        <w:t>[TO COLLECT #74: data and processing cost base (assumed ~$200–300m in D11 case 8, not disclosed)]</w:t>
      </w:r>
      <w:r>
        <w:rPr>
          <w:b w:val="0"/>
          <w:i w:val="0"/>
        </w:rPr>
        <w:t xml:space="preserve">; </w:t>
      </w:r>
      <w:r>
        <w:rPr>
          <w:b/>
          <w:color w:val="E36C09"/>
        </w:rPr>
        <w:t>[TO COLLECT #75: Europe start-up losses (assumed ~$10–20m a year in D11 case 11)]</w:t>
      </w:r>
      <w:r>
        <w:rPr>
          <w:b w:val="0"/>
          <w:i w:val="0"/>
        </w:rPr>
        <w:t xml:space="preserve">; </w:t>
      </w:r>
      <w:r>
        <w:rPr>
          <w:b/>
          <w:color w:val="E36C09"/>
        </w:rPr>
        <w:t>[TO COLLECT #76: share of CARFAX traffic arriving via search and AI answer engines]</w:t>
      </w:r>
      <w:r>
        <w:rPr>
          <w:b w:val="0"/>
          <w:i w:val="0"/>
        </w:rPr>
        <w:t>.</w:t>
      </w:r>
    </w:p>
    <w:p>
      <w:pPr>
        <w:pStyle w:val="Heading1"/>
        <w:pageBreakBefore/>
      </w:pPr>
      <w:r>
        <w:t>16 Questions for management</w:t>
      </w:r>
    </w:p>
    <w:p>
      <w:r>
        <w:rPr>
          <w:b w:val="0"/>
          <w:i w:val="0"/>
        </w:rPr>
        <w:t>Selection logic (D12): the three primary questions target the three load-bearing assumptions of a long thesis — (1) core growth is durable though now mostly price; (2) margins expand from a reset base; (3) the consumer-brand leg of the moat survives AI and search. Each is built so that a numerical answer confirms or refutes a D11 bear case.</w:t>
      </w:r>
    </w:p>
    <w:p>
      <w:pPr>
        <w:pStyle w:val="Heading3"/>
      </w:pPr>
      <w:r>
        <w:t>Q1 · Price, volume and retention (bear case #1)</w:t>
      </w:r>
    </w:p>
    <w:tbl>
      <w:tblPr>
        <w:tblW w:type="auto" w:w="0"/>
        <w:jc w:val="center"/>
        <w:tblLook w:firstColumn="1" w:firstRow="1" w:lastColumn="0" w:lastRow="0" w:noHBand="0" w:noVBand="1" w:val="04A0"/>
        <w:tblBorders>
          <w:top w:val="nil" w:sz="0" w:space="0" w:color="auto"/>
          <w:left w:val="single" w:sz="24" w:space="0" w:color="1F3864"/>
          <w:bottom w:val="nil" w:sz="0" w:space="0" w:color="auto"/>
          <w:right w:val="nil" w:sz="0" w:space="0" w:color="auto"/>
          <w:insideH w:val="nil" w:sz="0" w:space="0" w:color="auto"/>
          <w:insideV w:val="nil" w:sz="0" w:space="0" w:color="auto"/>
        </w:tblBorders>
        <w:tblCellMar>
          <w:top w:w="90" w:type="dxa"/>
          <w:left w:w="160" w:type="dxa"/>
          <w:bottom w:w="90" w:type="dxa"/>
          <w:right w:w="120" w:type="dxa"/>
        </w:tblCellMar>
      </w:tblPr>
      <w:tblGrid>
        <w:gridCol w:w="8928"/>
      </w:tblGrid>
      <w:tr>
        <w:trPr>
          <w:cantSplit/>
        </w:trPr>
        <w:tc>
          <w:tcPr>
            <w:tcW w:type="dxa" w:w="8928"/>
            <w:shd w:val="clear" w:color="auto" w:fill="F2F2F2"/>
          </w:tcPr>
          <w:p>
            <w:pPr>
              <w:spacing w:after="60"/>
            </w:pPr>
            <w:r>
              <w:rPr>
                <w:b w:val="0"/>
                <w:i/>
                <w:sz w:val="18"/>
              </w:rPr>
              <w:t>“Your 10-Q attributes about $36 million of first-half growth to price and about $20 million to new business, and new business slowed from roughly $12 million in Q1 to $8 million in Q2. Your Form 10 names enrolled dealer locations and average monthly price per location as the CARFAX revenue drivers. Can you tell us how enrolled CARFAX dealer locations changed in 2025 and the first half of 2026, what gross revenue retention was, and what percentage of dealers took a price increase at their last renewal? And if those are 'great numbers', why not publish them, since NRR was pulled from the Investor Day deck?”</w:t>
            </w:r>
          </w:p>
          <w:p>
            <w:pPr>
              <w:spacing w:after="0"/>
            </w:pPr>
            <w:r>
              <w:rPr>
                <w:b w:val="0"/>
                <w:i w:val="0"/>
                <w:color w:val="1F3864"/>
                <w:sz w:val="15"/>
              </w:rPr>
              <w:t>Proposed analyst question (analysis/D12_management_QA.md) — not a management statement</w:t>
            </w:r>
          </w:p>
        </w:tc>
      </w:tr>
    </w:tbl>
    <w:p>
      <w:pPr>
        <w:spacing w:after="40"/>
      </w:pPr>
    </w:p>
    <w:p>
      <w:pPr>
        <w:pStyle w:val="ListBullet"/>
      </w:pPr>
      <w:r>
        <w:rPr>
          <w:b w:val="0"/>
          <w:i w:val="0"/>
        </w:rPr>
        <w:t xml:space="preserve">Price ≈ 4.2pt of 7.4% 6M-26 growth; new business ≈ 2.3pt </w:t>
      </w:r>
      <w:r>
        <w:rPr>
          <w:b/>
          <w:color w:val="2E548C"/>
          <w:sz w:val="16"/>
        </w:rPr>
        <w:t>[D/C]</w:t>
      </w:r>
      <w:r>
        <w:rPr>
          <w:b w:val="0"/>
          <w:i w:val="0"/>
        </w:rPr>
        <w:t xml:space="preserve">; the 10/A said $26m of Q1-26 was new business, the 10-Q implies ~$12m </w:t>
      </w:r>
      <w:r>
        <w:rPr>
          <w:b/>
          <w:color w:val="2E548C"/>
          <w:sz w:val="16"/>
        </w:rPr>
        <w:t>[C]</w:t>
      </w:r>
      <w:r>
        <w:rPr>
          <w:b w:val="0"/>
          <w:i w:val="0"/>
        </w:rPr>
        <w:t>.</w:t>
      </w:r>
    </w:p>
    <w:p>
      <w:pPr>
        <w:pStyle w:val="ListBullet"/>
      </w:pPr>
      <w:r>
        <w:rPr>
          <w:b w:val="0"/>
          <w:i w:val="0"/>
        </w:rPr>
        <w:t>Good answer: location count up low single digits, gross retention mid-90s, price on a defined share of the base, and a commitment to print a KPI. Evasive: “We're not a software company”; NRR “meaningfully above 100%” with no number.</w:t>
      </w:r>
    </w:p>
    <w:p>
      <w:pPr>
        <w:pStyle w:val="Heading3"/>
      </w:pPr>
      <w:r>
        <w:t>Q2 · The margin bridge and its credibility (bear cases #6, #10)</w:t>
      </w:r>
    </w:p>
    <w:tbl>
      <w:tblPr>
        <w:tblW w:type="auto" w:w="0"/>
        <w:jc w:val="center"/>
        <w:tblLook w:firstColumn="1" w:firstRow="1" w:lastColumn="0" w:lastRow="0" w:noHBand="0" w:noVBand="1" w:val="04A0"/>
        <w:tblBorders>
          <w:top w:val="nil" w:sz="0" w:space="0" w:color="auto"/>
          <w:left w:val="single" w:sz="24" w:space="0" w:color="1F3864"/>
          <w:bottom w:val="nil" w:sz="0" w:space="0" w:color="auto"/>
          <w:right w:val="nil" w:sz="0" w:space="0" w:color="auto"/>
          <w:insideH w:val="nil" w:sz="0" w:space="0" w:color="auto"/>
          <w:insideV w:val="nil" w:sz="0" w:space="0" w:color="auto"/>
        </w:tblBorders>
        <w:tblCellMar>
          <w:top w:w="90" w:type="dxa"/>
          <w:left w:w="160" w:type="dxa"/>
          <w:bottom w:w="90" w:type="dxa"/>
          <w:right w:w="120" w:type="dxa"/>
        </w:tblCellMar>
      </w:tblPr>
      <w:tblGrid>
        <w:gridCol w:w="8928"/>
      </w:tblGrid>
      <w:tr>
        <w:trPr>
          <w:cantSplit/>
        </w:trPr>
        <w:tc>
          <w:tcPr>
            <w:tcW w:type="dxa" w:w="8928"/>
            <w:shd w:val="clear" w:color="auto" w:fill="F2F2F2"/>
          </w:tcPr>
          <w:p>
            <w:pPr>
              <w:spacing w:after="60"/>
            </w:pPr>
            <w:r>
              <w:rPr>
                <w:b w:val="0"/>
                <w:i/>
                <w:sz w:val="18"/>
              </w:rPr>
              <w:t>“S&amp;P Global set a 41–43% adjusted operating margin target for Mobility for 2025–26 and delivered 39.9% while revenue grew on plan. Since May the standalone cost has moved to the high end of $20–25 million, one-time costs to $75–110 million with half now capitalised, and the start of 50 basis points of annual expansion to 2028. Can you give us a dollar bridge from FY25's $711 million Adjusted EBITDA, on the old ten-item definition, to your FY27 base on today's six-item definition: the standalone run-rate, the S&amp;P allocations you are replacing, the segment reallocation you flagged, and what goes into 'severance and other'? And will SBC at 3–4% of revenue be excluded from the metric your executives are paid on?”</w:t>
            </w:r>
          </w:p>
          <w:p>
            <w:pPr>
              <w:spacing w:after="0"/>
            </w:pPr>
            <w:r>
              <w:rPr>
                <w:b w:val="0"/>
                <w:i w:val="0"/>
                <w:color w:val="1F3864"/>
                <w:sz w:val="15"/>
              </w:rPr>
              <w:t>Proposed analyst question (analysis/D12_management_QA.md) — not a management statement</w:t>
            </w:r>
          </w:p>
        </w:tc>
      </w:tr>
    </w:tbl>
    <w:p>
      <w:pPr>
        <w:spacing w:after="40"/>
      </w:pPr>
    </w:p>
    <w:p>
      <w:pPr>
        <w:pStyle w:val="ListBullet"/>
      </w:pPr>
      <w:r>
        <w:rPr>
          <w:b w:val="0"/>
          <w:i w:val="0"/>
        </w:rPr>
        <w:t xml:space="preserve">SPGI target missed by 110–310bp </w:t>
      </w:r>
      <w:r>
        <w:rPr>
          <w:b/>
          <w:color w:val="2E548C"/>
          <w:sz w:val="16"/>
        </w:rPr>
        <w:t>[C]</w:t>
      </w:r>
      <w:r>
        <w:rPr>
          <w:b w:val="0"/>
          <w:i w:val="0"/>
        </w:rPr>
        <w:t xml:space="preserve">; MBGL measure +0.7–1.8pt above SPGI's </w:t>
      </w:r>
      <w:r>
        <w:rPr>
          <w:b/>
          <w:color w:val="2E548C"/>
          <w:sz w:val="16"/>
        </w:rPr>
        <w:t>[C]</w:t>
      </w:r>
      <w:r>
        <w:rPr>
          <w:b w:val="0"/>
          <w:i w:val="0"/>
        </w:rPr>
        <w:t xml:space="preserve">; definition now has an “and other” catch-all </w:t>
      </w:r>
      <w:r>
        <w:rPr>
          <w:b/>
          <w:color w:val="2E548C"/>
          <w:sz w:val="16"/>
        </w:rPr>
        <w:t>[D]</w:t>
      </w:r>
      <w:r>
        <w:rPr>
          <w:b w:val="0"/>
          <w:i w:val="0"/>
        </w:rPr>
        <w:t xml:space="preserve">; standalone ≈ $26m </w:t>
      </w:r>
      <w:r>
        <w:rPr>
          <w:b/>
          <w:color w:val="2E548C"/>
          <w:sz w:val="16"/>
        </w:rPr>
        <w:t>[C]</w:t>
      </w:r>
      <w:r>
        <w:rPr>
          <w:b w:val="0"/>
          <w:i w:val="0"/>
        </w:rPr>
        <w:t xml:space="preserve">; SBC +$34–53m a year </w:t>
      </w:r>
      <w:r>
        <w:rPr>
          <w:b/>
          <w:color w:val="2E548C"/>
          <w:sz w:val="16"/>
        </w:rPr>
        <w:t>[C]</w:t>
      </w:r>
      <w:r>
        <w:rPr>
          <w:b w:val="0"/>
          <w:i w:val="0"/>
        </w:rPr>
        <w:t>.</w:t>
      </w:r>
    </w:p>
    <w:p>
      <w:pPr>
        <w:pStyle w:val="ListBullet"/>
      </w:pPr>
      <w:r>
        <w:rPr>
          <w:b w:val="0"/>
          <w:i w:val="0"/>
        </w:rPr>
        <w:t>Good answer: a dollar bridge (allocations replaced, standalone cost, reallocations, stand-up capex), a named list for “other”, and an incentive metric that charges SBC. Evasive: “40% range for three years”.</w:t>
      </w:r>
    </w:p>
    <w:p>
      <w:pPr>
        <w:pStyle w:val="Heading3"/>
      </w:pPr>
      <w:r>
        <w:t>Q3 · Consumer traffic, ad intensity and AI (bear case #3)</w:t>
      </w:r>
    </w:p>
    <w:tbl>
      <w:tblPr>
        <w:tblW w:type="auto" w:w="0"/>
        <w:jc w:val="center"/>
        <w:tblLook w:firstColumn="1" w:firstRow="1" w:lastColumn="0" w:lastRow="0" w:noHBand="0" w:noVBand="1" w:val="04A0"/>
        <w:tblBorders>
          <w:top w:val="nil" w:sz="0" w:space="0" w:color="auto"/>
          <w:left w:val="single" w:sz="24" w:space="0" w:color="1F3864"/>
          <w:bottom w:val="nil" w:sz="0" w:space="0" w:color="auto"/>
          <w:right w:val="nil" w:sz="0" w:space="0" w:color="auto"/>
          <w:insideH w:val="nil" w:sz="0" w:space="0" w:color="auto"/>
          <w:insideV w:val="nil" w:sz="0" w:space="0" w:color="auto"/>
        </w:tblBorders>
        <w:tblCellMar>
          <w:top w:w="90" w:type="dxa"/>
          <w:left w:w="160" w:type="dxa"/>
          <w:bottom w:w="90" w:type="dxa"/>
          <w:right w:w="120" w:type="dxa"/>
        </w:tblCellMar>
      </w:tblPr>
      <w:tblGrid>
        <w:gridCol w:w="8928"/>
      </w:tblGrid>
      <w:tr>
        <w:trPr>
          <w:cantSplit/>
        </w:trPr>
        <w:tc>
          <w:tcPr>
            <w:tcW w:type="dxa" w:w="8928"/>
            <w:shd w:val="clear" w:color="auto" w:fill="F2F2F2"/>
          </w:tcPr>
          <w:p>
            <w:pPr>
              <w:spacing w:after="60"/>
            </w:pPr>
            <w:r>
              <w:rPr>
                <w:b w:val="0"/>
                <w:i/>
                <w:sz w:val="18"/>
              </w:rPr>
              <w:t>“Advertising expense grew 31% from 2023 to 2025 against revenue up 18%, and your Form 10 says customer-acquisition costs are rising as ad platforms dial up monetisation and that search and AI are threats to traffic. What share of CARFAX consumer sessions and VHR views now arrive via search or AI answer engines, how has cost per unique visitor trended over three years, and do you license history data to any AI or answer-engine provider today? At what ad-to-revenue ratio would you conclude the brand is getting more expensive to defend rather than stronger?”</w:t>
            </w:r>
          </w:p>
          <w:p>
            <w:pPr>
              <w:spacing w:after="0"/>
            </w:pPr>
            <w:r>
              <w:rPr>
                <w:b w:val="0"/>
                <w:i w:val="0"/>
                <w:color w:val="1F3864"/>
                <w:sz w:val="15"/>
              </w:rPr>
              <w:t>Proposed analyst question (analysis/D12_management_QA.md) — not a management statement</w:t>
            </w:r>
          </w:p>
        </w:tc>
      </w:tr>
    </w:tbl>
    <w:p>
      <w:pPr>
        <w:spacing w:after="40"/>
      </w:pPr>
    </w:p>
    <w:p>
      <w:pPr>
        <w:pStyle w:val="ListBullet"/>
      </w:pPr>
      <w:r>
        <w:rPr>
          <w:b w:val="0"/>
          <w:i w:val="0"/>
        </w:rPr>
        <w:t xml:space="preserve">Ad expense $134m → $176m (9.0% → 10.1% of revenue) </w:t>
      </w:r>
      <w:r>
        <w:rPr>
          <w:b/>
          <w:color w:val="2E548C"/>
          <w:sz w:val="16"/>
        </w:rPr>
        <w:t>[D/C]</w:t>
      </w:r>
      <w:r>
        <w:rPr>
          <w:b w:val="0"/>
          <w:i w:val="0"/>
        </w:rPr>
        <w:t xml:space="preserve">; CAC rising </w:t>
      </w:r>
      <w:r>
        <w:rPr>
          <w:b/>
          <w:color w:val="2E548C"/>
          <w:sz w:val="16"/>
        </w:rPr>
        <w:t>[D]</w:t>
      </w:r>
      <w:r>
        <w:rPr>
          <w:b w:val="0"/>
          <w:i w:val="0"/>
        </w:rPr>
        <w:t xml:space="preserve">; search and AI named as traffic threats </w:t>
      </w:r>
      <w:r>
        <w:rPr>
          <w:b/>
          <w:color w:val="2E548C"/>
          <w:sz w:val="16"/>
        </w:rPr>
        <w:t>[D]</w:t>
      </w:r>
      <w:r>
        <w:rPr>
          <w:b w:val="0"/>
          <w:i w:val="0"/>
        </w:rPr>
        <w:t xml:space="preserve">; IP protection against AI uncertain </w:t>
      </w:r>
      <w:r>
        <w:rPr>
          <w:b/>
          <w:color w:val="2E548C"/>
          <w:sz w:val="16"/>
        </w:rPr>
        <w:t>[D]</w:t>
      </w:r>
      <w:r>
        <w:rPr>
          <w:b w:val="0"/>
          <w:i w:val="0"/>
        </w:rPr>
        <w:t>.</w:t>
      </w:r>
    </w:p>
    <w:p>
      <w:pPr>
        <w:pStyle w:val="ListBullet"/>
      </w:pPr>
      <w:r>
        <w:rPr>
          <w:b w:val="0"/>
          <w:i w:val="0"/>
        </w:rPr>
        <w:t>Good answer: traffic-mix numbers with stable cost per visitor, and concrete licensing terms for AI agents. Evasive: “Our data is behind a firewall”; AI only as internal productivity.</w:t>
      </w:r>
    </w:p>
    <w:p>
      <w:pPr>
        <w:pStyle w:val="Heading2"/>
      </w:pPr>
      <w:r>
        <w:t>16.1 Secondary questions</w:t>
      </w:r>
    </w:p>
    <w:p>
      <w:pPr>
        <w:keepNext/>
        <w:spacing w:before="80" w:after="40"/>
      </w:pPr>
      <w:r>
        <w:rPr>
          <w:b/>
          <w:i w:val="0"/>
          <w:color w:val="1F3864"/>
          <w:sz w:val="17"/>
        </w:rPr>
        <w:t>Exhibit 16.1 — Secondary questions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432"/>
        <w:gridCol w:w="3744"/>
        <w:gridCol w:w="2880"/>
        <w:gridCol w:w="2736"/>
      </w:tblGrid>
      <w:tr>
        <w:trPr>
          <w:cantSplit/>
          <w:tblHeader/>
        </w:trPr>
        <w:tc>
          <w:tcPr>
            <w:tcW w:type="dxa" w:w="432"/>
            <w:shd w:val="clear" w:color="auto" w:fill="1F3864"/>
          </w:tcPr>
          <w:p>
            <w:pPr>
              <w:spacing w:after="0" w:line="240" w:lineRule="auto"/>
            </w:pPr>
            <w:r>
              <w:rPr>
                <w:b/>
                <w:i w:val="0"/>
                <w:color w:val="FFFFFF"/>
                <w:sz w:val="15"/>
              </w:rPr>
              <w:t>#</w:t>
            </w:r>
          </w:p>
        </w:tc>
        <w:tc>
          <w:tcPr>
            <w:tcW w:type="dxa" w:w="3744"/>
            <w:shd w:val="clear" w:color="auto" w:fill="1F3864"/>
          </w:tcPr>
          <w:p>
            <w:pPr>
              <w:spacing w:after="0" w:line="240" w:lineRule="auto"/>
            </w:pPr>
            <w:r>
              <w:rPr>
                <w:b/>
                <w:i w:val="0"/>
                <w:color w:val="FFFFFF"/>
                <w:sz w:val="15"/>
              </w:rPr>
              <w:t>Question</w:t>
            </w:r>
          </w:p>
        </w:tc>
        <w:tc>
          <w:tcPr>
            <w:tcW w:type="dxa" w:w="2880"/>
            <w:shd w:val="clear" w:color="auto" w:fill="1F3864"/>
          </w:tcPr>
          <w:p>
            <w:pPr>
              <w:spacing w:after="0" w:line="240" w:lineRule="auto"/>
            </w:pPr>
            <w:r>
              <w:rPr>
                <w:b/>
                <w:i w:val="0"/>
                <w:color w:val="FFFFFF"/>
                <w:sz w:val="15"/>
              </w:rPr>
              <w:t>Why (evidence, tier, ref)</w:t>
            </w:r>
          </w:p>
        </w:tc>
        <w:tc>
          <w:tcPr>
            <w:tcW w:type="dxa" w:w="2736"/>
            <w:shd w:val="clear" w:color="auto" w:fill="1F3864"/>
          </w:tcPr>
          <w:p>
            <w:pPr>
              <w:spacing w:after="0" w:line="240" w:lineRule="auto"/>
            </w:pPr>
            <w:r>
              <w:rPr>
                <w:b/>
                <w:i w:val="0"/>
                <w:color w:val="FFFFFF"/>
                <w:sz w:val="15"/>
              </w:rPr>
              <w:t>Good vs evasive</w:t>
            </w:r>
          </w:p>
        </w:tc>
      </w:tr>
      <w:tr>
        <w:trPr>
          <w:cantSplit/>
        </w:trPr>
        <w:tc>
          <w:tcPr>
            <w:tcW w:type="dxa" w:w="432"/>
          </w:tcPr>
          <w:p>
            <w:pPr>
              <w:spacing w:after="0" w:line="240" w:lineRule="auto"/>
            </w:pPr>
            <w:r>
              <w:rPr>
                <w:b w:val="0"/>
                <w:i w:val="0"/>
                <w:sz w:val="15"/>
              </w:rPr>
              <w:t>4</w:t>
            </w:r>
          </w:p>
        </w:tc>
        <w:tc>
          <w:tcPr>
            <w:tcW w:type="dxa" w:w="3744"/>
          </w:tcPr>
          <w:p>
            <w:pPr>
              <w:spacing w:after="0" w:line="240" w:lineRule="auto"/>
            </w:pPr>
            <w:r>
              <w:rPr>
                <w:b w:val="0"/>
                <w:i w:val="0"/>
                <w:sz w:val="15"/>
              </w:rPr>
              <w:t>"Your 10/A said Q1-26 subscription growth came from $26m of new business. The 10-Q split implies about $12m new business and $20m price for Q1. Which is right, and how do you define 'new business'?"</w:t>
            </w:r>
          </w:p>
        </w:tc>
        <w:tc>
          <w:tcPr>
            <w:tcW w:type="dxa" w:w="2880"/>
          </w:tcPr>
          <w:p>
            <w:pPr>
              <w:spacing w:after="0" w:line="240" w:lineRule="auto"/>
            </w:pPr>
            <w:r>
              <w:rPr>
                <w:b w:val="0"/>
                <w:i w:val="0"/>
                <w:sz w:val="15"/>
              </w:rPr>
              <w:t xml:space="preserve">Attribution conflict </w:t>
            </w:r>
            <w:r>
              <w:rPr>
                <w:b/>
                <w:color w:val="2E548C"/>
                <w:sz w:val="12"/>
              </w:rPr>
              <w:t>[D/C]</w:t>
            </w:r>
            <w:r>
              <w:rPr>
                <w:b w:val="0"/>
                <w:i w:val="0"/>
                <w:sz w:val="15"/>
              </w:rPr>
              <w:t xml:space="preserve"> (D4 §3; D7 §5)</w:t>
            </w:r>
          </w:p>
        </w:tc>
        <w:tc>
          <w:tcPr>
            <w:tcW w:type="dxa" w:w="2736"/>
          </w:tcPr>
          <w:p>
            <w:pPr>
              <w:spacing w:after="0" w:line="240" w:lineRule="auto"/>
            </w:pPr>
            <w:r>
              <w:rPr>
                <w:b/>
                <w:i w:val="0"/>
                <w:sz w:val="15"/>
              </w:rPr>
              <w:t>Good:</w:t>
            </w:r>
            <w:r>
              <w:rPr>
                <w:b w:val="0"/>
                <w:i w:val="0"/>
                <w:sz w:val="15"/>
              </w:rPr>
              <w:t xml:space="preserve"> a definition plus a reconciliation. </w:t>
            </w:r>
            <w:r>
              <w:rPr>
                <w:b/>
                <w:i w:val="0"/>
                <w:sz w:val="15"/>
              </w:rPr>
              <w:t>Evasive:</w:t>
            </w:r>
            <w:r>
              <w:rPr>
                <w:b w:val="0"/>
                <w:i w:val="0"/>
                <w:sz w:val="15"/>
              </w:rPr>
              <w:t xml:space="preserve"> "both are approximate".</w:t>
            </w:r>
          </w:p>
        </w:tc>
      </w:tr>
      <w:tr>
        <w:trPr>
          <w:cantSplit/>
        </w:trPr>
        <w:tc>
          <w:tcPr>
            <w:tcW w:type="dxa" w:w="432"/>
            <w:shd w:val="clear" w:color="auto" w:fill="D9E1F2"/>
          </w:tcPr>
          <w:p>
            <w:pPr>
              <w:spacing w:after="0" w:line="240" w:lineRule="auto"/>
            </w:pPr>
            <w:r>
              <w:rPr>
                <w:b w:val="0"/>
                <w:i w:val="0"/>
                <w:sz w:val="15"/>
              </w:rPr>
              <w:t>5</w:t>
            </w:r>
          </w:p>
        </w:tc>
        <w:tc>
          <w:tcPr>
            <w:tcW w:type="dxa" w:w="3744"/>
            <w:shd w:val="clear" w:color="auto" w:fill="D9E1F2"/>
          </w:tcPr>
          <w:p>
            <w:pPr>
              <w:spacing w:after="0" w:line="240" w:lineRule="auto"/>
            </w:pPr>
            <w:r>
              <w:rPr>
                <w:b w:val="0"/>
                <w:i w:val="0"/>
                <w:sz w:val="15"/>
              </w:rPr>
              <w:t>"Why were stand-up transaction costs ($33m in 6M-26) booked in B2B rather than Corporate? And excluding them, what drove B2B's FY25 −18% Adj. EBITDA flow-through?"</w:t>
            </w:r>
          </w:p>
        </w:tc>
        <w:tc>
          <w:tcPr>
            <w:tcW w:type="dxa" w:w="2880"/>
            <w:shd w:val="clear" w:color="auto" w:fill="D9E1F2"/>
          </w:tcPr>
          <w:p>
            <w:pPr>
              <w:spacing w:after="0" w:line="240" w:lineRule="auto"/>
            </w:pPr>
            <w:r>
              <w:rPr>
                <w:b w:val="0"/>
                <w:i w:val="0"/>
                <w:sz w:val="15"/>
              </w:rPr>
              <w:t xml:space="preserve">B2B OP fell to $3m in Q2-26 </w:t>
            </w:r>
            <w:r>
              <w:rPr>
                <w:b/>
                <w:color w:val="2E548C"/>
                <w:sz w:val="12"/>
              </w:rPr>
              <w:t>[D]</w:t>
            </w:r>
            <w:r>
              <w:rPr>
                <w:b w:val="0"/>
                <w:i w:val="0"/>
                <w:sz w:val="15"/>
              </w:rPr>
              <w:t xml:space="preserve">. The segment measure switched the same quarter </w:t>
            </w:r>
            <w:r>
              <w:rPr>
                <w:b/>
                <w:color w:val="2E548C"/>
                <w:sz w:val="12"/>
              </w:rPr>
              <w:t>[D]</w:t>
            </w:r>
            <w:r>
              <w:rPr>
                <w:b w:val="0"/>
                <w:i w:val="0"/>
                <w:sz w:val="15"/>
              </w:rPr>
              <w:t xml:space="preserve"> (D4 §2; D2 (d))</w:t>
            </w:r>
          </w:p>
        </w:tc>
        <w:tc>
          <w:tcPr>
            <w:tcW w:type="dxa" w:w="2736"/>
            <w:shd w:val="clear" w:color="auto" w:fill="D9E1F2"/>
          </w:tcPr>
          <w:p>
            <w:pPr>
              <w:spacing w:after="0" w:line="240" w:lineRule="auto"/>
            </w:pPr>
            <w:r>
              <w:rPr>
                <w:b/>
                <w:i w:val="0"/>
                <w:sz w:val="15"/>
              </w:rPr>
              <w:t>Good:</w:t>
            </w:r>
            <w:r>
              <w:rPr>
                <w:b w:val="0"/>
                <w:i w:val="0"/>
                <w:sz w:val="15"/>
              </w:rPr>
              <w:t xml:space="preserve"> named cost lines (FAST/PIQ/Data Studio build, merit) and a B2B margin target. </w:t>
            </w:r>
            <w:r>
              <w:rPr>
                <w:b/>
                <w:i w:val="0"/>
                <w:sz w:val="15"/>
              </w:rPr>
              <w:t>Evasive:</w:t>
            </w:r>
            <w:r>
              <w:rPr>
                <w:b w:val="0"/>
                <w:i w:val="0"/>
                <w:sz w:val="15"/>
              </w:rPr>
              <w:t xml:space="preserve"> "allocation methodology".</w:t>
            </w:r>
          </w:p>
        </w:tc>
      </w:tr>
      <w:tr>
        <w:trPr>
          <w:cantSplit/>
        </w:trPr>
        <w:tc>
          <w:tcPr>
            <w:tcW w:type="dxa" w:w="432"/>
          </w:tcPr>
          <w:p>
            <w:pPr>
              <w:spacing w:after="0" w:line="240" w:lineRule="auto"/>
            </w:pPr>
            <w:r>
              <w:rPr>
                <w:b w:val="0"/>
                <w:i w:val="0"/>
                <w:sz w:val="15"/>
              </w:rPr>
              <w:t>6</w:t>
            </w:r>
          </w:p>
        </w:tc>
        <w:tc>
          <w:tcPr>
            <w:tcW w:type="dxa" w:w="3744"/>
          </w:tcPr>
          <w:p>
            <w:pPr>
              <w:spacing w:after="0" w:line="240" w:lineRule="auto"/>
            </w:pPr>
            <w:r>
              <w:rPr>
                <w:b w:val="0"/>
                <w:i w:val="0"/>
                <w:sz w:val="15"/>
              </w:rPr>
              <w:t>"Please define 'normalized GAAP net income' for the 25% payout. On our math, $0.06 a quarter is 34–44% of standalone net income after $110m of interest."</w:t>
            </w:r>
          </w:p>
        </w:tc>
        <w:tc>
          <w:tcPr>
            <w:tcW w:type="dxa" w:w="2880"/>
          </w:tcPr>
          <w:p>
            <w:pPr>
              <w:spacing w:after="0" w:line="240" w:lineRule="auto"/>
            </w:pPr>
            <w:r>
              <w:rPr>
                <w:b w:val="0"/>
                <w:i w:val="0"/>
                <w:sz w:val="15"/>
              </w:rPr>
              <w:t xml:space="preserve">Dividend $70.8m </w:t>
            </w:r>
            <w:r>
              <w:rPr>
                <w:b/>
                <w:color w:val="2E548C"/>
                <w:sz w:val="12"/>
              </w:rPr>
              <w:t>[C]</w:t>
            </w:r>
            <w:r>
              <w:rPr>
                <w:b w:val="0"/>
                <w:i w:val="0"/>
                <w:sz w:val="15"/>
              </w:rPr>
              <w:t xml:space="preserve">. Normalized NI ~$171–209m </w:t>
            </w:r>
            <w:r>
              <w:rPr>
                <w:b/>
                <w:color w:val="2E548C"/>
                <w:sz w:val="12"/>
              </w:rPr>
              <w:t>[C]</w:t>
            </w:r>
            <w:r>
              <w:rPr>
                <w:b w:val="0"/>
                <w:i w:val="0"/>
                <w:sz w:val="15"/>
              </w:rPr>
              <w:t xml:space="preserve"> (D3 §4–5)</w:t>
            </w:r>
          </w:p>
        </w:tc>
        <w:tc>
          <w:tcPr>
            <w:tcW w:type="dxa" w:w="2736"/>
          </w:tcPr>
          <w:p>
            <w:pPr>
              <w:spacing w:after="0" w:line="240" w:lineRule="auto"/>
            </w:pPr>
            <w:r>
              <w:rPr>
                <w:b/>
                <w:i w:val="0"/>
                <w:sz w:val="15"/>
              </w:rPr>
              <w:t>Good:</w:t>
            </w:r>
            <w:r>
              <w:rPr>
                <w:b w:val="0"/>
                <w:i w:val="0"/>
                <w:sz w:val="15"/>
              </w:rPr>
              <w:t xml:space="preserve"> a reconciliation that names amortization add-backs. </w:t>
            </w:r>
            <w:r>
              <w:rPr>
                <w:b/>
                <w:i w:val="0"/>
                <w:sz w:val="15"/>
              </w:rPr>
              <w:t>Evasive:</w:t>
            </w:r>
            <w:r>
              <w:rPr>
                <w:b w:val="0"/>
                <w:i w:val="0"/>
                <w:sz w:val="15"/>
              </w:rPr>
              <w:t xml:space="preserve"> "it's sustainable". The cash cover is not in question; the label is.</w:t>
            </w:r>
          </w:p>
        </w:tc>
      </w:tr>
      <w:tr>
        <w:trPr>
          <w:cantSplit/>
        </w:trPr>
        <w:tc>
          <w:tcPr>
            <w:tcW w:type="dxa" w:w="432"/>
            <w:shd w:val="clear" w:color="auto" w:fill="D9E1F2"/>
          </w:tcPr>
          <w:p>
            <w:pPr>
              <w:spacing w:after="0" w:line="240" w:lineRule="auto"/>
            </w:pPr>
            <w:r>
              <w:rPr>
                <w:b w:val="0"/>
                <w:i w:val="0"/>
                <w:sz w:val="15"/>
              </w:rPr>
              <w:t>7</w:t>
            </w:r>
          </w:p>
        </w:tc>
        <w:tc>
          <w:tcPr>
            <w:tcW w:type="dxa" w:w="3744"/>
            <w:shd w:val="clear" w:color="auto" w:fill="D9E1F2"/>
          </w:tcPr>
          <w:p>
            <w:pPr>
              <w:spacing w:after="0" w:line="240" w:lineRule="auto"/>
            </w:pPr>
            <w:r>
              <w:rPr>
                <w:b w:val="0"/>
                <w:i w:val="0"/>
                <w:sz w:val="15"/>
              </w:rPr>
              <w:t>"What are the FY26 and FY27 STI and PSU metrics, will there be a relative TSR or per-share metric, and will you adopt ownership guidelines?"</w:t>
            </w:r>
          </w:p>
        </w:tc>
        <w:tc>
          <w:tcPr>
            <w:tcW w:type="dxa" w:w="2880"/>
            <w:shd w:val="clear" w:color="auto" w:fill="D9E1F2"/>
          </w:tcPr>
          <w:p>
            <w:pPr>
              <w:spacing w:after="0" w:line="240" w:lineRule="auto"/>
            </w:pPr>
            <w:r>
              <w:rPr>
                <w:b w:val="0"/>
                <w:i w:val="0"/>
                <w:sz w:val="15"/>
              </w:rPr>
              <w:t xml:space="preserve">2026 PSUs converted at target to time-vested. No TSR. Insiders &lt;1% </w:t>
            </w:r>
            <w:r>
              <w:rPr>
                <w:b/>
                <w:color w:val="2E548C"/>
                <w:sz w:val="12"/>
              </w:rPr>
              <w:t>[D]</w:t>
            </w:r>
            <w:r>
              <w:rPr>
                <w:b w:val="0"/>
                <w:i w:val="0"/>
                <w:sz w:val="15"/>
              </w:rPr>
              <w:t xml:space="preserve"> (D5 §3–5)</w:t>
            </w:r>
          </w:p>
        </w:tc>
        <w:tc>
          <w:tcPr>
            <w:tcW w:type="dxa" w:w="2736"/>
            <w:shd w:val="clear" w:color="auto" w:fill="D9E1F2"/>
          </w:tcPr>
          <w:p>
            <w:pPr>
              <w:spacing w:after="0" w:line="240" w:lineRule="auto"/>
            </w:pPr>
            <w:r>
              <w:rPr>
                <w:b/>
                <w:i w:val="0"/>
                <w:sz w:val="15"/>
              </w:rPr>
              <w:t>Good:</w:t>
            </w:r>
            <w:r>
              <w:rPr>
                <w:b w:val="0"/>
                <w:i w:val="0"/>
                <w:sz w:val="15"/>
              </w:rPr>
              <w:t xml:space="preserve"> FCF/share or TSR included, with guidelines of ≥5x salary for the CEO. </w:t>
            </w:r>
            <w:r>
              <w:rPr>
                <w:b/>
                <w:i w:val="0"/>
                <w:sz w:val="15"/>
              </w:rPr>
              <w:t>Evasive:</w:t>
            </w:r>
            <w:r>
              <w:rPr>
                <w:b w:val="0"/>
                <w:i w:val="0"/>
                <w:sz w:val="15"/>
              </w:rPr>
              <w:t xml:space="preserve"> "the committee will determine".</w:t>
            </w:r>
          </w:p>
        </w:tc>
      </w:tr>
      <w:tr>
        <w:trPr>
          <w:cantSplit/>
        </w:trPr>
        <w:tc>
          <w:tcPr>
            <w:tcW w:type="dxa" w:w="432"/>
          </w:tcPr>
          <w:p>
            <w:pPr>
              <w:spacing w:after="0" w:line="240" w:lineRule="auto"/>
            </w:pPr>
            <w:r>
              <w:rPr>
                <w:b w:val="0"/>
                <w:i w:val="0"/>
                <w:sz w:val="15"/>
              </w:rPr>
              <w:t>8</w:t>
            </w:r>
          </w:p>
        </w:tc>
        <w:tc>
          <w:tcPr>
            <w:tcW w:type="dxa" w:w="3744"/>
          </w:tcPr>
          <w:p>
            <w:pPr>
              <w:spacing w:after="0" w:line="240" w:lineRule="auto"/>
            </w:pPr>
            <w:r>
              <w:rPr>
                <w:b w:val="0"/>
                <w:i w:val="0"/>
                <w:sz w:val="15"/>
              </w:rPr>
              <w:t>"Data-supplier consolidation has raised fees, per the 10/A. What did data acquisition cost grow by in 2025, and what share of service records comes through DMS vendors that also compete with you?"</w:t>
            </w:r>
          </w:p>
        </w:tc>
        <w:tc>
          <w:tcPr>
            <w:tcW w:type="dxa" w:w="2880"/>
          </w:tcPr>
          <w:p>
            <w:pPr>
              <w:spacing w:after="0" w:line="240" w:lineRule="auto"/>
            </w:pPr>
            <w:r>
              <w:rPr>
                <w:b w:val="0"/>
                <w:i w:val="0"/>
                <w:sz w:val="15"/>
              </w:rPr>
              <w:t xml:space="preserve">10A p.302, 304 </w:t>
            </w:r>
            <w:r>
              <w:rPr>
                <w:b/>
                <w:color w:val="2E548C"/>
                <w:sz w:val="12"/>
              </w:rPr>
              <w:t>[D]</w:t>
            </w:r>
            <w:r>
              <w:rPr>
                <w:b w:val="0"/>
                <w:i w:val="0"/>
                <w:sz w:val="15"/>
              </w:rPr>
              <w:t xml:space="preserve">. B2B operating-related expense +11% vs revenue +6% </w:t>
            </w:r>
            <w:r>
              <w:rPr>
                <w:b/>
                <w:color w:val="2E548C"/>
                <w:sz w:val="12"/>
              </w:rPr>
              <w:t>[D]</w:t>
            </w:r>
            <w:r>
              <w:rPr>
                <w:b w:val="0"/>
                <w:i w:val="0"/>
                <w:sz w:val="15"/>
              </w:rPr>
              <w:t xml:space="preserve"> (D1 §6; D2 (d))</w:t>
            </w:r>
          </w:p>
        </w:tc>
        <w:tc>
          <w:tcPr>
            <w:tcW w:type="dxa" w:w="2736"/>
          </w:tcPr>
          <w:p>
            <w:pPr>
              <w:spacing w:after="0" w:line="240" w:lineRule="auto"/>
            </w:pPr>
            <w:r>
              <w:rPr>
                <w:b/>
                <w:i w:val="0"/>
                <w:sz w:val="15"/>
              </w:rPr>
              <w:t>Good:</w:t>
            </w:r>
            <w:r>
              <w:rPr>
                <w:b w:val="0"/>
                <w:i w:val="0"/>
                <w:sz w:val="15"/>
              </w:rPr>
              <w:t xml:space="preserve"> a growth rate and a concentration figure. </w:t>
            </w:r>
            <w:r>
              <w:rPr>
                <w:b/>
                <w:i w:val="0"/>
                <w:sz w:val="15"/>
              </w:rPr>
              <w:t>Evasive:</w:t>
            </w:r>
            <w:r>
              <w:rPr>
                <w:b w:val="0"/>
                <w:i w:val="0"/>
                <w:sz w:val="15"/>
              </w:rPr>
              <w:t xml:space="preserve"> "177,000 sources, no single dependency".</w:t>
            </w:r>
          </w:p>
        </w:tc>
      </w:tr>
      <w:tr>
        <w:trPr>
          <w:cantSplit/>
        </w:trPr>
        <w:tc>
          <w:tcPr>
            <w:tcW w:type="dxa" w:w="432"/>
            <w:shd w:val="clear" w:color="auto" w:fill="D9E1F2"/>
          </w:tcPr>
          <w:p>
            <w:pPr>
              <w:spacing w:after="0" w:line="240" w:lineRule="auto"/>
            </w:pPr>
            <w:r>
              <w:rPr>
                <w:b w:val="0"/>
                <w:i w:val="0"/>
                <w:sz w:val="15"/>
              </w:rPr>
              <w:t>9</w:t>
            </w:r>
          </w:p>
        </w:tc>
        <w:tc>
          <w:tcPr>
            <w:tcW w:type="dxa" w:w="3744"/>
            <w:shd w:val="clear" w:color="auto" w:fill="D9E1F2"/>
          </w:tcPr>
          <w:p>
            <w:pPr>
              <w:spacing w:after="0" w:line="240" w:lineRule="auto"/>
            </w:pPr>
            <w:r>
              <w:rPr>
                <w:b w:val="0"/>
                <w:i w:val="0"/>
                <w:sz w:val="15"/>
              </w:rPr>
              <w:t>"The second-half guide implies revenue re-accelerating to about 7% while new business was slowing. What specifically re-accelerates: renewals, Showroom, recall timing? And what were Canada and Europe transactional trends in Q3?"</w:t>
            </w:r>
          </w:p>
        </w:tc>
        <w:tc>
          <w:tcPr>
            <w:tcW w:type="dxa" w:w="2880"/>
            <w:shd w:val="clear" w:color="auto" w:fill="D9E1F2"/>
          </w:tcPr>
          <w:p>
            <w:pPr>
              <w:spacing w:after="0" w:line="240" w:lineRule="auto"/>
            </w:pPr>
            <w:r>
              <w:rPr>
                <w:b w:val="0"/>
                <w:i w:val="0"/>
                <w:sz w:val="15"/>
              </w:rPr>
              <w:t xml:space="preserve">Implied 2H +6.3–8.0% </w:t>
            </w:r>
            <w:r>
              <w:rPr>
                <w:b/>
                <w:color w:val="2E548C"/>
                <w:sz w:val="12"/>
              </w:rPr>
              <w:t>[C]</w:t>
            </w:r>
            <w:r>
              <w:rPr>
                <w:b w:val="0"/>
                <w:i w:val="0"/>
                <w:sz w:val="15"/>
              </w:rPr>
              <w:t xml:space="preserve">. 2H Adj. EBITDA margin 37.9–38.9% </w:t>
            </w:r>
            <w:r>
              <w:rPr>
                <w:b/>
                <w:color w:val="2E548C"/>
                <w:sz w:val="12"/>
              </w:rPr>
              <w:t>[C]</w:t>
            </w:r>
            <w:r>
              <w:rPr>
                <w:b w:val="0"/>
                <w:i w:val="0"/>
                <w:sz w:val="15"/>
              </w:rPr>
              <w:t xml:space="preserve"> (D10 §3)</w:t>
            </w:r>
          </w:p>
        </w:tc>
        <w:tc>
          <w:tcPr>
            <w:tcW w:type="dxa" w:w="2736"/>
            <w:shd w:val="clear" w:color="auto" w:fill="D9E1F2"/>
          </w:tcPr>
          <w:p>
            <w:pPr>
              <w:spacing w:after="0" w:line="240" w:lineRule="auto"/>
            </w:pPr>
            <w:r>
              <w:rPr>
                <w:b/>
                <w:i w:val="0"/>
                <w:sz w:val="15"/>
              </w:rPr>
              <w:t>Good:</w:t>
            </w:r>
            <w:r>
              <w:rPr>
                <w:b w:val="0"/>
                <w:i w:val="0"/>
                <w:sz w:val="15"/>
              </w:rPr>
              <w:t xml:space="preserve"> named drivers in dollars. </w:t>
            </w:r>
            <w:r>
              <w:rPr>
                <w:b/>
                <w:i w:val="0"/>
                <w:sz w:val="15"/>
              </w:rPr>
              <w:t>Evasive:</w:t>
            </w:r>
            <w:r>
              <w:rPr>
                <w:b w:val="0"/>
                <w:i w:val="0"/>
                <w:sz w:val="15"/>
              </w:rPr>
              <w:t xml:space="preserve"> "renewal cycles are back-half weighted".</w:t>
            </w:r>
          </w:p>
        </w:tc>
      </w:tr>
      <w:tr>
        <w:trPr>
          <w:cantSplit/>
        </w:trPr>
        <w:tc>
          <w:tcPr>
            <w:tcW w:type="dxa" w:w="432"/>
          </w:tcPr>
          <w:p>
            <w:pPr>
              <w:spacing w:after="0" w:line="240" w:lineRule="auto"/>
            </w:pPr>
            <w:r>
              <w:rPr>
                <w:b w:val="0"/>
                <w:i w:val="0"/>
                <w:sz w:val="15"/>
              </w:rPr>
              <w:t>10</w:t>
            </w:r>
          </w:p>
        </w:tc>
        <w:tc>
          <w:tcPr>
            <w:tcW w:type="dxa" w:w="3744"/>
          </w:tcPr>
          <w:p>
            <w:pPr>
              <w:spacing w:after="0" w:line="240" w:lineRule="auto"/>
            </w:pPr>
            <w:r>
              <w:rPr>
                <w:b w:val="0"/>
                <w:i w:val="0"/>
                <w:sz w:val="15"/>
              </w:rPr>
              <w:t>"Germany launched six months early. What are the setup cost, the annual operating loss and the break-even year for Europe, and what is Canada's margin versus the US?"</w:t>
            </w:r>
          </w:p>
        </w:tc>
        <w:tc>
          <w:tcPr>
            <w:tcW w:type="dxa" w:w="2880"/>
          </w:tcPr>
          <w:p>
            <w:pPr>
              <w:spacing w:after="0" w:line="240" w:lineRule="auto"/>
            </w:pPr>
            <w:r>
              <w:rPr>
                <w:b w:val="0"/>
                <w:i w:val="0"/>
                <w:sz w:val="15"/>
              </w:rPr>
              <w:t xml:space="preserve">No international unit P&amp;L. $5m UK valuation allowance </w:t>
            </w:r>
            <w:r>
              <w:rPr>
                <w:b/>
                <w:color w:val="2E548C"/>
                <w:sz w:val="12"/>
              </w:rPr>
              <w:t>[D]</w:t>
            </w:r>
            <w:r>
              <w:rPr>
                <w:b w:val="0"/>
                <w:i w:val="0"/>
                <w:sz w:val="15"/>
              </w:rPr>
              <w:t xml:space="preserve"> (D2 (f))</w:t>
            </w:r>
          </w:p>
        </w:tc>
        <w:tc>
          <w:tcPr>
            <w:tcW w:type="dxa" w:w="2736"/>
          </w:tcPr>
          <w:p>
            <w:pPr>
              <w:spacing w:after="0" w:line="240" w:lineRule="auto"/>
            </w:pPr>
            <w:r>
              <w:rPr>
                <w:b/>
                <w:i w:val="0"/>
                <w:sz w:val="15"/>
              </w:rPr>
              <w:t>Good:</w:t>
            </w:r>
            <w:r>
              <w:rPr>
                <w:b w:val="0"/>
                <w:i w:val="0"/>
                <w:sz w:val="15"/>
              </w:rPr>
              <w:t xml:space="preserve"> a loss envelope and a timeline. </w:t>
            </w:r>
            <w:r>
              <w:rPr>
                <w:b/>
                <w:i w:val="0"/>
                <w:sz w:val="15"/>
              </w:rPr>
              <w:t>Evasive:</w:t>
            </w:r>
            <w:r>
              <w:rPr>
                <w:b w:val="0"/>
                <w:i w:val="0"/>
                <w:sz w:val="15"/>
              </w:rPr>
              <w:t xml:space="preserve"> "strong double-digit growth".</w:t>
            </w:r>
          </w:p>
        </w:tc>
      </w:tr>
    </w:tbl>
    <w:p>
      <w:pPr>
        <w:spacing w:after="120"/>
      </w:pPr>
      <w:r>
        <w:rPr>
          <w:b w:val="0"/>
          <w:i/>
          <w:color w:val="595959"/>
          <w:sz w:val="15"/>
        </w:rPr>
        <w:t>Source: analysis/D12_management_QA.md.</w:t>
      </w:r>
    </w:p>
    <w:p>
      <w:r>
        <w:rPr>
          <w:b w:val="0"/>
          <w:i w:val="0"/>
        </w:rPr>
        <w:t xml:space="preserve">Answers to all of the above are themselves field-work items: </w:t>
      </w:r>
      <w:r>
        <w:rPr>
          <w:b/>
          <w:color w:val="E36C09"/>
        </w:rPr>
        <w:t>[TO COLLECT #77: management answers to primary questions Q1–Q3 (meeting notes)]</w:t>
      </w:r>
      <w:r>
        <w:rPr>
          <w:b w:val="0"/>
          <w:i w:val="0"/>
        </w:rPr>
        <w:t xml:space="preserve">; </w:t>
      </w:r>
      <w:r>
        <w:rPr>
          <w:b/>
          <w:color w:val="E36C09"/>
        </w:rPr>
        <w:t>[TO COLLECT #78: management answers to secondary questions 4–10]</w:t>
      </w:r>
      <w:r>
        <w:rPr>
          <w:b w:val="0"/>
          <w:i w:val="0"/>
        </w:rPr>
        <w:t>.</w:t>
      </w:r>
    </w:p>
    <w:p>
      <w:pPr>
        <w:pStyle w:val="Heading1"/>
        <w:pageBreakBefore/>
      </w:pPr>
      <w:r>
        <w:t>17 Honest counters</w:t>
      </w:r>
    </w:p>
    <w:p>
      <w:r>
        <w:rPr>
          <w:b w:val="0"/>
          <w:i w:val="0"/>
        </w:rPr>
        <w:t>The best evidence against this document's own conclusions (SYNTHESIS; D11 §3):</w:t>
      </w:r>
    </w:p>
    <w:p>
      <w:pPr>
        <w:spacing w:after="80"/>
        <w:ind w:left="360" w:hanging="360"/>
      </w:pPr>
      <w:r>
        <w:rPr>
          <w:b/>
          <w:color w:val="1F3864"/>
        </w:rPr>
        <w:t xml:space="preserve">1.  </w:t>
      </w:r>
      <w:r>
        <w:rPr>
          <w:b/>
          <w:i w:val="0"/>
        </w:rPr>
        <w:t>The moat evidence is strong and largely audited</w:t>
      </w:r>
      <w:r>
        <w:rPr>
          <w:b w:val="0"/>
          <w:i w:val="0"/>
        </w:rPr>
        <w:t xml:space="preserve"> (revenue, margins, source and record counts). Subscription revenue held even in 2020 (recurring organic +3% </w:t>
      </w:r>
      <w:r>
        <w:rPr>
          <w:b/>
          <w:color w:val="2E548C"/>
          <w:sz w:val="16"/>
        </w:rPr>
        <w:t>[D]</w:t>
      </w:r>
      <w:r>
        <w:rPr>
          <w:b w:val="0"/>
          <w:i w:val="0"/>
        </w:rPr>
        <w:t>); downturns produced price relief, not churn (D9 §3).</w:t>
      </w:r>
    </w:p>
    <w:p>
      <w:pPr>
        <w:spacing w:after="80"/>
        <w:ind w:left="360" w:hanging="360"/>
      </w:pPr>
      <w:r>
        <w:rPr>
          <w:b/>
          <w:color w:val="1F3864"/>
        </w:rPr>
        <w:t xml:space="preserve">2.  </w:t>
      </w:r>
      <w:r>
        <w:rPr>
          <w:b/>
          <w:i w:val="0"/>
        </w:rPr>
        <w:t>Revenue guidance has mostly been met.</w:t>
      </w:r>
      <w:r>
        <w:rPr>
          <w:b w:val="0"/>
          <w:i w:val="0"/>
        </w:rPr>
        <w:t xml:space="preserve"> Two of three SPGI-era years beat the initial revenue guide; the FY26 cut is ~1pt like-for-like </w:t>
      </w:r>
      <w:r>
        <w:rPr>
          <w:b/>
          <w:color w:val="2E548C"/>
          <w:sz w:val="16"/>
        </w:rPr>
        <w:t>[C]</w:t>
      </w:r>
      <w:r>
        <w:rPr>
          <w:b w:val="0"/>
          <w:i w:val="0"/>
        </w:rPr>
        <w:t xml:space="preserve"> (D10).</w:t>
      </w:r>
    </w:p>
    <w:p>
      <w:pPr>
        <w:spacing w:after="80"/>
        <w:ind w:left="360" w:hanging="360"/>
      </w:pPr>
      <w:r>
        <w:rPr>
          <w:b/>
          <w:color w:val="1F3864"/>
        </w:rPr>
        <w:t xml:space="preserve">3.  </w:t>
      </w:r>
      <w:r>
        <w:rPr>
          <w:b/>
          <w:i w:val="0"/>
        </w:rPr>
        <w:t>Several flags cut against the company's own optics:</w:t>
      </w:r>
      <w:r>
        <w:rPr>
          <w:b w:val="0"/>
          <w:i w:val="0"/>
        </w:rPr>
        <w:t xml:space="preserve"> the Q2-25 recast lowers growth; the 10-Q volunteered the price split; carve-out EPS shows a −18% decline (D4).</w:t>
      </w:r>
    </w:p>
    <w:p>
      <w:pPr>
        <w:spacing w:after="80"/>
        <w:ind w:left="360" w:hanging="360"/>
      </w:pPr>
      <w:r>
        <w:rPr>
          <w:b/>
          <w:color w:val="1F3864"/>
        </w:rPr>
        <w:t xml:space="preserve">4.  </w:t>
      </w:r>
      <w:r>
        <w:rPr>
          <w:b/>
          <w:i w:val="0"/>
        </w:rPr>
        <w:t>The B2B dip may be a one-year investment cycle.</w:t>
      </w:r>
      <w:r>
        <w:rPr>
          <w:b w:val="0"/>
          <w:i w:val="0"/>
        </w:rPr>
        <w:t xml:space="preserve"> 6M-26 B2B Adj. EBITDA flow-through recovered to ~50% and Q2 margin rose 32.7% → 34.0% </w:t>
      </w:r>
      <w:r>
        <w:rPr>
          <w:b/>
          <w:color w:val="2E548C"/>
          <w:sz w:val="16"/>
        </w:rPr>
        <w:t>[C]</w:t>
      </w:r>
      <w:r>
        <w:rPr>
          <w:b w:val="0"/>
          <w:i w:val="0"/>
        </w:rPr>
        <w:t xml:space="preserve"> (D2 (d)).</w:t>
      </w:r>
    </w:p>
    <w:p>
      <w:pPr>
        <w:spacing w:after="80"/>
        <w:ind w:left="360" w:hanging="360"/>
      </w:pPr>
      <w:r>
        <w:rPr>
          <w:b/>
          <w:color w:val="1F3864"/>
        </w:rPr>
        <w:t xml:space="preserve">5.  </w:t>
      </w:r>
      <w:r>
        <w:rPr>
          <w:b/>
          <w:i w:val="0"/>
        </w:rPr>
        <w:t xml:space="preserve">Capex is ~1% of revenue, there is no capitalized-software asset, and standalone FCF is ~$365m </w:t>
      </w:r>
      <w:r>
        <w:rPr>
          <w:b/>
          <w:color w:val="2E548C"/>
          <w:sz w:val="16"/>
        </w:rPr>
        <w:t>[C]</w:t>
      </w:r>
      <w:r>
        <w:rPr>
          <w:b/>
          <w:i w:val="0"/>
        </w:rPr>
        <w:t>.</w:t>
      </w:r>
      <w:r>
        <w:rPr>
          <w:b w:val="0"/>
          <w:i w:val="0"/>
        </w:rPr>
        <w:t xml:space="preserve"> The dividend is ~19% of FCF; the “25%” problem is labelling, not cash (D3 §5).</w:t>
      </w:r>
    </w:p>
    <w:p>
      <w:pPr>
        <w:spacing w:after="80"/>
        <w:ind w:left="360" w:hanging="360"/>
      </w:pPr>
      <w:r>
        <w:rPr>
          <w:b/>
          <w:color w:val="1F3864"/>
        </w:rPr>
        <w:t xml:space="preserve">6.  </w:t>
      </w:r>
      <w:r>
        <w:rPr>
          <w:b/>
          <w:i w:val="0"/>
        </w:rPr>
        <w:t>The cost and margin resets are standard spin mechanics.</w:t>
      </w:r>
      <w:r>
        <w:rPr>
          <w:b w:val="0"/>
          <w:i w:val="0"/>
        </w:rPr>
        <w:t xml:space="preserve"> Standalone costs (~$26m </w:t>
      </w:r>
      <w:r>
        <w:rPr>
          <w:b/>
          <w:color w:val="2E548C"/>
          <w:sz w:val="16"/>
        </w:rPr>
        <w:t>[C]</w:t>
      </w:r>
      <w:r>
        <w:rPr>
          <w:b w:val="0"/>
          <w:i w:val="0"/>
        </w:rPr>
        <w:t>) are ~1.4% of revenue, and SBC moving to peer levels improves alignment (D5).</w:t>
      </w:r>
    </w:p>
    <w:p>
      <w:pPr>
        <w:spacing w:after="80"/>
        <w:ind w:left="360" w:hanging="360"/>
      </w:pPr>
      <w:r>
        <w:rPr>
          <w:b/>
          <w:color w:val="1F3864"/>
        </w:rPr>
        <w:t xml:space="preserve">7.  </w:t>
      </w:r>
      <w:r>
        <w:rPr>
          <w:b/>
          <w:i w:val="0"/>
        </w:rPr>
        <w:t>The AI risk has a counter-argument in the record:</w:t>
      </w:r>
      <w:r>
        <w:rPr>
          <w:b w:val="0"/>
          <w:i w:val="0"/>
        </w:rPr>
        <w:t xml:space="preserve"> the data sits “behind a firewall or a paywall” </w:t>
      </w:r>
      <w:r>
        <w:rPr>
          <w:b/>
          <w:color w:val="2E548C"/>
          <w:sz w:val="16"/>
        </w:rPr>
        <w:t>[IR]</w:t>
      </w:r>
      <w:r>
        <w:rPr>
          <w:b w:val="0"/>
          <w:i w:val="0"/>
        </w:rPr>
        <w:t>, AI lowers MBGL's own processing costs, and an answer engine still needs a licensed, trusted source — potentially a new licensing channel (inference, untested).</w:t>
      </w:r>
    </w:p>
    <w:p>
      <w:pPr>
        <w:spacing w:after="80"/>
        <w:ind w:left="360" w:hanging="360"/>
      </w:pPr>
      <w:r>
        <w:rPr>
          <w:b/>
          <w:color w:val="1F3864"/>
        </w:rPr>
        <w:t xml:space="preserve">8.  </w:t>
      </w:r>
      <w:r>
        <w:rPr>
          <w:b/>
          <w:i w:val="0"/>
        </w:rPr>
        <w:t>The bear cluster is a de-rating risk, not an impairment risk.</w:t>
      </w:r>
      <w:r>
        <w:rPr>
          <w:b w:val="0"/>
          <w:i w:val="0"/>
        </w:rPr>
        <w:t xml:space="preserve"> It applies only if the market prices MBGL as a 9–10% compounder — which this document could not test without market data.</w:t>
      </w:r>
    </w:p>
    <w:p>
      <w:pPr>
        <w:spacing w:after="80"/>
        <w:ind w:left="360" w:hanging="360"/>
      </w:pPr>
      <w:r>
        <w:rPr>
          <w:b/>
          <w:color w:val="1F3864"/>
        </w:rPr>
        <w:t xml:space="preserve">9.  </w:t>
      </w:r>
      <w:r>
        <w:rPr>
          <w:b/>
          <w:i w:val="0"/>
        </w:rPr>
        <w:t>Price may be partly mix and upsell</w:t>
      </w:r>
      <w:r>
        <w:rPr>
          <w:b w:val="0"/>
          <w:i w:val="0"/>
        </w:rPr>
        <w:t xml:space="preserve"> (customers moving to higher tiers or adding products at renewal) rather than like-for-like list price; the 10-Q does not define “price increases” (D7 counters).</w:t>
      </w:r>
    </w:p>
    <w:tbl>
      <w:tblPr>
        <w:tblW w:type="auto" w:w="0"/>
        <w:jc w:val="center"/>
        <w:tblLook w:firstColumn="1" w:firstRow="1" w:lastColumn="0" w:lastRow="0" w:noHBand="0" w:noVBand="1" w:val="04A0"/>
        <w:tblBorders>
          <w:top w:val="nil" w:sz="0" w:space="0" w:color="auto"/>
          <w:left w:val="single" w:sz="24" w:space="0" w:color="1F3864"/>
          <w:bottom w:val="nil" w:sz="0" w:space="0" w:color="auto"/>
          <w:right w:val="nil" w:sz="0" w:space="0" w:color="auto"/>
          <w:insideH w:val="nil" w:sz="0" w:space="0" w:color="auto"/>
          <w:insideV w:val="nil" w:sz="0" w:space="0" w:color="auto"/>
        </w:tblBorders>
        <w:tblCellMar>
          <w:top w:w="90" w:type="dxa"/>
          <w:left w:w="160" w:type="dxa"/>
          <w:bottom w:w="90" w:type="dxa"/>
          <w:right w:w="120" w:type="dxa"/>
        </w:tblCellMar>
      </w:tblPr>
      <w:tblGrid>
        <w:gridCol w:w="8928"/>
      </w:tblGrid>
      <w:tr>
        <w:trPr>
          <w:cantSplit/>
        </w:trPr>
        <w:tc>
          <w:tcPr>
            <w:tcW w:type="dxa" w:w="8928"/>
            <w:shd w:val="clear" w:color="auto" w:fill="EEF2F9"/>
          </w:tcPr>
          <w:p>
            <w:pPr>
              <w:spacing w:after="60"/>
            </w:pPr>
            <w:r>
              <w:rPr>
                <w:i/>
                <w:color w:val="262626"/>
                <w:sz w:val="19"/>
              </w:rPr>
              <w:t>“We are finding that the brand is actually becoming more and more valuable.”</w:t>
            </w:r>
          </w:p>
          <w:p>
            <w:pPr>
              <w:spacing w:after="0"/>
            </w:pPr>
            <w:r>
              <w:rPr>
                <w:b w:val="0"/>
                <w:i w:val="0"/>
                <w:color w:val="1F3864"/>
                <w:sz w:val="15"/>
              </w:rPr>
              <w:t xml:space="preserve">— Bill Eager (CEO), Goldman Sachs Communacopia + Technology Conference 2026, 2026-09-10 · Quartr t=420.9s </w:t>
            </w:r>
            <w:r>
              <w:rPr>
                <w:b/>
                <w:color w:val="2E548C"/>
                <w:sz w:val="12"/>
              </w:rPr>
              <w:t>[IR]</w:t>
            </w:r>
          </w:p>
        </w:tc>
      </w:tr>
    </w:tbl>
    <w:p>
      <w:pPr>
        <w:spacing w:after="40"/>
      </w:pPr>
    </w:p>
    <w:p>
      <w:pPr>
        <w:pStyle w:val="Heading1"/>
        <w:pageBreakBefore/>
      </w:pPr>
      <w:r>
        <w:t>Appendix A Source limitations &amp; verification</w:t>
      </w:r>
    </w:p>
    <w:p>
      <w:pPr>
        <w:pStyle w:val="Heading2"/>
      </w:pPr>
      <w:r>
        <w:t>A.1 What the source set is</w:t>
      </w:r>
    </w:p>
    <w:p>
      <w:pPr>
        <w:pStyle w:val="ListBullet"/>
      </w:pPr>
      <w:r>
        <w:rPr>
          <w:b w:val="0"/>
          <w:i w:val="0"/>
        </w:rPr>
        <w:t>Primary filings and transcripts accessed through Quartr only: Form 10 (2026-05-07), Form 10/A (2026-05-27), 10-Q Q2-26 and 8-K (2026-08-07), Investor Day and Q2 decks, three MBGL transcripts, S&amp;P Global and IHS Markit 10-Ks and earnings materials.</w:t>
      </w:r>
    </w:p>
    <w:p>
      <w:pPr>
        <w:pStyle w:val="ListBullet"/>
      </w:pPr>
      <w:r>
        <w:rPr>
          <w:b w:val="0"/>
          <w:i w:val="0"/>
        </w:rPr>
        <w:t>Quartr page text, not native PDFs: several tables were flattened or scrambled (annual cash-flow working capital, Q1 cash-flow components, tax provision 2024/23 split, lease maturities, Market Scan PPA liabilities, beneficial-ownership counts, part of the severance table).</w:t>
      </w:r>
    </w:p>
    <w:p>
      <w:pPr>
        <w:pStyle w:val="ListBullet"/>
      </w:pPr>
      <w:r>
        <w:rPr>
          <w:b w:val="0"/>
          <w:i w:val="0"/>
        </w:rPr>
        <w:t xml:space="preserve">sec.gov (EDGAR XBRL), FRED, BEA, Census, BLS, the Fed and third-party sites were blocked by sandbox egress. Part B (industry series) is unfetched; </w:t>
      </w:r>
      <w:r>
        <w:rPr>
          <w:b/>
          <w:color w:val="2E548C"/>
          <w:sz w:val="16"/>
        </w:rPr>
        <w:t>[context]</w:t>
      </w:r>
      <w:r>
        <w:rPr>
          <w:b w:val="0"/>
          <w:i w:val="0"/>
        </w:rPr>
        <w:t xml:space="preserve"> items are general knowledge.</w:t>
      </w:r>
    </w:p>
    <w:p>
      <w:pPr>
        <w:pStyle w:val="ListBullet"/>
      </w:pPr>
      <w:r>
        <w:rPr>
          <w:b w:val="0"/>
          <w:i w:val="0"/>
        </w:rPr>
        <w:t>No market data (share price, market value, consensus) was available, so there is no valuation section.</w:t>
      </w:r>
    </w:p>
    <w:p>
      <w:pPr>
        <w:pStyle w:val="Heading2"/>
      </w:pPr>
      <w:r>
        <w:t>A.2 Verification performed (Part A)</w:t>
      </w:r>
    </w:p>
    <w:p>
      <w:pPr>
        <w:pStyle w:val="ListBullet"/>
      </w:pPr>
      <w:r>
        <w:rPr>
          <w:b w:val="0"/>
          <w:i w:val="0"/>
        </w:rPr>
        <w:t>Extraction: 4,859 rows across 6 files, self-verified for footing and ties; canonical layer 390 primary cells, 0 collisions (59 identical duplicates absorbed and logged), 0 leftovers, 3 logged MD&amp;A gap-fills (PART_A_SUMMARY).</w:t>
      </w:r>
    </w:p>
    <w:p>
      <w:pPr>
        <w:pStyle w:val="ListBullet"/>
      </w:pPr>
      <w:r>
        <w:rPr>
          <w:b w:val="0"/>
          <w:i w:val="0"/>
        </w:rPr>
        <w:t>Independent check: Quartr standardized financials matched 6 of 6 Q2-2026 values (revenue 468 · operating profit 82 · net income 53 · total assets 13,060 · long-term debt 1,981 · CFO 6M-2026 189); no annual periods are available there.</w:t>
      </w:r>
    </w:p>
    <w:p>
      <w:pPr>
        <w:pStyle w:val="ListBullet"/>
      </w:pPr>
      <w:r>
        <w:rPr>
          <w:b w:val="0"/>
          <w:i w:val="0"/>
        </w:rPr>
        <w:t>Cross-document: Form 10 vs Form 10/A identical (annual + Q1); 10-Q 6M = Form 10/A Q1 + 10-Q Q2 on every IS line; 8-K IS/BS = 10-Q.</w:t>
      </w:r>
    </w:p>
    <w:p>
      <w:pPr>
        <w:pStyle w:val="ListBullet"/>
      </w:pPr>
      <w:r>
        <w:rPr>
          <w:b w:val="0"/>
          <w:i w:val="0"/>
        </w:rPr>
        <w:t>Workbook recalc: 0 formula errors; 106 integrity-check cells, 0 failures.</w:t>
      </w:r>
    </w:p>
    <w:p>
      <w:pPr>
        <w:pStyle w:val="ListBullet"/>
      </w:pPr>
      <w:r>
        <w:rPr>
          <w:b w:val="0"/>
          <w:i w:val="0"/>
        </w:rPr>
        <w:t>This document: every quote is asserted verbatim against the transcript quote banks at build time; financial tables are read from canonical/primary.csv; analysis tables are parsed from the analysis files.</w:t>
      </w:r>
    </w:p>
    <w:p>
      <w:pPr>
        <w:pStyle w:val="Heading2"/>
      </w:pPr>
      <w:r>
        <w:t>A.3 Outstanding verification</w:t>
      </w:r>
    </w:p>
    <w:p>
      <w:pPr>
        <w:pStyle w:val="ListBullet"/>
      </w:pPr>
      <w:r>
        <w:rPr>
          <w:b/>
          <w:color w:val="E36C09"/>
        </w:rPr>
        <w:t>[TO COLLECT #79: EDGAR XBRL company-facts cross-check of headline items for every period]</w:t>
      </w:r>
    </w:p>
    <w:p>
      <w:pPr>
        <w:pStyle w:val="ListBullet"/>
      </w:pPr>
      <w:r>
        <w:rPr>
          <w:b/>
          <w:color w:val="E36C09"/>
        </w:rPr>
        <w:t>[TO COLLECT #80: native Form 10/A PDF: tax provision 2024/23 split, lease maturity table, Market Scan PPA liabilities (lines sum 59 vs printed 39)]</w:t>
      </w:r>
    </w:p>
    <w:p>
      <w:pPr>
        <w:pStyle w:val="ListBullet"/>
      </w:pPr>
      <w:r>
        <w:rPr>
          <w:b/>
          <w:color w:val="E36C09"/>
        </w:rPr>
        <w:t>[TO COLLECT #81: Investor Day slide 91 image re-read to confirm the year mapping of organic and industry labels]</w:t>
      </w:r>
    </w:p>
    <w:p>
      <w:pPr>
        <w:pStyle w:val="ListBullet"/>
      </w:pPr>
      <w:r>
        <w:rPr>
          <w:b/>
          <w:color w:val="E36C09"/>
        </w:rPr>
        <w:t>[TO COLLECT #82: PDF check of SPGI guidance slide cells mapped by position (FY23/FY24 Q3 revisions)]</w:t>
      </w:r>
    </w:p>
    <w:p>
      <w:pPr>
        <w:pStyle w:val="Heading2"/>
      </w:pPr>
      <w:r>
        <w:t>A.4 Genuine non-disclosures (Part A)</w:t>
      </w:r>
    </w:p>
    <w:p>
      <w:pPr>
        <w:pStyle w:val="ListBullet"/>
      </w:pPr>
      <w:r>
        <w:rPr>
          <w:b w:val="0"/>
          <w:i w:val="0"/>
        </w:rPr>
        <w:t>Revenue by brand or product, and by B2B business line; organic or constant-currency growth (S&amp;P Global printed it every quarter); retention / NRR, ACV / ARR, ARPU, churn;</w:t>
      </w:r>
    </w:p>
    <w:p>
      <w:pPr>
        <w:pStyle w:val="ListBullet"/>
      </w:pPr>
      <w:r>
        <w:rPr>
          <w:b w:val="0"/>
          <w:i w:val="0"/>
        </w:rPr>
        <w:t>segment assets (dropped in the 10-Q); TSA fees; deferred-revenue roll-forward; a standalone Q2 cash-flow statement.</w:t>
      </w:r>
    </w:p>
    <w:p>
      <w:pPr>
        <w:pStyle w:val="Heading1"/>
        <w:pageBreakBefore/>
      </w:pPr>
      <w:r>
        <w:t>Appendix B Accounting notes</w:t>
      </w:r>
    </w:p>
    <w:p>
      <w:pPr>
        <w:keepNext/>
        <w:spacing w:before="80" w:after="40"/>
      </w:pPr>
      <w:r>
        <w:rPr>
          <w:b/>
          <w:i w:val="0"/>
          <w:color w:val="1F3864"/>
          <w:sz w:val="17"/>
        </w:rPr>
        <w:t xml:space="preserve">Exhibit B.1 — Accounting notes (33 rows) </w:t>
      </w:r>
      <w:r>
        <w:rPr>
          <w:b/>
          <w:color w:val="2E548C"/>
          <w:sz w:val="14"/>
        </w:rPr>
        <w:t>[D]</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864"/>
        <w:gridCol w:w="1152"/>
        <w:gridCol w:w="4608"/>
        <w:gridCol w:w="1583"/>
        <w:gridCol w:w="1583"/>
      </w:tblGrid>
      <w:tr>
        <w:trPr>
          <w:cantSplit/>
          <w:tblHeader/>
        </w:trPr>
        <w:tc>
          <w:tcPr>
            <w:tcW w:type="dxa" w:w="864"/>
            <w:shd w:val="clear" w:color="auto" w:fill="1F3864"/>
          </w:tcPr>
          <w:p>
            <w:pPr>
              <w:spacing w:after="0" w:line="240" w:lineRule="auto"/>
            </w:pPr>
            <w:r>
              <w:rPr>
                <w:b/>
                <w:i w:val="0"/>
                <w:color w:val="FFFFFF"/>
                <w:sz w:val="14"/>
              </w:rPr>
              <w:t>Type</w:t>
            </w:r>
          </w:p>
        </w:tc>
        <w:tc>
          <w:tcPr>
            <w:tcW w:type="dxa" w:w="1152"/>
            <w:shd w:val="clear" w:color="auto" w:fill="1F3864"/>
          </w:tcPr>
          <w:p>
            <w:pPr>
              <w:spacing w:after="0" w:line="240" w:lineRule="auto"/>
            </w:pPr>
            <w:r>
              <w:rPr>
                <w:b/>
                <w:i w:val="0"/>
                <w:color w:val="FFFFFF"/>
                <w:sz w:val="14"/>
              </w:rPr>
              <w:t>Area</w:t>
            </w:r>
          </w:p>
        </w:tc>
        <w:tc>
          <w:tcPr>
            <w:tcW w:type="dxa" w:w="4608"/>
            <w:shd w:val="clear" w:color="auto" w:fill="1F3864"/>
          </w:tcPr>
          <w:p>
            <w:pPr>
              <w:spacing w:after="0" w:line="240" w:lineRule="auto"/>
            </w:pPr>
            <w:r>
              <w:rPr>
                <w:b/>
                <w:i w:val="0"/>
                <w:color w:val="FFFFFF"/>
                <w:sz w:val="14"/>
              </w:rPr>
              <w:t>Item</w:t>
            </w:r>
          </w:p>
        </w:tc>
        <w:tc>
          <w:tcPr>
            <w:tcW w:type="dxa" w:w="1584"/>
            <w:shd w:val="clear" w:color="auto" w:fill="1F3864"/>
          </w:tcPr>
          <w:p>
            <w:pPr>
              <w:spacing w:after="0" w:line="240" w:lineRule="auto"/>
            </w:pPr>
            <w:r>
              <w:rPr>
                <w:b/>
                <w:i w:val="0"/>
                <w:color w:val="FFFFFF"/>
                <w:sz w:val="14"/>
              </w:rPr>
              <w:t>Source</w:t>
            </w:r>
          </w:p>
        </w:tc>
        <w:tc>
          <w:tcPr>
            <w:tcW w:type="dxa" w:w="1584"/>
            <w:shd w:val="clear" w:color="auto" w:fill="1F3864"/>
          </w:tcPr>
          <w:p>
            <w:pPr>
              <w:spacing w:after="0" w:line="240" w:lineRule="auto"/>
            </w:pPr>
            <w:r>
              <w:rPr>
                <w:b/>
                <w:i w:val="0"/>
                <w:color w:val="FFFFFF"/>
                <w:sz w:val="14"/>
              </w:rPr>
              <w:t>Treatment</w:t>
            </w:r>
          </w:p>
        </w:tc>
      </w:tr>
      <w:tr>
        <w:trPr>
          <w:cantSplit/>
        </w:trPr>
        <w:tc>
          <w:tcPr>
            <w:tcW w:type="dxa" w:w="864"/>
          </w:tcPr>
          <w:p>
            <w:pPr>
              <w:spacing w:after="0" w:line="240" w:lineRule="auto"/>
            </w:pPr>
            <w:r>
              <w:rPr>
                <w:b w:val="0"/>
                <w:i w:val="0"/>
                <w:sz w:val="14"/>
              </w:rPr>
              <w:t>BASIS</w:t>
            </w:r>
          </w:p>
        </w:tc>
        <w:tc>
          <w:tcPr>
            <w:tcW w:type="dxa" w:w="1152"/>
          </w:tcPr>
          <w:p>
            <w:pPr>
              <w:spacing w:after="0" w:line="240" w:lineRule="auto"/>
            </w:pPr>
            <w:r>
              <w:rPr>
                <w:b w:val="0"/>
                <w:i w:val="0"/>
                <w:sz w:val="14"/>
              </w:rPr>
              <w:t>All</w:t>
            </w:r>
          </w:p>
        </w:tc>
        <w:tc>
          <w:tcPr>
            <w:tcW w:type="dxa" w:w="4608"/>
          </w:tcPr>
          <w:p>
            <w:pPr>
              <w:spacing w:after="0" w:line="240" w:lineRule="auto"/>
            </w:pPr>
            <w:r>
              <w:rPr>
                <w:b w:val="0"/>
                <w:i w:val="0"/>
                <w:sz w:val="14"/>
              </w:rPr>
              <w:t>Carve-out (combined) statements of S&amp;P Global Mobility; include S&amp;P Global corporate allocations; not indicative of standalone costs. Standalone from distribution 2026-07-01.</w:t>
            </w:r>
          </w:p>
        </w:tc>
        <w:tc>
          <w:tcPr>
            <w:tcW w:type="dxa" w:w="1584"/>
          </w:tcPr>
          <w:p>
            <w:pPr>
              <w:spacing w:after="0" w:line="240" w:lineRule="auto"/>
            </w:pPr>
            <w:r>
              <w:rPr>
                <w:b w:val="0"/>
                <w:i w:val="0"/>
                <w:sz w:val="14"/>
              </w:rPr>
              <w:t>Form10A Basis of presentation; 10-Q Note 1</w:t>
            </w:r>
          </w:p>
        </w:tc>
        <w:tc>
          <w:tcPr>
            <w:tcW w:type="dxa" w:w="1584"/>
          </w:tcPr>
          <w:p>
            <w:pPr>
              <w:spacing w:after="0" w:line="240" w:lineRule="auto"/>
            </w:pPr>
            <w:r>
              <w:rPr>
                <w:b w:val="0"/>
                <w:i w:val="0"/>
                <w:sz w:val="14"/>
              </w:rPr>
              <w:t>Shown as reported; standalone deltas tracked in analysis/D3</w:t>
            </w:r>
          </w:p>
        </w:tc>
      </w:tr>
      <w:tr>
        <w:trPr>
          <w:cantSplit/>
        </w:trPr>
        <w:tc>
          <w:tcPr>
            <w:tcW w:type="dxa" w:w="864"/>
            <w:shd w:val="clear" w:color="auto" w:fill="D9E1F2"/>
          </w:tcPr>
          <w:p>
            <w:pPr>
              <w:spacing w:after="0" w:line="240" w:lineRule="auto"/>
            </w:pPr>
            <w:r>
              <w:rPr>
                <w:b w:val="0"/>
                <w:i w:val="0"/>
                <w:sz w:val="14"/>
              </w:rPr>
              <w:t>RESTATE</w:t>
            </w:r>
          </w:p>
        </w:tc>
        <w:tc>
          <w:tcPr>
            <w:tcW w:type="dxa" w:w="1152"/>
            <w:shd w:val="clear" w:color="auto" w:fill="D9E1F2"/>
          </w:tcPr>
          <w:p>
            <w:pPr>
              <w:spacing w:after="0" w:line="240" w:lineRule="auto"/>
            </w:pPr>
            <w:r>
              <w:rPr>
                <w:b w:val="0"/>
                <w:i w:val="0"/>
                <w:sz w:val="14"/>
              </w:rPr>
              <w:t>All statements</w:t>
            </w:r>
          </w:p>
        </w:tc>
        <w:tc>
          <w:tcPr>
            <w:tcW w:type="dxa" w:w="4608"/>
            <w:shd w:val="clear" w:color="auto" w:fill="D9E1F2"/>
          </w:tcPr>
          <w:p>
            <w:pPr>
              <w:spacing w:after="0" w:line="240" w:lineRule="auto"/>
            </w:pPr>
            <w:r>
              <w:rPr>
                <w:b w:val="0"/>
                <w:i w:val="0"/>
                <w:sz w:val="14"/>
              </w:rPr>
              <w:t>Form 10 (2026-05-07) vs Form 10/A (2026-05-27): annual and Q1 statements identical — no quiet restatement found (text artefacts only).</w:t>
            </w:r>
          </w:p>
        </w:tc>
        <w:tc>
          <w:tcPr>
            <w:tcW w:type="dxa" w:w="1584"/>
            <w:shd w:val="clear" w:color="auto" w:fill="D9E1F2"/>
          </w:tcPr>
          <w:p>
            <w:pPr>
              <w:spacing w:after="0" w:line="240" w:lineRule="auto"/>
            </w:pPr>
            <w:r>
              <w:rPr>
                <w:b w:val="0"/>
                <w:i w:val="0"/>
                <w:sz w:val="14"/>
              </w:rPr>
              <w:t>statements_NOTES.md</w:t>
            </w:r>
          </w:p>
        </w:tc>
        <w:tc>
          <w:tcPr>
            <w:tcW w:type="dxa" w:w="1584"/>
            <w:shd w:val="clear" w:color="auto" w:fill="D9E1F2"/>
          </w:tcPr>
          <w:p>
            <w:pPr>
              <w:spacing w:after="0" w:line="240" w:lineRule="auto"/>
            </w:pPr>
            <w:r>
              <w:rPr>
                <w:b w:val="0"/>
                <w:i w:val="0"/>
                <w:sz w:val="14"/>
              </w:rPr>
              <w:t>None needed</w:t>
            </w:r>
          </w:p>
        </w:tc>
      </w:tr>
      <w:tr>
        <w:trPr>
          <w:cantSplit/>
        </w:trPr>
        <w:tc>
          <w:tcPr>
            <w:tcW w:type="dxa" w:w="864"/>
          </w:tcPr>
          <w:p>
            <w:pPr>
              <w:spacing w:after="0" w:line="240" w:lineRule="auto"/>
            </w:pPr>
            <w:r>
              <w:rPr>
                <w:b w:val="0"/>
                <w:i w:val="0"/>
                <w:sz w:val="14"/>
              </w:rPr>
              <w:t>DEFN</w:t>
            </w:r>
          </w:p>
        </w:tc>
        <w:tc>
          <w:tcPr>
            <w:tcW w:type="dxa" w:w="1152"/>
          </w:tcPr>
          <w:p>
            <w:pPr>
              <w:spacing w:after="0" w:line="240" w:lineRule="auto"/>
            </w:pPr>
            <w:r>
              <w:rPr>
                <w:b w:val="0"/>
                <w:i w:val="0"/>
                <w:sz w:val="14"/>
              </w:rPr>
              <w:t>IS</w:t>
            </w:r>
          </w:p>
        </w:tc>
        <w:tc>
          <w:tcPr>
            <w:tcW w:type="dxa" w:w="4608"/>
          </w:tcPr>
          <w:p>
            <w:pPr>
              <w:spacing w:after="0" w:line="240" w:lineRule="auto"/>
            </w:pPr>
            <w:r>
              <w:rPr>
                <w:b w:val="0"/>
                <w:i w:val="0"/>
                <w:sz w:val="14"/>
              </w:rPr>
              <w:t>10-Q retitles "Statements of Income" to "Statements of Operations"; captions condense (PP&amp;E net of accumulated depreciation; Operating lease liabilities; Deferred tax liability, net).</w:t>
            </w:r>
          </w:p>
        </w:tc>
        <w:tc>
          <w:tcPr>
            <w:tcW w:type="dxa" w:w="1584"/>
          </w:tcPr>
          <w:p>
            <w:pPr>
              <w:spacing w:after="0" w:line="240" w:lineRule="auto"/>
            </w:pPr>
            <w:r>
              <w:rPr>
                <w:b w:val="0"/>
                <w:i w:val="0"/>
                <w:sz w:val="14"/>
              </w:rPr>
              <w:t>10-Q pp.4-7</w:t>
            </w:r>
          </w:p>
        </w:tc>
        <w:tc>
          <w:tcPr>
            <w:tcW w:type="dxa" w:w="1584"/>
          </w:tcPr>
          <w:p>
            <w:pPr>
              <w:spacing w:after="0" w:line="240" w:lineRule="auto"/>
            </w:pPr>
            <w:r>
              <w:rPr>
                <w:b w:val="0"/>
                <w:i w:val="0"/>
                <w:sz w:val="14"/>
              </w:rPr>
              <w:t>Mapped to same canonical rows (Caption Map)</w:t>
            </w:r>
          </w:p>
        </w:tc>
      </w:tr>
      <w:tr>
        <w:trPr>
          <w:cantSplit/>
        </w:trPr>
        <w:tc>
          <w:tcPr>
            <w:tcW w:type="dxa" w:w="864"/>
            <w:shd w:val="clear" w:color="auto" w:fill="D9E1F2"/>
          </w:tcPr>
          <w:p>
            <w:pPr>
              <w:spacing w:after="0" w:line="240" w:lineRule="auto"/>
            </w:pPr>
            <w:r>
              <w:rPr>
                <w:b w:val="0"/>
                <w:i w:val="0"/>
                <w:sz w:val="14"/>
              </w:rPr>
              <w:t>DATAQ</w:t>
            </w:r>
          </w:p>
        </w:tc>
        <w:tc>
          <w:tcPr>
            <w:tcW w:type="dxa" w:w="1152"/>
            <w:shd w:val="clear" w:color="auto" w:fill="D9E1F2"/>
          </w:tcPr>
          <w:p>
            <w:pPr>
              <w:spacing w:after="0" w:line="240" w:lineRule="auto"/>
            </w:pPr>
            <w:r>
              <w:rPr>
                <w:b w:val="0"/>
                <w:i w:val="0"/>
                <w:sz w:val="14"/>
              </w:rPr>
              <w:t>IS / EPS</w:t>
            </w:r>
          </w:p>
        </w:tc>
        <w:tc>
          <w:tcPr>
            <w:tcW w:type="dxa" w:w="4608"/>
            <w:shd w:val="clear" w:color="auto" w:fill="D9E1F2"/>
          </w:tcPr>
          <w:p>
            <w:pPr>
              <w:spacing w:after="0" w:line="240" w:lineRule="auto"/>
            </w:pPr>
            <w:r>
              <w:rPr>
                <w:b w:val="0"/>
                <w:i w:val="0"/>
                <w:sz w:val="14"/>
              </w:rPr>
              <w:t>10-Q prints EPS for carve-out comparatives (Q2-25 $0.22; 6M-25 $0.42) though Form 10 states EPS "not presented" (no capital structure). Basis not stated (presumably ~295m shares).</w:t>
            </w:r>
          </w:p>
        </w:tc>
        <w:tc>
          <w:tcPr>
            <w:tcW w:type="dxa" w:w="1584"/>
            <w:shd w:val="clear" w:color="auto" w:fill="D9E1F2"/>
          </w:tcPr>
          <w:p>
            <w:pPr>
              <w:spacing w:after="0" w:line="240" w:lineRule="auto"/>
            </w:pPr>
            <w:r>
              <w:rPr>
                <w:b w:val="0"/>
                <w:i w:val="0"/>
                <w:sz w:val="14"/>
              </w:rPr>
              <w:t>10-Q p.4; Form10A F-pages</w:t>
            </w:r>
          </w:p>
        </w:tc>
        <w:tc>
          <w:tcPr>
            <w:tcW w:type="dxa" w:w="1584"/>
            <w:shd w:val="clear" w:color="auto" w:fill="D9E1F2"/>
          </w:tcPr>
          <w:p>
            <w:pPr>
              <w:spacing w:after="0" w:line="240" w:lineRule="auto"/>
            </w:pPr>
            <w:r>
              <w:rPr>
                <w:b w:val="0"/>
                <w:i w:val="0"/>
                <w:sz w:val="14"/>
              </w:rPr>
              <w:t>Recorded as printed; flagged for D4 red-flags</w:t>
            </w:r>
          </w:p>
        </w:tc>
      </w:tr>
      <w:tr>
        <w:trPr>
          <w:cantSplit/>
        </w:trPr>
        <w:tc>
          <w:tcPr>
            <w:tcW w:type="dxa" w:w="864"/>
          </w:tcPr>
          <w:p>
            <w:pPr>
              <w:spacing w:after="0" w:line="240" w:lineRule="auto"/>
            </w:pPr>
            <w:r>
              <w:rPr>
                <w:b w:val="0"/>
                <w:i w:val="0"/>
                <w:sz w:val="14"/>
              </w:rPr>
              <w:t>DATAQ</w:t>
            </w:r>
          </w:p>
        </w:tc>
        <w:tc>
          <w:tcPr>
            <w:tcW w:type="dxa" w:w="1152"/>
          </w:tcPr>
          <w:p>
            <w:pPr>
              <w:spacing w:after="0" w:line="240" w:lineRule="auto"/>
            </w:pPr>
            <w:r>
              <w:rPr>
                <w:b w:val="0"/>
                <w:i w:val="0"/>
                <w:sz w:val="14"/>
              </w:rPr>
              <w:t>IS</w:t>
            </w:r>
          </w:p>
        </w:tc>
        <w:tc>
          <w:tcPr>
            <w:tcW w:type="dxa" w:w="4608"/>
          </w:tcPr>
          <w:p>
            <w:pPr>
              <w:spacing w:after="0" w:line="240" w:lineRule="auto"/>
            </w:pPr>
            <w:r>
              <w:rPr>
                <w:b w:val="0"/>
                <w:i w:val="0"/>
                <w:sz w:val="14"/>
              </w:rPr>
              <w:t>"Other income, net" printed in the expense block: FY2024 (1), FY2023 (2) = income; FY2025 dash.</w:t>
            </w:r>
          </w:p>
        </w:tc>
        <w:tc>
          <w:tcPr>
            <w:tcW w:type="dxa" w:w="1584"/>
          </w:tcPr>
          <w:p>
            <w:pPr>
              <w:spacing w:after="0" w:line="240" w:lineRule="auto"/>
            </w:pPr>
            <w:r>
              <w:rPr>
                <w:b w:val="0"/>
                <w:i w:val="0"/>
                <w:sz w:val="14"/>
              </w:rPr>
              <w:t>Form10A p.440</w:t>
            </w:r>
          </w:p>
        </w:tc>
        <w:tc>
          <w:tcPr>
            <w:tcW w:type="dxa" w:w="1584"/>
          </w:tcPr>
          <w:p>
            <w:pPr>
              <w:spacing w:after="0" w:line="240" w:lineRule="auto"/>
            </w:pPr>
            <w:r>
              <w:rPr>
                <w:b w:val="0"/>
                <w:i w:val="0"/>
                <w:sz w:val="14"/>
              </w:rPr>
              <w:t>Input as printed (negative = income); formula subtracts it</w:t>
            </w:r>
          </w:p>
        </w:tc>
      </w:tr>
      <w:tr>
        <w:trPr>
          <w:cantSplit/>
        </w:trPr>
        <w:tc>
          <w:tcPr>
            <w:tcW w:type="dxa" w:w="864"/>
            <w:shd w:val="clear" w:color="auto" w:fill="D9E1F2"/>
          </w:tcPr>
          <w:p>
            <w:pPr>
              <w:spacing w:after="0" w:line="240" w:lineRule="auto"/>
            </w:pPr>
            <w:r>
              <w:rPr>
                <w:b w:val="0"/>
                <w:i w:val="0"/>
                <w:sz w:val="14"/>
              </w:rPr>
              <w:t>DATAQ</w:t>
            </w:r>
          </w:p>
        </w:tc>
        <w:tc>
          <w:tcPr>
            <w:tcW w:type="dxa" w:w="1152"/>
            <w:shd w:val="clear" w:color="auto" w:fill="D9E1F2"/>
          </w:tcPr>
          <w:p>
            <w:pPr>
              <w:spacing w:after="0" w:line="240" w:lineRule="auto"/>
            </w:pPr>
            <w:r>
              <w:rPr>
                <w:b w:val="0"/>
                <w:i w:val="0"/>
                <w:sz w:val="14"/>
              </w:rPr>
              <w:t>CF</w:t>
            </w:r>
          </w:p>
        </w:tc>
        <w:tc>
          <w:tcPr>
            <w:tcW w:type="dxa" w:w="4608"/>
            <w:shd w:val="clear" w:color="auto" w:fill="D9E1F2"/>
          </w:tcPr>
          <w:p>
            <w:pPr>
              <w:spacing w:after="0" w:line="240" w:lineRule="auto"/>
            </w:pPr>
            <w:r>
              <w:rPr>
                <w:b w:val="0"/>
                <w:i w:val="0"/>
                <w:sz w:val="14"/>
              </w:rPr>
              <w:t>Annual CF "Restructuring and other" and nine working-capital lines (FY2023-25) unreadable in Quartr text (scrambled, values dropped; no unique arrangement fits CFO).</w:t>
            </w:r>
          </w:p>
        </w:tc>
        <w:tc>
          <w:tcPr>
            <w:tcW w:type="dxa" w:w="1584"/>
            <w:shd w:val="clear" w:color="auto" w:fill="D9E1F2"/>
          </w:tcPr>
          <w:p>
            <w:pPr>
              <w:spacing w:after="0" w:line="240" w:lineRule="auto"/>
            </w:pPr>
            <w:r>
              <w:rPr>
                <w:b w:val="0"/>
                <w:i w:val="0"/>
                <w:sz w:val="14"/>
              </w:rPr>
              <w:t>Form10A p.443</w:t>
            </w:r>
          </w:p>
        </w:tc>
        <w:tc>
          <w:tcPr>
            <w:tcW w:type="dxa" w:w="1584"/>
            <w:shd w:val="clear" w:color="auto" w:fill="D9E1F2"/>
          </w:tcPr>
          <w:p>
            <w:pPr>
              <w:spacing w:after="0" w:line="240" w:lineRule="auto"/>
            </w:pPr>
            <w:r>
              <w:rPr>
                <w:b w:val="0"/>
                <w:i w:val="0"/>
                <w:sz w:val="14"/>
              </w:rPr>
              <w:t>Left blank; CFO component check = n/a; needs native PDF</w:t>
            </w:r>
          </w:p>
        </w:tc>
      </w:tr>
      <w:tr>
        <w:trPr>
          <w:cantSplit/>
        </w:trPr>
        <w:tc>
          <w:tcPr>
            <w:tcW w:type="dxa" w:w="864"/>
          </w:tcPr>
          <w:p>
            <w:pPr>
              <w:spacing w:after="0" w:line="240" w:lineRule="auto"/>
            </w:pPr>
            <w:r>
              <w:rPr>
                <w:b w:val="0"/>
                <w:i w:val="0"/>
                <w:sz w:val="14"/>
              </w:rPr>
              <w:t>DATAQ</w:t>
            </w:r>
          </w:p>
        </w:tc>
        <w:tc>
          <w:tcPr>
            <w:tcW w:type="dxa" w:w="1152"/>
          </w:tcPr>
          <w:p>
            <w:pPr>
              <w:spacing w:after="0" w:line="240" w:lineRule="auto"/>
            </w:pPr>
            <w:r>
              <w:rPr>
                <w:b w:val="0"/>
                <w:i w:val="0"/>
                <w:sz w:val="14"/>
              </w:rPr>
              <w:t>CF</w:t>
            </w:r>
          </w:p>
        </w:tc>
        <w:tc>
          <w:tcPr>
            <w:tcW w:type="dxa" w:w="4608"/>
          </w:tcPr>
          <w:p>
            <w:pPr>
              <w:spacing w:after="0" w:line="240" w:lineRule="auto"/>
            </w:pPr>
            <w:r>
              <w:rPr>
                <w:b w:val="0"/>
                <w:i w:val="0"/>
                <w:sz w:val="14"/>
              </w:rPr>
              <w:t>Q1-2025/Q1-2026 working-capital lines and most Q1 financing components unreadable.</w:t>
            </w:r>
          </w:p>
        </w:tc>
        <w:tc>
          <w:tcPr>
            <w:tcW w:type="dxa" w:w="1584"/>
          </w:tcPr>
          <w:p>
            <w:pPr>
              <w:spacing w:after="0" w:line="240" w:lineRule="auto"/>
            </w:pPr>
            <w:r>
              <w:rPr>
                <w:b w:val="0"/>
                <w:i w:val="0"/>
                <w:sz w:val="14"/>
              </w:rPr>
              <w:t>Form10A p.425</w:t>
            </w:r>
          </w:p>
        </w:tc>
        <w:tc>
          <w:tcPr>
            <w:tcW w:type="dxa" w:w="1584"/>
          </w:tcPr>
          <w:p>
            <w:pPr>
              <w:spacing w:after="0" w:line="240" w:lineRule="auto"/>
            </w:pPr>
            <w:r>
              <w:rPr>
                <w:b w:val="0"/>
                <w:i w:val="0"/>
                <w:sz w:val="14"/>
              </w:rPr>
              <w:t>Left blank; Q1-25 CFI/CFF from MD&amp;A cash-flow overview p.361 (logged fallback)</w:t>
            </w:r>
          </w:p>
        </w:tc>
      </w:tr>
      <w:tr>
        <w:trPr>
          <w:cantSplit/>
        </w:trPr>
        <w:tc>
          <w:tcPr>
            <w:tcW w:type="dxa" w:w="864"/>
            <w:shd w:val="clear" w:color="auto" w:fill="D9E1F2"/>
          </w:tcPr>
          <w:p>
            <w:pPr>
              <w:spacing w:after="0" w:line="240" w:lineRule="auto"/>
            </w:pPr>
            <w:r>
              <w:rPr>
                <w:b w:val="0"/>
                <w:i w:val="0"/>
                <w:sz w:val="14"/>
              </w:rPr>
              <w:t>DATAQ</w:t>
            </w:r>
          </w:p>
        </w:tc>
        <w:tc>
          <w:tcPr>
            <w:tcW w:type="dxa" w:w="1152"/>
            <w:shd w:val="clear" w:color="auto" w:fill="D9E1F2"/>
          </w:tcPr>
          <w:p>
            <w:pPr>
              <w:spacing w:after="0" w:line="240" w:lineRule="auto"/>
            </w:pPr>
            <w:r>
              <w:rPr>
                <w:b w:val="0"/>
                <w:i w:val="0"/>
                <w:sz w:val="14"/>
              </w:rPr>
              <w:t>CF</w:t>
            </w:r>
          </w:p>
        </w:tc>
        <w:tc>
          <w:tcPr>
            <w:tcW w:type="dxa" w:w="4608"/>
            <w:shd w:val="clear" w:color="auto" w:fill="D9E1F2"/>
          </w:tcPr>
          <w:p>
            <w:pPr>
              <w:spacing w:after="0" w:line="240" w:lineRule="auto"/>
            </w:pPr>
            <w:r>
              <w:rPr>
                <w:b w:val="0"/>
                <w:i w:val="0"/>
                <w:sz w:val="14"/>
              </w:rPr>
              <w:t>FY2024 cash used for investing unreadable in statement; (21) from MD&amp;A overview p.361 and Summary p.285 (= capex 15 + acquisitions 6).</w:t>
            </w:r>
          </w:p>
        </w:tc>
        <w:tc>
          <w:tcPr>
            <w:tcW w:type="dxa" w:w="1584"/>
            <w:shd w:val="clear" w:color="auto" w:fill="D9E1F2"/>
          </w:tcPr>
          <w:p>
            <w:pPr>
              <w:spacing w:after="0" w:line="240" w:lineRule="auto"/>
            </w:pPr>
            <w:r>
              <w:rPr>
                <w:b w:val="0"/>
                <w:i w:val="0"/>
                <w:sz w:val="14"/>
              </w:rPr>
              <w:t>Form10A p.361</w:t>
            </w:r>
          </w:p>
        </w:tc>
        <w:tc>
          <w:tcPr>
            <w:tcW w:type="dxa" w:w="1584"/>
            <w:shd w:val="clear" w:color="auto" w:fill="D9E1F2"/>
          </w:tcPr>
          <w:p>
            <w:pPr>
              <w:spacing w:after="0" w:line="240" w:lineRule="auto"/>
            </w:pPr>
            <w:r>
              <w:rPr>
                <w:b w:val="0"/>
                <w:i w:val="0"/>
                <w:sz w:val="14"/>
              </w:rPr>
              <w:t>Logged fallback in canonical/primary_merge_log.txt</w:t>
            </w:r>
          </w:p>
        </w:tc>
      </w:tr>
      <w:tr>
        <w:trPr>
          <w:cantSplit/>
        </w:trPr>
        <w:tc>
          <w:tcPr>
            <w:tcW w:type="dxa" w:w="864"/>
          </w:tcPr>
          <w:p>
            <w:pPr>
              <w:spacing w:after="0" w:line="240" w:lineRule="auto"/>
            </w:pPr>
            <w:r>
              <w:rPr>
                <w:b w:val="0"/>
                <w:i w:val="0"/>
                <w:sz w:val="14"/>
              </w:rPr>
              <w:t>DATAQ</w:t>
            </w:r>
          </w:p>
        </w:tc>
        <w:tc>
          <w:tcPr>
            <w:tcW w:type="dxa" w:w="1152"/>
          </w:tcPr>
          <w:p>
            <w:pPr>
              <w:spacing w:after="0" w:line="240" w:lineRule="auto"/>
            </w:pPr>
            <w:r>
              <w:rPr>
                <w:b w:val="0"/>
                <w:i w:val="0"/>
                <w:sz w:val="14"/>
              </w:rPr>
              <w:t>CF</w:t>
            </w:r>
          </w:p>
        </w:tc>
        <w:tc>
          <w:tcPr>
            <w:tcW w:type="dxa" w:w="4608"/>
          </w:tcPr>
          <w:p>
            <w:pPr>
              <w:spacing w:after="0" w:line="240" w:lineRule="auto"/>
            </w:pPr>
            <w:r>
              <w:rPr>
                <w:b w:val="0"/>
                <w:i w:val="0"/>
                <w:sz w:val="14"/>
              </w:rPr>
              <w:t>Annual contingent consideration legible only FY2024 (5); FY2025/FY2023 implied (2) each by CFF tie — NOT recorded.</w:t>
            </w:r>
          </w:p>
        </w:tc>
        <w:tc>
          <w:tcPr>
            <w:tcW w:type="dxa" w:w="1584"/>
          </w:tcPr>
          <w:p>
            <w:pPr>
              <w:spacing w:after="0" w:line="240" w:lineRule="auto"/>
            </w:pPr>
            <w:r>
              <w:rPr>
                <w:b w:val="0"/>
                <w:i w:val="0"/>
                <w:sz w:val="14"/>
              </w:rPr>
              <w:t>Form10A p.443</w:t>
            </w:r>
          </w:p>
        </w:tc>
        <w:tc>
          <w:tcPr>
            <w:tcW w:type="dxa" w:w="1584"/>
          </w:tcPr>
          <w:p>
            <w:pPr>
              <w:spacing w:after="0" w:line="240" w:lineRule="auto"/>
            </w:pPr>
            <w:r>
              <w:rPr>
                <w:b w:val="0"/>
                <w:i w:val="0"/>
                <w:sz w:val="14"/>
              </w:rPr>
              <w:t>Blank</w:t>
            </w:r>
          </w:p>
        </w:tc>
      </w:tr>
      <w:tr>
        <w:trPr>
          <w:cantSplit/>
        </w:trPr>
        <w:tc>
          <w:tcPr>
            <w:tcW w:type="dxa" w:w="864"/>
            <w:shd w:val="clear" w:color="auto" w:fill="D9E1F2"/>
          </w:tcPr>
          <w:p>
            <w:pPr>
              <w:spacing w:after="0" w:line="240" w:lineRule="auto"/>
            </w:pPr>
            <w:r>
              <w:rPr>
                <w:b w:val="0"/>
                <w:i w:val="0"/>
                <w:sz w:val="14"/>
              </w:rPr>
              <w:t>NONDISC</w:t>
            </w:r>
          </w:p>
        </w:tc>
        <w:tc>
          <w:tcPr>
            <w:tcW w:type="dxa" w:w="1152"/>
            <w:shd w:val="clear" w:color="auto" w:fill="D9E1F2"/>
          </w:tcPr>
          <w:p>
            <w:pPr>
              <w:spacing w:after="0" w:line="240" w:lineRule="auto"/>
            </w:pPr>
            <w:r>
              <w:rPr>
                <w:b w:val="0"/>
                <w:i w:val="0"/>
                <w:sz w:val="14"/>
              </w:rPr>
              <w:t>CF</w:t>
            </w:r>
          </w:p>
        </w:tc>
        <w:tc>
          <w:tcPr>
            <w:tcW w:type="dxa" w:w="4608"/>
            <w:shd w:val="clear" w:color="auto" w:fill="D9E1F2"/>
          </w:tcPr>
          <w:p>
            <w:pPr>
              <w:spacing w:after="0" w:line="240" w:lineRule="auto"/>
            </w:pPr>
            <w:r>
              <w:rPr>
                <w:b w:val="0"/>
                <w:i w:val="0"/>
                <w:sz w:val="14"/>
              </w:rPr>
              <w:t>No standalone Q2 cash-flow statement (6M only); no 3/31/25 or 6/30/25 balance sheets; no FY2023 balance sheet.</w:t>
            </w:r>
          </w:p>
        </w:tc>
        <w:tc>
          <w:tcPr>
            <w:tcW w:type="dxa" w:w="1584"/>
            <w:shd w:val="clear" w:color="auto" w:fill="D9E1F2"/>
          </w:tcPr>
          <w:p>
            <w:pPr>
              <w:spacing w:after="0" w:line="240" w:lineRule="auto"/>
            </w:pPr>
            <w:r>
              <w:rPr>
                <w:b w:val="0"/>
                <w:i w:val="0"/>
                <w:sz w:val="14"/>
              </w:rPr>
              <w:t>10-Q; Form10A</w:t>
            </w:r>
          </w:p>
        </w:tc>
        <w:tc>
          <w:tcPr>
            <w:tcW w:type="dxa" w:w="1584"/>
            <w:shd w:val="clear" w:color="auto" w:fill="D9E1F2"/>
          </w:tcPr>
          <w:p>
            <w:pPr>
              <w:spacing w:after="0" w:line="240" w:lineRule="auto"/>
            </w:pPr>
            <w:r>
              <w:rPr>
                <w:b w:val="0"/>
                <w:i w:val="0"/>
                <w:sz w:val="14"/>
              </w:rPr>
              <w:t>Blank</w:t>
            </w:r>
          </w:p>
        </w:tc>
      </w:tr>
      <w:tr>
        <w:trPr>
          <w:cantSplit/>
        </w:trPr>
        <w:tc>
          <w:tcPr>
            <w:tcW w:type="dxa" w:w="864"/>
          </w:tcPr>
          <w:p>
            <w:pPr>
              <w:spacing w:after="0" w:line="240" w:lineRule="auto"/>
            </w:pPr>
            <w:r>
              <w:rPr>
                <w:b w:val="0"/>
                <w:i w:val="0"/>
                <w:sz w:val="14"/>
              </w:rPr>
              <w:t>DEFN</w:t>
            </w:r>
          </w:p>
        </w:tc>
        <w:tc>
          <w:tcPr>
            <w:tcW w:type="dxa" w:w="1152"/>
          </w:tcPr>
          <w:p>
            <w:pPr>
              <w:spacing w:after="0" w:line="240" w:lineRule="auto"/>
            </w:pPr>
            <w:r>
              <w:rPr>
                <w:b w:val="0"/>
                <w:i w:val="0"/>
                <w:sz w:val="14"/>
              </w:rPr>
              <w:t>CF</w:t>
            </w:r>
          </w:p>
        </w:tc>
        <w:tc>
          <w:tcPr>
            <w:tcW w:type="dxa" w:w="4608"/>
          </w:tcPr>
          <w:p>
            <w:pPr>
              <w:spacing w:after="0" w:line="240" w:lineRule="auto"/>
            </w:pPr>
            <w:r>
              <w:rPr>
                <w:b w:val="0"/>
                <w:i w:val="0"/>
                <w:sz w:val="14"/>
              </w:rPr>
              <w:t>8-K titles CF "Consolidated" (10-Q "Combined") and collapses working capital into one line (46)/(13).</w:t>
            </w:r>
          </w:p>
        </w:tc>
        <w:tc>
          <w:tcPr>
            <w:tcW w:type="dxa" w:w="1584"/>
          </w:tcPr>
          <w:p>
            <w:pPr>
              <w:spacing w:after="0" w:line="240" w:lineRule="auto"/>
            </w:pPr>
            <w:r>
              <w:rPr>
                <w:b w:val="0"/>
                <w:i w:val="0"/>
                <w:sz w:val="14"/>
              </w:rPr>
              <w:t>8-K p.7</w:t>
            </w:r>
          </w:p>
        </w:tc>
        <w:tc>
          <w:tcPr>
            <w:tcW w:type="dxa" w:w="1584"/>
          </w:tcPr>
          <w:p>
            <w:pPr>
              <w:spacing w:after="0" w:line="240" w:lineRule="auto"/>
            </w:pPr>
            <w:r>
              <w:rPr>
                <w:b w:val="0"/>
                <w:i w:val="0"/>
                <w:sz w:val="14"/>
              </w:rPr>
              <w:t>8-K used only as cross-check</w:t>
            </w:r>
          </w:p>
        </w:tc>
      </w:tr>
      <w:tr>
        <w:trPr>
          <w:cantSplit/>
        </w:trPr>
        <w:tc>
          <w:tcPr>
            <w:tcW w:type="dxa" w:w="864"/>
            <w:shd w:val="clear" w:color="auto" w:fill="D9E1F2"/>
          </w:tcPr>
          <w:p>
            <w:pPr>
              <w:spacing w:after="0" w:line="240" w:lineRule="auto"/>
            </w:pPr>
            <w:r>
              <w:rPr>
                <w:b w:val="0"/>
                <w:i w:val="0"/>
                <w:sz w:val="14"/>
              </w:rPr>
              <w:t>DEFN</w:t>
            </w:r>
          </w:p>
        </w:tc>
        <w:tc>
          <w:tcPr>
            <w:tcW w:type="dxa" w:w="1152"/>
            <w:shd w:val="clear" w:color="auto" w:fill="D9E1F2"/>
          </w:tcPr>
          <w:p>
            <w:pPr>
              <w:spacing w:after="0" w:line="240" w:lineRule="auto"/>
            </w:pPr>
            <w:r>
              <w:rPr>
                <w:b w:val="0"/>
                <w:i w:val="0"/>
                <w:sz w:val="14"/>
              </w:rPr>
              <w:t>Segments</w:t>
            </w:r>
          </w:p>
        </w:tc>
        <w:tc>
          <w:tcPr>
            <w:tcW w:type="dxa" w:w="4608"/>
            <w:shd w:val="clear" w:color="auto" w:fill="D9E1F2"/>
          </w:tcPr>
          <w:p>
            <w:pPr>
              <w:spacing w:after="0" w:line="240" w:lineRule="auto"/>
            </w:pPr>
            <w:r>
              <w:rPr>
                <w:b w:val="0"/>
                <w:i w:val="0"/>
                <w:sz w:val="14"/>
              </w:rPr>
              <w:t>Segment profit measure: segment operating profit (Form 10/A, ASU 2023-07 format) -&gt; Adjusted EBITDA from Q2-2026 (10-Q; prior periods recast by company). Segment expenses not comparable across the two.</w:t>
            </w:r>
          </w:p>
        </w:tc>
        <w:tc>
          <w:tcPr>
            <w:tcW w:type="dxa" w:w="1584"/>
            <w:shd w:val="clear" w:color="auto" w:fill="D9E1F2"/>
          </w:tcPr>
          <w:p>
            <w:pPr>
              <w:spacing w:after="0" w:line="240" w:lineRule="auto"/>
            </w:pPr>
            <w:r>
              <w:rPr>
                <w:b w:val="0"/>
                <w:i w:val="0"/>
                <w:sz w:val="14"/>
              </w:rPr>
              <w:t>Form10A p.347/461; 10-Q p.14</w:t>
            </w:r>
          </w:p>
        </w:tc>
        <w:tc>
          <w:tcPr>
            <w:tcW w:type="dxa" w:w="1584"/>
            <w:shd w:val="clear" w:color="auto" w:fill="D9E1F2"/>
          </w:tcPr>
          <w:p>
            <w:pPr>
              <w:spacing w:after="0" w:line="240" w:lineRule="auto"/>
            </w:pPr>
            <w:r>
              <w:rPr>
                <w:b w:val="0"/>
                <w:i w:val="0"/>
                <w:sz w:val="14"/>
              </w:rPr>
              <w:t>Separate sections on Segments tab; never merged</w:t>
            </w:r>
          </w:p>
        </w:tc>
      </w:tr>
      <w:tr>
        <w:trPr>
          <w:cantSplit/>
        </w:trPr>
        <w:tc>
          <w:tcPr>
            <w:tcW w:type="dxa" w:w="864"/>
          </w:tcPr>
          <w:p>
            <w:pPr>
              <w:spacing w:after="0" w:line="240" w:lineRule="auto"/>
            </w:pPr>
            <w:r>
              <w:rPr>
                <w:b w:val="0"/>
                <w:i w:val="0"/>
                <w:sz w:val="14"/>
              </w:rPr>
              <w:t>NONDISC</w:t>
            </w:r>
          </w:p>
        </w:tc>
        <w:tc>
          <w:tcPr>
            <w:tcW w:type="dxa" w:w="1152"/>
          </w:tcPr>
          <w:p>
            <w:pPr>
              <w:spacing w:after="0" w:line="240" w:lineRule="auto"/>
            </w:pPr>
            <w:r>
              <w:rPr>
                <w:b w:val="0"/>
                <w:i w:val="0"/>
                <w:sz w:val="14"/>
              </w:rPr>
              <w:t>Segments</w:t>
            </w:r>
          </w:p>
        </w:tc>
        <w:tc>
          <w:tcPr>
            <w:tcW w:type="dxa" w:w="4608"/>
          </w:tcPr>
          <w:p>
            <w:pPr>
              <w:spacing w:after="0" w:line="240" w:lineRule="auto"/>
            </w:pPr>
            <w:r>
              <w:rPr>
                <w:b w:val="0"/>
                <w:i w:val="0"/>
                <w:sz w:val="14"/>
              </w:rPr>
              <w:t>10-Q drops segment assets ("CODM does not use"); Form 10/A gave assets, D&amp;A and capex by segment.</w:t>
            </w:r>
          </w:p>
        </w:tc>
        <w:tc>
          <w:tcPr>
            <w:tcW w:type="dxa" w:w="1584"/>
          </w:tcPr>
          <w:p>
            <w:pPr>
              <w:spacing w:after="0" w:line="240" w:lineRule="auto"/>
            </w:pPr>
            <w:r>
              <w:rPr>
                <w:b w:val="0"/>
                <w:i w:val="0"/>
                <w:sz w:val="14"/>
              </w:rPr>
              <w:t>10-Q Note 7</w:t>
            </w:r>
          </w:p>
        </w:tc>
        <w:tc>
          <w:tcPr>
            <w:tcW w:type="dxa" w:w="1584"/>
          </w:tcPr>
          <w:p>
            <w:pPr>
              <w:spacing w:after="0" w:line="240" w:lineRule="auto"/>
            </w:pPr>
            <w:r>
              <w:rPr>
                <w:b w:val="0"/>
                <w:i w:val="0"/>
                <w:sz w:val="14"/>
              </w:rPr>
              <w:t>Flag for D4</w:t>
            </w:r>
          </w:p>
        </w:tc>
      </w:tr>
      <w:tr>
        <w:trPr>
          <w:cantSplit/>
        </w:trPr>
        <w:tc>
          <w:tcPr>
            <w:tcW w:type="dxa" w:w="864"/>
            <w:shd w:val="clear" w:color="auto" w:fill="D9E1F2"/>
          </w:tcPr>
          <w:p>
            <w:pPr>
              <w:spacing w:after="0" w:line="240" w:lineRule="auto"/>
            </w:pPr>
            <w:r>
              <w:rPr>
                <w:b w:val="0"/>
                <w:i w:val="0"/>
                <w:sz w:val="14"/>
              </w:rPr>
              <w:t>DEFN</w:t>
            </w:r>
          </w:p>
        </w:tc>
        <w:tc>
          <w:tcPr>
            <w:tcW w:type="dxa" w:w="1152"/>
            <w:shd w:val="clear" w:color="auto" w:fill="D9E1F2"/>
          </w:tcPr>
          <w:p>
            <w:pPr>
              <w:spacing w:after="0" w:line="240" w:lineRule="auto"/>
            </w:pPr>
            <w:r>
              <w:rPr>
                <w:b w:val="0"/>
                <w:i w:val="0"/>
                <w:sz w:val="14"/>
              </w:rPr>
              <w:t>Non-GAAP</w:t>
            </w:r>
          </w:p>
        </w:tc>
        <w:tc>
          <w:tcPr>
            <w:tcW w:type="dxa" w:w="4608"/>
            <w:shd w:val="clear" w:color="auto" w:fill="D9E1F2"/>
          </w:tcPr>
          <w:p>
            <w:pPr>
              <w:spacing w:after="0" w:line="240" w:lineRule="auto"/>
            </w:pPr>
            <w:r>
              <w:rPr>
                <w:b w:val="0"/>
                <w:i w:val="0"/>
                <w:sz w:val="14"/>
              </w:rPr>
              <w:t>Adjusted EBITDA: 10 exclusions (Form 10/10A) vs 6 (10-Q/8-K); Q2 slides still print the 10-item definition beside a 6-line reconciliation.</w:t>
            </w:r>
          </w:p>
        </w:tc>
        <w:tc>
          <w:tcPr>
            <w:tcW w:type="dxa" w:w="1584"/>
            <w:shd w:val="clear" w:color="auto" w:fill="D9E1F2"/>
          </w:tcPr>
          <w:p>
            <w:pPr>
              <w:spacing w:after="0" w:line="240" w:lineRule="auto"/>
            </w:pPr>
            <w:r>
              <w:rPr>
                <w:b w:val="0"/>
                <w:i w:val="0"/>
                <w:sz w:val="14"/>
              </w:rPr>
              <w:t>segments_kpi_NOTES.md</w:t>
            </w:r>
          </w:p>
        </w:tc>
        <w:tc>
          <w:tcPr>
            <w:tcW w:type="dxa" w:w="1584"/>
            <w:shd w:val="clear" w:color="auto" w:fill="D9E1F2"/>
          </w:tcPr>
          <w:p>
            <w:pPr>
              <w:spacing w:after="0" w:line="240" w:lineRule="auto"/>
            </w:pPr>
            <w:r>
              <w:rPr>
                <w:b w:val="0"/>
                <w:i w:val="0"/>
                <w:sz w:val="14"/>
              </w:rPr>
              <w:t>Both definitions recorded verbatim; flag for D4</w:t>
            </w:r>
          </w:p>
        </w:tc>
      </w:tr>
      <w:tr>
        <w:trPr>
          <w:cantSplit/>
        </w:trPr>
        <w:tc>
          <w:tcPr>
            <w:tcW w:type="dxa" w:w="864"/>
          </w:tcPr>
          <w:p>
            <w:pPr>
              <w:spacing w:after="0" w:line="240" w:lineRule="auto"/>
            </w:pPr>
            <w:r>
              <w:rPr>
                <w:b w:val="0"/>
                <w:i w:val="0"/>
                <w:sz w:val="14"/>
              </w:rPr>
              <w:t>DATAQ</w:t>
            </w:r>
          </w:p>
        </w:tc>
        <w:tc>
          <w:tcPr>
            <w:tcW w:type="dxa" w:w="1152"/>
          </w:tcPr>
          <w:p>
            <w:pPr>
              <w:spacing w:after="0" w:line="240" w:lineRule="auto"/>
            </w:pPr>
            <w:r>
              <w:rPr>
                <w:b w:val="0"/>
                <w:i w:val="0"/>
                <w:sz w:val="14"/>
              </w:rPr>
              <w:t>Non-GAAP</w:t>
            </w:r>
          </w:p>
        </w:tc>
        <w:tc>
          <w:tcPr>
            <w:tcW w:type="dxa" w:w="4608"/>
          </w:tcPr>
          <w:p>
            <w:pPr>
              <w:spacing w:after="0" w:line="240" w:lineRule="auto"/>
            </w:pPr>
            <w:r>
              <w:rPr>
                <w:b w:val="0"/>
                <w:i w:val="0"/>
                <w:sz w:val="14"/>
              </w:rPr>
              <w:t>Form 10/A segment Adjusted EBITDA cross-foot differences: FY2024 659 vs 658 printed; FY2023 597 vs 598.</w:t>
            </w:r>
          </w:p>
        </w:tc>
        <w:tc>
          <w:tcPr>
            <w:tcW w:type="dxa" w:w="1584"/>
          </w:tcPr>
          <w:p>
            <w:pPr>
              <w:spacing w:after="0" w:line="240" w:lineRule="auto"/>
            </w:pPr>
            <w:r>
              <w:rPr>
                <w:b w:val="0"/>
                <w:i w:val="0"/>
                <w:sz w:val="14"/>
              </w:rPr>
              <w:t>Form10A pp.359-360</w:t>
            </w:r>
          </w:p>
        </w:tc>
        <w:tc>
          <w:tcPr>
            <w:tcW w:type="dxa" w:w="1584"/>
          </w:tcPr>
          <w:p>
            <w:pPr>
              <w:spacing w:after="0" w:line="240" w:lineRule="auto"/>
            </w:pPr>
            <w:r>
              <w:rPr>
                <w:b w:val="0"/>
                <w:i w:val="0"/>
                <w:sz w:val="14"/>
              </w:rPr>
              <w:t>Recorded as printed, not fixed</w:t>
            </w:r>
          </w:p>
        </w:tc>
      </w:tr>
      <w:tr>
        <w:trPr>
          <w:cantSplit/>
        </w:trPr>
        <w:tc>
          <w:tcPr>
            <w:tcW w:type="dxa" w:w="864"/>
            <w:shd w:val="clear" w:color="auto" w:fill="D9E1F2"/>
          </w:tcPr>
          <w:p>
            <w:pPr>
              <w:spacing w:after="0" w:line="240" w:lineRule="auto"/>
            </w:pPr>
            <w:r>
              <w:rPr>
                <w:b w:val="0"/>
                <w:i w:val="0"/>
                <w:sz w:val="14"/>
              </w:rPr>
              <w:t>DATAQ</w:t>
            </w:r>
          </w:p>
        </w:tc>
        <w:tc>
          <w:tcPr>
            <w:tcW w:type="dxa" w:w="1152"/>
            <w:shd w:val="clear" w:color="auto" w:fill="D9E1F2"/>
          </w:tcPr>
          <w:p>
            <w:pPr>
              <w:spacing w:after="0" w:line="240" w:lineRule="auto"/>
            </w:pPr>
            <w:r>
              <w:rPr>
                <w:b w:val="0"/>
                <w:i w:val="0"/>
                <w:sz w:val="14"/>
              </w:rPr>
              <w:t>Non-GAAP</w:t>
            </w:r>
          </w:p>
        </w:tc>
        <w:tc>
          <w:tcPr>
            <w:tcW w:type="dxa" w:w="4608"/>
            <w:shd w:val="clear" w:color="auto" w:fill="D9E1F2"/>
          </w:tcPr>
          <w:p>
            <w:pPr>
              <w:spacing w:after="0" w:line="240" w:lineRule="auto"/>
            </w:pPr>
            <w:r>
              <w:rPr>
                <w:b w:val="0"/>
                <w:i w:val="0"/>
                <w:sz w:val="14"/>
              </w:rPr>
              <w:t>8-K Exhibit 5 add-back lines corrupted; Exhibit 4 Q2-26 block corrupted (values accepted only where they foot both ways). 8-K D&amp;A split Q2-25 CARFAX 49/B2B 28 vs 10-Q 50/27.</w:t>
            </w:r>
          </w:p>
        </w:tc>
        <w:tc>
          <w:tcPr>
            <w:tcW w:type="dxa" w:w="1584"/>
            <w:shd w:val="clear" w:color="auto" w:fill="D9E1F2"/>
          </w:tcPr>
          <w:p>
            <w:pPr>
              <w:spacing w:after="0" w:line="240" w:lineRule="auto"/>
            </w:pPr>
            <w:r>
              <w:rPr>
                <w:b w:val="0"/>
                <w:i w:val="0"/>
                <w:sz w:val="14"/>
              </w:rPr>
              <w:t>8-K pp.8-10</w:t>
            </w:r>
          </w:p>
        </w:tc>
        <w:tc>
          <w:tcPr>
            <w:tcW w:type="dxa" w:w="1584"/>
            <w:shd w:val="clear" w:color="auto" w:fill="D9E1F2"/>
          </w:tcPr>
          <w:p>
            <w:pPr>
              <w:spacing w:after="0" w:line="240" w:lineRule="auto"/>
            </w:pPr>
            <w:r>
              <w:rPr>
                <w:b w:val="0"/>
                <w:i w:val="0"/>
                <w:sz w:val="14"/>
              </w:rPr>
              <w:t>10-Q used as primary</w:t>
            </w:r>
          </w:p>
        </w:tc>
      </w:tr>
      <w:tr>
        <w:trPr>
          <w:cantSplit/>
        </w:trPr>
        <w:tc>
          <w:tcPr>
            <w:tcW w:type="dxa" w:w="864"/>
          </w:tcPr>
          <w:p>
            <w:pPr>
              <w:spacing w:after="0" w:line="240" w:lineRule="auto"/>
            </w:pPr>
            <w:r>
              <w:rPr>
                <w:b w:val="0"/>
                <w:i w:val="0"/>
                <w:sz w:val="14"/>
              </w:rPr>
              <w:t>DATAQ</w:t>
            </w:r>
          </w:p>
        </w:tc>
        <w:tc>
          <w:tcPr>
            <w:tcW w:type="dxa" w:w="1152"/>
          </w:tcPr>
          <w:p>
            <w:pPr>
              <w:spacing w:after="0" w:line="240" w:lineRule="auto"/>
            </w:pPr>
            <w:r>
              <w:rPr>
                <w:b w:val="0"/>
                <w:i w:val="0"/>
                <w:sz w:val="14"/>
              </w:rPr>
              <w:t>Presentation</w:t>
            </w:r>
          </w:p>
        </w:tc>
        <w:tc>
          <w:tcPr>
            <w:tcW w:type="dxa" w:w="4608"/>
          </w:tcPr>
          <w:p>
            <w:pPr>
              <w:spacing w:after="0" w:line="240" w:lineRule="auto"/>
            </w:pPr>
            <w:r>
              <w:rPr>
                <w:b w:val="0"/>
                <w:i w:val="0"/>
                <w:sz w:val="14"/>
              </w:rPr>
              <w:t>Q2 slides p.13: 6M-2025 SBC printed 6 vs 9 in 10-Q/CF; column foots to 354 vs printed 357. Investor Day Q2-2025 Adj. EBITDA 186 vs 188 in Q2 deck/10-Q.</w:t>
            </w:r>
          </w:p>
        </w:tc>
        <w:tc>
          <w:tcPr>
            <w:tcW w:type="dxa" w:w="1584"/>
          </w:tcPr>
          <w:p>
            <w:pPr>
              <w:spacing w:after="0" w:line="240" w:lineRule="auto"/>
            </w:pPr>
            <w:r>
              <w:rPr>
                <w:b w:val="0"/>
                <w:i w:val="0"/>
                <w:sz w:val="14"/>
              </w:rPr>
              <w:t>Slides</w:t>
            </w:r>
          </w:p>
        </w:tc>
        <w:tc>
          <w:tcPr>
            <w:tcW w:type="dxa" w:w="1584"/>
          </w:tcPr>
          <w:p>
            <w:pPr>
              <w:spacing w:after="0" w:line="240" w:lineRule="auto"/>
            </w:pPr>
            <w:r>
              <w:rPr>
                <w:b w:val="0"/>
                <w:i w:val="0"/>
                <w:sz w:val="14"/>
              </w:rPr>
              <w:t>Recorded as printed; flag</w:t>
            </w:r>
          </w:p>
        </w:tc>
      </w:tr>
      <w:tr>
        <w:trPr>
          <w:cantSplit/>
        </w:trPr>
        <w:tc>
          <w:tcPr>
            <w:tcW w:type="dxa" w:w="864"/>
            <w:shd w:val="clear" w:color="auto" w:fill="D9E1F2"/>
          </w:tcPr>
          <w:p>
            <w:pPr>
              <w:spacing w:after="0" w:line="240" w:lineRule="auto"/>
            </w:pPr>
            <w:r>
              <w:rPr>
                <w:b w:val="0"/>
                <w:i w:val="0"/>
                <w:sz w:val="14"/>
              </w:rPr>
              <w:t>NONDISC</w:t>
            </w:r>
          </w:p>
        </w:tc>
        <w:tc>
          <w:tcPr>
            <w:tcW w:type="dxa" w:w="1152"/>
            <w:shd w:val="clear" w:color="auto" w:fill="D9E1F2"/>
          </w:tcPr>
          <w:p>
            <w:pPr>
              <w:spacing w:after="0" w:line="240" w:lineRule="auto"/>
            </w:pPr>
            <w:r>
              <w:rPr>
                <w:b w:val="0"/>
                <w:i w:val="0"/>
                <w:sz w:val="14"/>
              </w:rPr>
              <w:t>Revenue</w:t>
            </w:r>
          </w:p>
        </w:tc>
        <w:tc>
          <w:tcPr>
            <w:tcW w:type="dxa" w:w="4608"/>
            <w:shd w:val="clear" w:color="auto" w:fill="D9E1F2"/>
          </w:tcPr>
          <w:p>
            <w:pPr>
              <w:spacing w:after="0" w:line="240" w:lineRule="auto"/>
            </w:pPr>
            <w:r>
              <w:rPr>
                <w:b w:val="0"/>
                <w:i w:val="0"/>
                <w:sz w:val="14"/>
              </w:rPr>
              <w:t>No revenue by brand/product (CARFAX lines, automotiveMastermind, Polk, Market Scan) or by B2B business line; no organic/constant-currency growth (FX effect only); geography U.S./International only.</w:t>
            </w:r>
          </w:p>
        </w:tc>
        <w:tc>
          <w:tcPr>
            <w:tcW w:type="dxa" w:w="1584"/>
            <w:shd w:val="clear" w:color="auto" w:fill="D9E1F2"/>
          </w:tcPr>
          <w:p>
            <w:pPr>
              <w:spacing w:after="0" w:line="240" w:lineRule="auto"/>
            </w:pPr>
            <w:r>
              <w:rPr>
                <w:b w:val="0"/>
                <w:i w:val="0"/>
                <w:sz w:val="14"/>
              </w:rPr>
              <w:t>segments_kpi_NOTES.md</w:t>
            </w:r>
          </w:p>
        </w:tc>
        <w:tc>
          <w:tcPr>
            <w:tcW w:type="dxa" w:w="1584"/>
            <w:shd w:val="clear" w:color="auto" w:fill="D9E1F2"/>
          </w:tcPr>
          <w:p>
            <w:pPr>
              <w:spacing w:after="0" w:line="240" w:lineRule="auto"/>
            </w:pPr>
            <w:r>
              <w:rPr>
                <w:b w:val="0"/>
                <w:i w:val="0"/>
                <w:sz w:val="14"/>
              </w:rPr>
              <w:t>—</w:t>
            </w:r>
          </w:p>
        </w:tc>
      </w:tr>
      <w:tr>
        <w:trPr>
          <w:cantSplit/>
        </w:trPr>
        <w:tc>
          <w:tcPr>
            <w:tcW w:type="dxa" w:w="864"/>
          </w:tcPr>
          <w:p>
            <w:pPr>
              <w:spacing w:after="0" w:line="240" w:lineRule="auto"/>
            </w:pPr>
            <w:r>
              <w:rPr>
                <w:b w:val="0"/>
                <w:i w:val="0"/>
                <w:sz w:val="14"/>
              </w:rPr>
              <w:t>NONDISC</w:t>
            </w:r>
          </w:p>
        </w:tc>
        <w:tc>
          <w:tcPr>
            <w:tcW w:type="dxa" w:w="1152"/>
          </w:tcPr>
          <w:p>
            <w:pPr>
              <w:spacing w:after="0" w:line="240" w:lineRule="auto"/>
            </w:pPr>
            <w:r>
              <w:rPr>
                <w:b w:val="0"/>
                <w:i w:val="0"/>
                <w:sz w:val="14"/>
              </w:rPr>
              <w:t>KPIs</w:t>
            </w:r>
          </w:p>
        </w:tc>
        <w:tc>
          <w:tcPr>
            <w:tcW w:type="dxa" w:w="4608"/>
          </w:tcPr>
          <w:p>
            <w:pPr>
              <w:spacing w:after="0" w:line="240" w:lineRule="auto"/>
            </w:pPr>
            <w:r>
              <w:rPr>
                <w:b w:val="0"/>
                <w:i w:val="0"/>
                <w:sz w:val="14"/>
              </w:rPr>
              <w:t>No retention/NRR, ACV, ARR, ARPU/price per rooftop, churn, dealer location counts by product.</w:t>
            </w:r>
          </w:p>
        </w:tc>
        <w:tc>
          <w:tcPr>
            <w:tcW w:type="dxa" w:w="1584"/>
          </w:tcPr>
          <w:p>
            <w:pPr>
              <w:spacing w:after="0" w:line="240" w:lineRule="auto"/>
            </w:pPr>
            <w:r>
              <w:rPr>
                <w:b w:val="0"/>
                <w:i w:val="0"/>
                <w:sz w:val="14"/>
              </w:rPr>
              <w:t>segments_kpi_NOTES.md; presentations_NOTES.md</w:t>
            </w:r>
          </w:p>
        </w:tc>
        <w:tc>
          <w:tcPr>
            <w:tcW w:type="dxa" w:w="1584"/>
          </w:tcPr>
          <w:p>
            <w:pPr>
              <w:spacing w:after="0" w:line="240" w:lineRule="auto"/>
            </w:pPr>
            <w:r>
              <w:rPr>
                <w:b w:val="0"/>
                <w:i w:val="0"/>
                <w:sz w:val="14"/>
              </w:rPr>
              <w:t>—</w:t>
            </w:r>
          </w:p>
        </w:tc>
      </w:tr>
      <w:tr>
        <w:trPr>
          <w:cantSplit/>
        </w:trPr>
        <w:tc>
          <w:tcPr>
            <w:tcW w:type="dxa" w:w="864"/>
            <w:shd w:val="clear" w:color="auto" w:fill="D9E1F2"/>
          </w:tcPr>
          <w:p>
            <w:pPr>
              <w:spacing w:after="0" w:line="240" w:lineRule="auto"/>
            </w:pPr>
            <w:r>
              <w:rPr>
                <w:b w:val="0"/>
                <w:i w:val="0"/>
                <w:sz w:val="14"/>
              </w:rPr>
              <w:t>DATAQ</w:t>
            </w:r>
          </w:p>
        </w:tc>
        <w:tc>
          <w:tcPr>
            <w:tcW w:type="dxa" w:w="1152"/>
            <w:shd w:val="clear" w:color="auto" w:fill="D9E1F2"/>
          </w:tcPr>
          <w:p>
            <w:pPr>
              <w:spacing w:after="0" w:line="240" w:lineRule="auto"/>
            </w:pPr>
            <w:r>
              <w:rPr>
                <w:b w:val="0"/>
                <w:i w:val="0"/>
                <w:sz w:val="14"/>
              </w:rPr>
              <w:t>Tax</w:t>
            </w:r>
          </w:p>
        </w:tc>
        <w:tc>
          <w:tcPr>
            <w:tcW w:type="dxa" w:w="4608"/>
            <w:shd w:val="clear" w:color="auto" w:fill="D9E1F2"/>
          </w:tcPr>
          <w:p>
            <w:pPr>
              <w:spacing w:after="0" w:line="240" w:lineRule="auto"/>
            </w:pPr>
            <w:r>
              <w:rPr>
                <w:b w:val="0"/>
                <w:i w:val="0"/>
                <w:sz w:val="14"/>
              </w:rPr>
              <w:t>Tax provision 2024/2023 foreign &amp; state current/deferred split unreadable (Form 10 and 10/A identical text); ETR 2025 amounts for two lines illegible (percent only); valuation allowance from Schedule II.</w:t>
            </w:r>
          </w:p>
        </w:tc>
        <w:tc>
          <w:tcPr>
            <w:tcW w:type="dxa" w:w="1584"/>
            <w:shd w:val="clear" w:color="auto" w:fill="D9E1F2"/>
          </w:tcPr>
          <w:p>
            <w:pPr>
              <w:spacing w:after="0" w:line="240" w:lineRule="auto"/>
            </w:pPr>
            <w:r>
              <w:rPr>
                <w:b w:val="0"/>
                <w:i w:val="0"/>
                <w:sz w:val="14"/>
              </w:rPr>
              <w:t>Form10A pp.455-458, 468</w:t>
            </w:r>
          </w:p>
        </w:tc>
        <w:tc>
          <w:tcPr>
            <w:tcW w:type="dxa" w:w="1584"/>
            <w:shd w:val="clear" w:color="auto" w:fill="D9E1F2"/>
          </w:tcPr>
          <w:p>
            <w:pPr>
              <w:spacing w:after="0" w:line="240" w:lineRule="auto"/>
            </w:pPr>
            <w:r>
              <w:rPr>
                <w:b w:val="0"/>
                <w:i w:val="0"/>
                <w:sz w:val="14"/>
              </w:rPr>
              <w:t>Partial rows only</w:t>
            </w:r>
          </w:p>
        </w:tc>
      </w:tr>
      <w:tr>
        <w:trPr>
          <w:cantSplit/>
        </w:trPr>
        <w:tc>
          <w:tcPr>
            <w:tcW w:type="dxa" w:w="864"/>
          </w:tcPr>
          <w:p>
            <w:pPr>
              <w:spacing w:after="0" w:line="240" w:lineRule="auto"/>
            </w:pPr>
            <w:r>
              <w:rPr>
                <w:b w:val="0"/>
                <w:i w:val="0"/>
                <w:sz w:val="14"/>
              </w:rPr>
              <w:t>DATAQ</w:t>
            </w:r>
          </w:p>
        </w:tc>
        <w:tc>
          <w:tcPr>
            <w:tcW w:type="dxa" w:w="1152"/>
          </w:tcPr>
          <w:p>
            <w:pPr>
              <w:spacing w:after="0" w:line="240" w:lineRule="auto"/>
            </w:pPr>
            <w:r>
              <w:rPr>
                <w:b w:val="0"/>
                <w:i w:val="0"/>
                <w:sz w:val="14"/>
              </w:rPr>
              <w:t>Tax</w:t>
            </w:r>
          </w:p>
        </w:tc>
        <w:tc>
          <w:tcPr>
            <w:tcW w:type="dxa" w:w="4608"/>
          </w:tcPr>
          <w:p>
            <w:pPr>
              <w:spacing w:after="0" w:line="240" w:lineRule="auto"/>
            </w:pPr>
            <w:r>
              <w:rPr>
                <w:b w:val="0"/>
                <w:i w:val="0"/>
                <w:sz w:val="14"/>
              </w:rPr>
              <w:t>Uncertain tax positions 2025 roll-forward does not foot from printed tokens.</w:t>
            </w:r>
          </w:p>
        </w:tc>
        <w:tc>
          <w:tcPr>
            <w:tcW w:type="dxa" w:w="1584"/>
          </w:tcPr>
          <w:p>
            <w:pPr>
              <w:spacing w:after="0" w:line="240" w:lineRule="auto"/>
            </w:pPr>
            <w:r>
              <w:rPr>
                <w:b w:val="0"/>
                <w:i w:val="0"/>
                <w:sz w:val="14"/>
              </w:rPr>
              <w:t>Form10A p.458</w:t>
            </w:r>
          </w:p>
        </w:tc>
        <w:tc>
          <w:tcPr>
            <w:tcW w:type="dxa" w:w="1584"/>
          </w:tcPr>
          <w:p>
            <w:pPr>
              <w:spacing w:after="0" w:line="240" w:lineRule="auto"/>
            </w:pPr>
            <w:r>
              <w:rPr>
                <w:b w:val="0"/>
                <w:i w:val="0"/>
                <w:sz w:val="14"/>
              </w:rPr>
              <w:t>Recorded as printed</w:t>
            </w:r>
          </w:p>
        </w:tc>
      </w:tr>
      <w:tr>
        <w:trPr>
          <w:cantSplit/>
        </w:trPr>
        <w:tc>
          <w:tcPr>
            <w:tcW w:type="dxa" w:w="864"/>
            <w:shd w:val="clear" w:color="auto" w:fill="D9E1F2"/>
          </w:tcPr>
          <w:p>
            <w:pPr>
              <w:spacing w:after="0" w:line="240" w:lineRule="auto"/>
            </w:pPr>
            <w:r>
              <w:rPr>
                <w:b w:val="0"/>
                <w:i w:val="0"/>
                <w:sz w:val="14"/>
              </w:rPr>
              <w:t>DATAQ</w:t>
            </w:r>
          </w:p>
        </w:tc>
        <w:tc>
          <w:tcPr>
            <w:tcW w:type="dxa" w:w="1152"/>
            <w:shd w:val="clear" w:color="auto" w:fill="D9E1F2"/>
          </w:tcPr>
          <w:p>
            <w:pPr>
              <w:spacing w:after="0" w:line="240" w:lineRule="auto"/>
            </w:pPr>
            <w:r>
              <w:rPr>
                <w:b w:val="0"/>
                <w:i w:val="0"/>
                <w:sz w:val="14"/>
              </w:rPr>
              <w:t>Leases</w:t>
            </w:r>
          </w:p>
        </w:tc>
        <w:tc>
          <w:tcPr>
            <w:tcW w:type="dxa" w:w="4608"/>
            <w:shd w:val="clear" w:color="auto" w:fill="D9E1F2"/>
          </w:tcPr>
          <w:p>
            <w:pPr>
              <w:spacing w:after="0" w:line="240" w:lineRule="auto"/>
            </w:pPr>
            <w:r>
              <w:rPr>
                <w:b w:val="0"/>
                <w:i w:val="0"/>
                <w:sz w:val="14"/>
              </w:rPr>
              <w:t>Annual lease maturity table corrupted; only 2026 = 7 and PV = 18 recorded.</w:t>
            </w:r>
          </w:p>
        </w:tc>
        <w:tc>
          <w:tcPr>
            <w:tcW w:type="dxa" w:w="1584"/>
            <w:shd w:val="clear" w:color="auto" w:fill="D9E1F2"/>
          </w:tcPr>
          <w:p>
            <w:pPr>
              <w:spacing w:after="0" w:line="240" w:lineRule="auto"/>
            </w:pPr>
            <w:r>
              <w:rPr>
                <w:b w:val="0"/>
                <w:i w:val="0"/>
                <w:sz w:val="14"/>
              </w:rPr>
              <w:t>Form10A p.464</w:t>
            </w:r>
          </w:p>
        </w:tc>
        <w:tc>
          <w:tcPr>
            <w:tcW w:type="dxa" w:w="1584"/>
            <w:shd w:val="clear" w:color="auto" w:fill="D9E1F2"/>
          </w:tcPr>
          <w:p>
            <w:pPr>
              <w:spacing w:after="0" w:line="240" w:lineRule="auto"/>
            </w:pPr>
            <w:r>
              <w:rPr>
                <w:b w:val="0"/>
                <w:i w:val="0"/>
                <w:sz w:val="14"/>
              </w:rPr>
              <w:t>Partial</w:t>
            </w:r>
          </w:p>
        </w:tc>
      </w:tr>
      <w:tr>
        <w:trPr>
          <w:cantSplit/>
        </w:trPr>
        <w:tc>
          <w:tcPr>
            <w:tcW w:type="dxa" w:w="864"/>
          </w:tcPr>
          <w:p>
            <w:pPr>
              <w:spacing w:after="0" w:line="240" w:lineRule="auto"/>
            </w:pPr>
            <w:r>
              <w:rPr>
                <w:b w:val="0"/>
                <w:i w:val="0"/>
                <w:sz w:val="14"/>
              </w:rPr>
              <w:t>DATAQ</w:t>
            </w:r>
          </w:p>
        </w:tc>
        <w:tc>
          <w:tcPr>
            <w:tcW w:type="dxa" w:w="1152"/>
          </w:tcPr>
          <w:p>
            <w:pPr>
              <w:spacing w:after="0" w:line="240" w:lineRule="auto"/>
            </w:pPr>
            <w:r>
              <w:rPr>
                <w:b w:val="0"/>
                <w:i w:val="0"/>
                <w:sz w:val="14"/>
              </w:rPr>
              <w:t>Acquisitions</w:t>
            </w:r>
          </w:p>
        </w:tc>
        <w:tc>
          <w:tcPr>
            <w:tcW w:type="dxa" w:w="4608"/>
          </w:tcPr>
          <w:p>
            <w:pPr>
              <w:spacing w:after="0" w:line="240" w:lineRule="auto"/>
            </w:pPr>
            <w:r>
              <w:rPr>
                <w:b w:val="0"/>
                <w:i w:val="0"/>
                <w:sz w:val="14"/>
              </w:rPr>
              <w:t>Market Scan PPA liabilities sum 59 vs printed total 39 ("Unearned revenue 22" likely a corrupted 2; net assets 214 ties to cash consideration).</w:t>
            </w:r>
          </w:p>
        </w:tc>
        <w:tc>
          <w:tcPr>
            <w:tcW w:type="dxa" w:w="1584"/>
          </w:tcPr>
          <w:p>
            <w:pPr>
              <w:spacing w:after="0" w:line="240" w:lineRule="auto"/>
            </w:pPr>
            <w:r>
              <w:rPr>
                <w:b w:val="0"/>
                <w:i w:val="0"/>
                <w:sz w:val="14"/>
              </w:rPr>
              <w:t>Form10A acquisitions note</w:t>
            </w:r>
          </w:p>
        </w:tc>
        <w:tc>
          <w:tcPr>
            <w:tcW w:type="dxa" w:w="1584"/>
          </w:tcPr>
          <w:p>
            <w:pPr>
              <w:spacing w:after="0" w:line="240" w:lineRule="auto"/>
            </w:pPr>
            <w:r>
              <w:rPr>
                <w:b w:val="0"/>
                <w:i w:val="0"/>
                <w:sz w:val="14"/>
              </w:rPr>
              <w:t>Recorded as printed</w:t>
            </w:r>
          </w:p>
        </w:tc>
      </w:tr>
      <w:tr>
        <w:trPr>
          <w:cantSplit/>
        </w:trPr>
        <w:tc>
          <w:tcPr>
            <w:tcW w:type="dxa" w:w="864"/>
            <w:shd w:val="clear" w:color="auto" w:fill="D9E1F2"/>
          </w:tcPr>
          <w:p>
            <w:pPr>
              <w:spacing w:after="0" w:line="240" w:lineRule="auto"/>
            </w:pPr>
            <w:r>
              <w:rPr>
                <w:b w:val="0"/>
                <w:i w:val="0"/>
                <w:sz w:val="14"/>
              </w:rPr>
              <w:t>DATAQ</w:t>
            </w:r>
          </w:p>
        </w:tc>
        <w:tc>
          <w:tcPr>
            <w:tcW w:type="dxa" w:w="1152"/>
            <w:shd w:val="clear" w:color="auto" w:fill="D9E1F2"/>
          </w:tcPr>
          <w:p>
            <w:pPr>
              <w:spacing w:after="0" w:line="240" w:lineRule="auto"/>
            </w:pPr>
            <w:r>
              <w:rPr>
                <w:b w:val="0"/>
                <w:i w:val="0"/>
                <w:sz w:val="14"/>
              </w:rPr>
              <w:t>Pension</w:t>
            </w:r>
          </w:p>
        </w:tc>
        <w:tc>
          <w:tcPr>
            <w:tcW w:type="dxa" w:w="4608"/>
            <w:shd w:val="clear" w:color="auto" w:fill="D9E1F2"/>
          </w:tcPr>
          <w:p>
            <w:pPr>
              <w:spacing w:after="0" w:line="240" w:lineRule="auto"/>
            </w:pPr>
            <w:r>
              <w:rPr>
                <w:b w:val="0"/>
                <w:i w:val="0"/>
                <w:sz w:val="14"/>
              </w:rPr>
              <w:t>6M-2025 401(k) expense printed 12 vs Q1 7 + Q2 6 = 13.</w:t>
            </w:r>
          </w:p>
        </w:tc>
        <w:tc>
          <w:tcPr>
            <w:tcW w:type="dxa" w:w="1584"/>
            <w:shd w:val="clear" w:color="auto" w:fill="D9E1F2"/>
          </w:tcPr>
          <w:p>
            <w:pPr>
              <w:spacing w:after="0" w:line="240" w:lineRule="auto"/>
            </w:pPr>
            <w:r>
              <w:rPr>
                <w:b w:val="0"/>
                <w:i w:val="0"/>
                <w:sz w:val="14"/>
              </w:rPr>
              <w:t>10-Q</w:t>
            </w:r>
          </w:p>
        </w:tc>
        <w:tc>
          <w:tcPr>
            <w:tcW w:type="dxa" w:w="1584"/>
            <w:shd w:val="clear" w:color="auto" w:fill="D9E1F2"/>
          </w:tcPr>
          <w:p>
            <w:pPr>
              <w:spacing w:after="0" w:line="240" w:lineRule="auto"/>
            </w:pPr>
            <w:r>
              <w:rPr>
                <w:b w:val="0"/>
                <w:i w:val="0"/>
                <w:sz w:val="14"/>
              </w:rPr>
              <w:t>Recorded as printed</w:t>
            </w:r>
          </w:p>
        </w:tc>
      </w:tr>
      <w:tr>
        <w:trPr>
          <w:cantSplit/>
        </w:trPr>
        <w:tc>
          <w:tcPr>
            <w:tcW w:type="dxa" w:w="864"/>
          </w:tcPr>
          <w:p>
            <w:pPr>
              <w:spacing w:after="0" w:line="240" w:lineRule="auto"/>
            </w:pPr>
            <w:r>
              <w:rPr>
                <w:b w:val="0"/>
                <w:i w:val="0"/>
                <w:sz w:val="14"/>
              </w:rPr>
              <w:t>NONDISC</w:t>
            </w:r>
          </w:p>
        </w:tc>
        <w:tc>
          <w:tcPr>
            <w:tcW w:type="dxa" w:w="1152"/>
          </w:tcPr>
          <w:p>
            <w:pPr>
              <w:spacing w:after="0" w:line="240" w:lineRule="auto"/>
            </w:pPr>
            <w:r>
              <w:rPr>
                <w:b w:val="0"/>
                <w:i w:val="0"/>
                <w:sz w:val="14"/>
              </w:rPr>
              <w:t>Pension / OCI</w:t>
            </w:r>
          </w:p>
        </w:tc>
        <w:tc>
          <w:tcPr>
            <w:tcW w:type="dxa" w:w="4608"/>
          </w:tcPr>
          <w:p>
            <w:pPr>
              <w:spacing w:after="0" w:line="240" w:lineRule="auto"/>
            </w:pPr>
            <w:r>
              <w:rPr>
                <w:b w:val="0"/>
                <w:i w:val="0"/>
                <w:sz w:val="14"/>
              </w:rPr>
              <w:t>No defined-benefit pension/OPEB; OCI = FX translation only; no reclassifications.</w:t>
            </w:r>
          </w:p>
        </w:tc>
        <w:tc>
          <w:tcPr>
            <w:tcW w:type="dxa" w:w="1584"/>
          </w:tcPr>
          <w:p>
            <w:pPr>
              <w:spacing w:after="0" w:line="240" w:lineRule="auto"/>
            </w:pPr>
            <w:r>
              <w:rPr>
                <w:b w:val="0"/>
                <w:i w:val="0"/>
                <w:sz w:val="14"/>
              </w:rPr>
              <w:t>Form10A notes</w:t>
            </w:r>
          </w:p>
        </w:tc>
        <w:tc>
          <w:tcPr>
            <w:tcW w:type="dxa" w:w="1584"/>
          </w:tcPr>
          <w:p>
            <w:pPr>
              <w:spacing w:after="0" w:line="240" w:lineRule="auto"/>
            </w:pPr>
            <w:r>
              <w:rPr>
                <w:b w:val="0"/>
                <w:i w:val="0"/>
                <w:sz w:val="14"/>
              </w:rPr>
              <w:t>—</w:t>
            </w:r>
          </w:p>
        </w:tc>
      </w:tr>
      <w:tr>
        <w:trPr>
          <w:cantSplit/>
        </w:trPr>
        <w:tc>
          <w:tcPr>
            <w:tcW w:type="dxa" w:w="864"/>
            <w:shd w:val="clear" w:color="auto" w:fill="D9E1F2"/>
          </w:tcPr>
          <w:p>
            <w:pPr>
              <w:spacing w:after="0" w:line="240" w:lineRule="auto"/>
            </w:pPr>
            <w:r>
              <w:rPr>
                <w:b w:val="0"/>
                <w:i w:val="0"/>
                <w:sz w:val="14"/>
              </w:rPr>
              <w:t>NONDISC</w:t>
            </w:r>
          </w:p>
        </w:tc>
        <w:tc>
          <w:tcPr>
            <w:tcW w:type="dxa" w:w="1152"/>
            <w:shd w:val="clear" w:color="auto" w:fill="D9E1F2"/>
          </w:tcPr>
          <w:p>
            <w:pPr>
              <w:spacing w:after="0" w:line="240" w:lineRule="auto"/>
            </w:pPr>
            <w:r>
              <w:rPr>
                <w:b w:val="0"/>
                <w:i w:val="0"/>
                <w:sz w:val="14"/>
              </w:rPr>
              <w:t>Deferred revenue</w:t>
            </w:r>
          </w:p>
        </w:tc>
        <w:tc>
          <w:tcPr>
            <w:tcW w:type="dxa" w:w="4608"/>
            <w:shd w:val="clear" w:color="auto" w:fill="D9E1F2"/>
          </w:tcPr>
          <w:p>
            <w:pPr>
              <w:spacing w:after="0" w:line="240" w:lineRule="auto"/>
            </w:pPr>
            <w:r>
              <w:rPr>
                <w:b w:val="0"/>
                <w:i w:val="0"/>
                <w:sz w:val="14"/>
              </w:rPr>
              <w:t>No deferred-revenue roll-forward; RPO 78/92/102 with no timing buckets beyond "majority within 12 months".</w:t>
            </w:r>
          </w:p>
        </w:tc>
        <w:tc>
          <w:tcPr>
            <w:tcW w:type="dxa" w:w="1584"/>
            <w:shd w:val="clear" w:color="auto" w:fill="D9E1F2"/>
          </w:tcPr>
          <w:p>
            <w:pPr>
              <w:spacing w:after="0" w:line="240" w:lineRule="auto"/>
            </w:pPr>
            <w:r>
              <w:rPr>
                <w:b w:val="0"/>
                <w:i w:val="0"/>
                <w:sz w:val="14"/>
              </w:rPr>
              <w:t>Form10A; 10-Q</w:t>
            </w:r>
          </w:p>
        </w:tc>
        <w:tc>
          <w:tcPr>
            <w:tcW w:type="dxa" w:w="1584"/>
            <w:shd w:val="clear" w:color="auto" w:fill="D9E1F2"/>
          </w:tcPr>
          <w:p>
            <w:pPr>
              <w:spacing w:after="0" w:line="240" w:lineRule="auto"/>
            </w:pPr>
            <w:r>
              <w:rPr>
                <w:b w:val="0"/>
                <w:i w:val="0"/>
                <w:sz w:val="14"/>
              </w:rPr>
              <w:t>—</w:t>
            </w:r>
          </w:p>
        </w:tc>
      </w:tr>
      <w:tr>
        <w:trPr>
          <w:cantSplit/>
        </w:trPr>
        <w:tc>
          <w:tcPr>
            <w:tcW w:type="dxa" w:w="864"/>
          </w:tcPr>
          <w:p>
            <w:pPr>
              <w:spacing w:after="0" w:line="240" w:lineRule="auto"/>
            </w:pPr>
            <w:r>
              <w:rPr>
                <w:b w:val="0"/>
                <w:i w:val="0"/>
                <w:sz w:val="14"/>
              </w:rPr>
              <w:t>NONDISC</w:t>
            </w:r>
          </w:p>
        </w:tc>
        <w:tc>
          <w:tcPr>
            <w:tcW w:type="dxa" w:w="1152"/>
          </w:tcPr>
          <w:p>
            <w:pPr>
              <w:spacing w:after="0" w:line="240" w:lineRule="auto"/>
            </w:pPr>
            <w:r>
              <w:rPr>
                <w:b w:val="0"/>
                <w:i w:val="0"/>
                <w:sz w:val="14"/>
              </w:rPr>
              <w:t>Related party</w:t>
            </w:r>
          </w:p>
        </w:tc>
        <w:tc>
          <w:tcPr>
            <w:tcW w:type="dxa" w:w="4608"/>
          </w:tcPr>
          <w:p>
            <w:pPr>
              <w:spacing w:after="0" w:line="240" w:lineRule="auto"/>
            </w:pPr>
            <w:r>
              <w:rPr>
                <w:b w:val="0"/>
                <w:i w:val="0"/>
                <w:sz w:val="14"/>
              </w:rPr>
              <w:t>TSA fee amounts not disclosed (pro forma incremental TSA cost &lt;1 Q1-26, 3 FY25; term up to 18 months).</w:t>
            </w:r>
          </w:p>
        </w:tc>
        <w:tc>
          <w:tcPr>
            <w:tcW w:type="dxa" w:w="1584"/>
          </w:tcPr>
          <w:p>
            <w:pPr>
              <w:spacing w:after="0" w:line="240" w:lineRule="auto"/>
            </w:pPr>
            <w:r>
              <w:rPr>
                <w:b w:val="0"/>
                <w:i w:val="0"/>
                <w:sz w:val="14"/>
              </w:rPr>
              <w:t>Form10A pro forma</w:t>
            </w:r>
          </w:p>
        </w:tc>
        <w:tc>
          <w:tcPr>
            <w:tcW w:type="dxa" w:w="1584"/>
          </w:tcPr>
          <w:p>
            <w:pPr>
              <w:spacing w:after="0" w:line="240" w:lineRule="auto"/>
            </w:pPr>
            <w:r>
              <w:rPr>
                <w:b w:val="0"/>
                <w:i w:val="0"/>
                <w:sz w:val="14"/>
              </w:rPr>
              <w:t>—</w:t>
            </w:r>
          </w:p>
        </w:tc>
      </w:tr>
      <w:tr>
        <w:trPr>
          <w:cantSplit/>
        </w:trPr>
        <w:tc>
          <w:tcPr>
            <w:tcW w:type="dxa" w:w="864"/>
            <w:shd w:val="clear" w:color="auto" w:fill="D9E1F2"/>
          </w:tcPr>
          <w:p>
            <w:pPr>
              <w:spacing w:after="0" w:line="240" w:lineRule="auto"/>
            </w:pPr>
            <w:r>
              <w:rPr>
                <w:b w:val="0"/>
                <w:i w:val="0"/>
                <w:sz w:val="14"/>
              </w:rPr>
              <w:t>BREAK</w:t>
            </w:r>
          </w:p>
        </w:tc>
        <w:tc>
          <w:tcPr>
            <w:tcW w:type="dxa" w:w="1152"/>
            <w:shd w:val="clear" w:color="auto" w:fill="D9E1F2"/>
          </w:tcPr>
          <w:p>
            <w:pPr>
              <w:spacing w:after="0" w:line="240" w:lineRule="auto"/>
            </w:pPr>
            <w:r>
              <w:rPr>
                <w:b w:val="0"/>
                <w:i w:val="0"/>
                <w:sz w:val="14"/>
              </w:rPr>
              <w:t>Capital structure</w:t>
            </w:r>
          </w:p>
        </w:tc>
        <w:tc>
          <w:tcPr>
            <w:tcW w:type="dxa" w:w="4608"/>
            <w:shd w:val="clear" w:color="auto" w:fill="D9E1F2"/>
          </w:tcPr>
          <w:p>
            <w:pPr>
              <w:spacing w:after="0" w:line="240" w:lineRule="auto"/>
            </w:pPr>
            <w:r>
              <w:rPr>
                <w:b w:val="0"/>
                <w:i w:val="0"/>
                <w:sz w:val="14"/>
              </w:rPr>
              <w:t>$2.0bn Senior Notes issued 2026-05-29 (escrow released 2026-06-30); $2.0bn dividend to S&amp;P Global (Form 10/A pro forma had estimated ~$1.9bn). Canada Carfax related-party loan (230) contributed and eliminated 2026-06-25.</w:t>
            </w:r>
          </w:p>
        </w:tc>
        <w:tc>
          <w:tcPr>
            <w:tcW w:type="dxa" w:w="1584"/>
            <w:shd w:val="clear" w:color="auto" w:fill="D9E1F2"/>
          </w:tcPr>
          <w:p>
            <w:pPr>
              <w:spacing w:after="0" w:line="240" w:lineRule="auto"/>
            </w:pPr>
            <w:r>
              <w:rPr>
                <w:b w:val="0"/>
                <w:i w:val="0"/>
                <w:sz w:val="14"/>
              </w:rPr>
              <w:t>10-Q pp.12,18; notes</w:t>
            </w:r>
          </w:p>
        </w:tc>
        <w:tc>
          <w:tcPr>
            <w:tcW w:type="dxa" w:w="1584"/>
            <w:shd w:val="clear" w:color="auto" w:fill="D9E1F2"/>
          </w:tcPr>
          <w:p>
            <w:pPr>
              <w:spacing w:after="0" w:line="240" w:lineRule="auto"/>
            </w:pPr>
            <w:r>
              <w:rPr>
                <w:b w:val="0"/>
                <w:i w:val="0"/>
                <w:sz w:val="14"/>
              </w:rPr>
              <w:t>BS 6/30/26 shows LTD 1,981; parent investment falls to 9,833</w:t>
            </w:r>
          </w:p>
        </w:tc>
      </w:tr>
      <w:tr>
        <w:trPr>
          <w:cantSplit/>
        </w:trPr>
        <w:tc>
          <w:tcPr>
            <w:tcW w:type="dxa" w:w="864"/>
          </w:tcPr>
          <w:p>
            <w:pPr>
              <w:spacing w:after="0" w:line="240" w:lineRule="auto"/>
            </w:pPr>
            <w:r>
              <w:rPr>
                <w:b w:val="0"/>
                <w:i w:val="0"/>
                <w:sz w:val="14"/>
              </w:rPr>
              <w:t>BREAK</w:t>
            </w:r>
          </w:p>
        </w:tc>
        <w:tc>
          <w:tcPr>
            <w:tcW w:type="dxa" w:w="1152"/>
          </w:tcPr>
          <w:p>
            <w:pPr>
              <w:spacing w:after="0" w:line="240" w:lineRule="auto"/>
            </w:pPr>
            <w:r>
              <w:rPr>
                <w:b w:val="0"/>
                <w:i w:val="0"/>
                <w:sz w:val="14"/>
              </w:rPr>
              <w:t>Shares</w:t>
            </w:r>
          </w:p>
        </w:tc>
        <w:tc>
          <w:tcPr>
            <w:tcW w:type="dxa" w:w="4608"/>
          </w:tcPr>
          <w:p>
            <w:pPr>
              <w:spacing w:after="0" w:line="240" w:lineRule="auto"/>
            </w:pPr>
            <w:r>
              <w:rPr>
                <w:b w:val="0"/>
                <w:i w:val="0"/>
                <w:sz w:val="14"/>
              </w:rPr>
              <w:t>Pro forma used 295,077,160 shares; actual 294,821,320 at 2026-06-15 record date (1:1).</w:t>
            </w:r>
          </w:p>
        </w:tc>
        <w:tc>
          <w:tcPr>
            <w:tcW w:type="dxa" w:w="1584"/>
          </w:tcPr>
          <w:p>
            <w:pPr>
              <w:spacing w:after="0" w:line="240" w:lineRule="auto"/>
            </w:pPr>
            <w:r>
              <w:rPr>
                <w:b w:val="0"/>
                <w:i w:val="0"/>
                <w:sz w:val="14"/>
              </w:rPr>
              <w:t>Form10A; 10-Q</w:t>
            </w:r>
          </w:p>
        </w:tc>
        <w:tc>
          <w:tcPr>
            <w:tcW w:type="dxa" w:w="1584"/>
          </w:tcPr>
          <w:p>
            <w:pPr>
              <w:spacing w:after="0" w:line="240" w:lineRule="auto"/>
            </w:pPr>
            <w:r>
              <w:rPr>
                <w:b w:val="0"/>
                <w:i w:val="0"/>
                <w:sz w:val="14"/>
              </w:rPr>
              <w:t>—</w:t>
            </w:r>
          </w:p>
        </w:tc>
      </w:tr>
      <w:tr>
        <w:trPr>
          <w:cantSplit/>
        </w:trPr>
        <w:tc>
          <w:tcPr>
            <w:tcW w:type="dxa" w:w="864"/>
            <w:shd w:val="clear" w:color="auto" w:fill="D9E1F2"/>
          </w:tcPr>
          <w:p>
            <w:pPr>
              <w:spacing w:after="0" w:line="240" w:lineRule="auto"/>
            </w:pPr>
            <w:r>
              <w:rPr>
                <w:b w:val="0"/>
                <w:i w:val="0"/>
                <w:sz w:val="14"/>
              </w:rPr>
              <w:t>BREAK</w:t>
            </w:r>
          </w:p>
        </w:tc>
        <w:tc>
          <w:tcPr>
            <w:tcW w:type="dxa" w:w="1152"/>
            <w:shd w:val="clear" w:color="auto" w:fill="D9E1F2"/>
          </w:tcPr>
          <w:p>
            <w:pPr>
              <w:spacing w:after="0" w:line="240" w:lineRule="auto"/>
            </w:pPr>
            <w:r>
              <w:rPr>
                <w:b w:val="0"/>
                <w:i w:val="0"/>
                <w:sz w:val="14"/>
              </w:rPr>
              <w:t>Predecessor</w:t>
            </w:r>
          </w:p>
        </w:tc>
        <w:tc>
          <w:tcPr>
            <w:tcW w:type="dxa" w:w="4608"/>
            <w:shd w:val="clear" w:color="auto" w:fill="D9E1F2"/>
          </w:tcPr>
          <w:p>
            <w:pPr>
              <w:spacing w:after="0" w:line="240" w:lineRule="auto"/>
            </w:pPr>
            <w:r>
              <w:rPr>
                <w:b w:val="0"/>
                <w:i w:val="0"/>
                <w:sz w:val="14"/>
              </w:rPr>
              <w:t>IHS Markit Transportation (Nov FYE, FY2014-21) vs S&amp;P Global Mobility (Dec FYE, FY2022-25; FY2022 ~10 months from 2022-02-28 merger) — scope, FYE and measure differ; Dec-2021-Feb-2022 in neither era.</w:t>
            </w:r>
          </w:p>
        </w:tc>
        <w:tc>
          <w:tcPr>
            <w:tcW w:type="dxa" w:w="1584"/>
            <w:shd w:val="clear" w:color="auto" w:fill="D9E1F2"/>
          </w:tcPr>
          <w:p>
            <w:pPr>
              <w:spacing w:after="0" w:line="240" w:lineRule="auto"/>
            </w:pPr>
            <w:r>
              <w:rPr>
                <w:b w:val="0"/>
                <w:i w:val="0"/>
                <w:sz w:val="14"/>
              </w:rPr>
              <w:t>predecessor_NOTES.md</w:t>
            </w:r>
          </w:p>
        </w:tc>
        <w:tc>
          <w:tcPr>
            <w:tcW w:type="dxa" w:w="1584"/>
            <w:shd w:val="clear" w:color="auto" w:fill="D9E1F2"/>
          </w:tcPr>
          <w:p>
            <w:pPr>
              <w:spacing w:after="0" w:line="240" w:lineRule="auto"/>
            </w:pPr>
            <w:r>
              <w:rPr>
                <w:b w:val="0"/>
                <w:i w:val="0"/>
                <w:sz w:val="14"/>
              </w:rPr>
              <w:t>Own tab; no growth across boundary</w:t>
            </w:r>
          </w:p>
        </w:tc>
      </w:tr>
      <w:tr>
        <w:trPr>
          <w:cantSplit/>
        </w:trPr>
        <w:tc>
          <w:tcPr>
            <w:tcW w:type="dxa" w:w="864"/>
          </w:tcPr>
          <w:p>
            <w:pPr>
              <w:spacing w:after="0" w:line="240" w:lineRule="auto"/>
            </w:pPr>
            <w:r>
              <w:rPr>
                <w:b w:val="0"/>
                <w:i w:val="0"/>
                <w:sz w:val="14"/>
              </w:rPr>
              <w:t>RESTATE</w:t>
            </w:r>
          </w:p>
        </w:tc>
        <w:tc>
          <w:tcPr>
            <w:tcW w:type="dxa" w:w="1152"/>
          </w:tcPr>
          <w:p>
            <w:pPr>
              <w:spacing w:after="0" w:line="240" w:lineRule="auto"/>
            </w:pPr>
            <w:r>
              <w:rPr>
                <w:b w:val="0"/>
                <w:i w:val="0"/>
                <w:sz w:val="14"/>
              </w:rPr>
              <w:t>Predecessor</w:t>
            </w:r>
          </w:p>
        </w:tc>
        <w:tc>
          <w:tcPr>
            <w:tcW w:type="dxa" w:w="4608"/>
          </w:tcPr>
          <w:p>
            <w:pPr>
              <w:spacing w:after="0" w:line="240" w:lineRule="auto"/>
            </w:pPr>
            <w:r>
              <w:rPr>
                <w:b w:val="0"/>
                <w:i w:val="0"/>
                <w:sz w:val="14"/>
              </w:rPr>
              <w:t>S&amp;P Global FY2025 10-K reclassified 2024 Mobility costs between operating-related and selling &amp; general (469/511 -&gt; 487/493; total unchanged).</w:t>
            </w:r>
          </w:p>
        </w:tc>
        <w:tc>
          <w:tcPr>
            <w:tcW w:type="dxa" w:w="1584"/>
          </w:tcPr>
          <w:p>
            <w:pPr>
              <w:spacing w:after="0" w:line="240" w:lineRule="auto"/>
            </w:pPr>
            <w:r>
              <w:rPr>
                <w:b w:val="0"/>
                <w:i w:val="0"/>
                <w:sz w:val="14"/>
              </w:rPr>
              <w:t>SPGI 10-K FY2025</w:t>
            </w:r>
          </w:p>
        </w:tc>
        <w:tc>
          <w:tcPr>
            <w:tcW w:type="dxa" w:w="1584"/>
          </w:tcPr>
          <w:p>
            <w:pPr>
              <w:spacing w:after="0" w:line="240" w:lineRule="auto"/>
            </w:pPr>
            <w:r>
              <w:rPr>
                <w:b w:val="0"/>
                <w:i w:val="0"/>
                <w:sz w:val="14"/>
              </w:rPr>
              <w:t>Both vintages recorded</w:t>
            </w:r>
          </w:p>
        </w:tc>
      </w:tr>
      <w:tr>
        <w:trPr>
          <w:cantSplit/>
        </w:trPr>
        <w:tc>
          <w:tcPr>
            <w:tcW w:type="dxa" w:w="864"/>
            <w:shd w:val="clear" w:color="auto" w:fill="D9E1F2"/>
          </w:tcPr>
          <w:p>
            <w:pPr>
              <w:spacing w:after="0" w:line="240" w:lineRule="auto"/>
            </w:pPr>
            <w:r>
              <w:rPr>
                <w:b w:val="0"/>
                <w:i w:val="0"/>
                <w:sz w:val="14"/>
              </w:rPr>
              <w:t>BASIS</w:t>
            </w:r>
          </w:p>
        </w:tc>
        <w:tc>
          <w:tcPr>
            <w:tcW w:type="dxa" w:w="1152"/>
            <w:shd w:val="clear" w:color="auto" w:fill="D9E1F2"/>
          </w:tcPr>
          <w:p>
            <w:pPr>
              <w:spacing w:after="0" w:line="240" w:lineRule="auto"/>
            </w:pPr>
            <w:r>
              <w:rPr>
                <w:b w:val="0"/>
                <w:i w:val="0"/>
                <w:sz w:val="14"/>
              </w:rPr>
              <w:t>Predecessor vs carve-out</w:t>
            </w:r>
          </w:p>
        </w:tc>
        <w:tc>
          <w:tcPr>
            <w:tcW w:type="dxa" w:w="4608"/>
            <w:shd w:val="clear" w:color="auto" w:fill="D9E1F2"/>
          </w:tcPr>
          <w:p>
            <w:pPr>
              <w:spacing w:after="0" w:line="240" w:lineRule="auto"/>
            </w:pPr>
            <w:r>
              <w:rPr>
                <w:b w:val="0"/>
                <w:i w:val="0"/>
                <w:sz w:val="14"/>
              </w:rPr>
              <w:t>S&amp;P Global Mobility segment revenue (2023 1,484; 2024 1,609; 2025 1,747) vs carve-out combined revenue (1,485; 1,613; 1,750): small basis differences (carve-out vs segment).</w:t>
            </w:r>
          </w:p>
        </w:tc>
        <w:tc>
          <w:tcPr>
            <w:tcW w:type="dxa" w:w="1584"/>
            <w:shd w:val="clear" w:color="auto" w:fill="D9E1F2"/>
          </w:tcPr>
          <w:p>
            <w:pPr>
              <w:spacing w:after="0" w:line="240" w:lineRule="auto"/>
            </w:pPr>
            <w:r>
              <w:rPr>
                <w:b w:val="0"/>
                <w:i w:val="0"/>
                <w:sz w:val="14"/>
              </w:rPr>
              <w:t>predecessor.csv vs statements.csv</w:t>
            </w:r>
          </w:p>
        </w:tc>
        <w:tc>
          <w:tcPr>
            <w:tcW w:type="dxa" w:w="1584"/>
            <w:shd w:val="clear" w:color="auto" w:fill="D9E1F2"/>
          </w:tcPr>
          <w:p>
            <w:pPr>
              <w:spacing w:after="0" w:line="240" w:lineRule="auto"/>
            </w:pPr>
            <w:r>
              <w:rPr>
                <w:b w:val="0"/>
                <w:i w:val="0"/>
                <w:sz w:val="14"/>
              </w:rPr>
              <w:t>Explained in analysis/D4</w:t>
            </w:r>
          </w:p>
        </w:tc>
      </w:tr>
      <w:tr>
        <w:trPr>
          <w:cantSplit/>
        </w:trPr>
        <w:tc>
          <w:tcPr>
            <w:tcW w:type="dxa" w:w="864"/>
          </w:tcPr>
          <w:p>
            <w:pPr>
              <w:spacing w:after="0" w:line="240" w:lineRule="auto"/>
            </w:pPr>
            <w:r>
              <w:rPr>
                <w:b w:val="0"/>
                <w:i w:val="0"/>
                <w:sz w:val="14"/>
              </w:rPr>
              <w:t>DATAQ</w:t>
            </w:r>
          </w:p>
        </w:tc>
        <w:tc>
          <w:tcPr>
            <w:tcW w:type="dxa" w:w="1152"/>
          </w:tcPr>
          <w:p>
            <w:pPr>
              <w:spacing w:after="0" w:line="240" w:lineRule="auto"/>
            </w:pPr>
            <w:r>
              <w:rPr>
                <w:b w:val="0"/>
                <w:i w:val="0"/>
                <w:sz w:val="14"/>
              </w:rPr>
              <w:t>CF</w:t>
            </w:r>
          </w:p>
        </w:tc>
        <w:tc>
          <w:tcPr>
            <w:tcW w:type="dxa" w:w="4608"/>
          </w:tcPr>
          <w:p>
            <w:pPr>
              <w:spacing w:after="0" w:line="240" w:lineRule="auto"/>
            </w:pPr>
            <w:r>
              <w:rPr>
                <w:b w:val="0"/>
                <w:i w:val="0"/>
                <w:sz w:val="14"/>
              </w:rPr>
              <w:t>Q1-2025 effect of exchange rates on cash not legible (implied +1 by tie: 67 − 5 − 62 + FX = 1) — NOT recorded; the cash-roll check is n/a for Q1-2025.</w:t>
            </w:r>
          </w:p>
        </w:tc>
        <w:tc>
          <w:tcPr>
            <w:tcW w:type="dxa" w:w="1584"/>
          </w:tcPr>
          <w:p>
            <w:pPr>
              <w:spacing w:after="0" w:line="240" w:lineRule="auto"/>
            </w:pPr>
            <w:r>
              <w:rPr>
                <w:b w:val="0"/>
                <w:i w:val="0"/>
                <w:sz w:val="14"/>
              </w:rPr>
              <w:t>Form10A p.425</w:t>
            </w:r>
          </w:p>
        </w:tc>
        <w:tc>
          <w:tcPr>
            <w:tcW w:type="dxa" w:w="1584"/>
          </w:tcPr>
          <w:p>
            <w:pPr>
              <w:spacing w:after="0" w:line="240" w:lineRule="auto"/>
            </w:pPr>
            <w:r>
              <w:rPr>
                <w:b w:val="0"/>
                <w:i w:val="0"/>
                <w:sz w:val="14"/>
              </w:rPr>
              <w:t>Blank</w:t>
            </w:r>
          </w:p>
        </w:tc>
      </w:tr>
    </w:tbl>
    <w:p>
      <w:pPr>
        <w:spacing w:after="120"/>
      </w:pPr>
      <w:r>
        <w:rPr>
          <w:b w:val="0"/>
          <w:i/>
          <w:color w:val="595959"/>
          <w:sz w:val="15"/>
        </w:rPr>
        <w:t>Source: canonical/accounting_notes.csv. Types: BASIS = basis of preparation; RESTATE = restatement check; DEFN = definition change; DATAQ = data-quality issue; NONDISC = not disclosed; BREAK = structural break.</w:t>
      </w:r>
    </w:p>
    <w:p>
      <w:pPr>
        <w:pStyle w:val="Heading1"/>
        <w:pageBreakBefore/>
      </w:pPr>
      <w:r>
        <w:t>Appendix C Glossary of tiers &amp; source keys</w:t>
      </w:r>
    </w:p>
    <w:p>
      <w:pPr>
        <w:keepNext/>
        <w:spacing w:before="80" w:after="40"/>
      </w:pPr>
      <w:r>
        <w:rPr>
          <w:b/>
          <w:i w:val="0"/>
          <w:color w:val="1F3864"/>
          <w:sz w:val="17"/>
        </w:rPr>
        <w:t>Exhibit C.1 — Tier tags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440"/>
        <w:gridCol w:w="1728"/>
        <w:gridCol w:w="6623"/>
      </w:tblGrid>
      <w:tr>
        <w:trPr>
          <w:cantSplit/>
          <w:tblHeader/>
        </w:trPr>
        <w:tc>
          <w:tcPr>
            <w:tcW w:type="dxa" w:w="1440"/>
            <w:shd w:val="clear" w:color="auto" w:fill="1F3864"/>
          </w:tcPr>
          <w:p>
            <w:pPr>
              <w:spacing w:after="0" w:line="240" w:lineRule="auto"/>
            </w:pPr>
            <w:r>
              <w:rPr>
                <w:b/>
                <w:i w:val="0"/>
                <w:color w:val="FFFFFF"/>
                <w:sz w:val="16"/>
              </w:rPr>
              <w:t>Tag</w:t>
            </w:r>
          </w:p>
        </w:tc>
        <w:tc>
          <w:tcPr>
            <w:tcW w:type="dxa" w:w="1728"/>
            <w:shd w:val="clear" w:color="auto" w:fill="1F3864"/>
          </w:tcPr>
          <w:p>
            <w:pPr>
              <w:spacing w:after="0" w:line="240" w:lineRule="auto"/>
            </w:pPr>
            <w:r>
              <w:rPr>
                <w:b/>
                <w:i w:val="0"/>
                <w:color w:val="FFFFFF"/>
                <w:sz w:val="16"/>
              </w:rPr>
              <w:t>Meaning</w:t>
            </w:r>
          </w:p>
        </w:tc>
        <w:tc>
          <w:tcPr>
            <w:tcW w:type="dxa" w:w="6624"/>
            <w:shd w:val="clear" w:color="auto" w:fill="1F3864"/>
          </w:tcPr>
          <w:p>
            <w:pPr>
              <w:spacing w:after="0" w:line="240" w:lineRule="auto"/>
            </w:pPr>
            <w:r>
              <w:rPr>
                <w:b/>
                <w:i w:val="0"/>
                <w:color w:val="FFFFFF"/>
                <w:sz w:val="16"/>
              </w:rPr>
              <w:t>Use</w:t>
            </w:r>
          </w:p>
        </w:tc>
      </w:tr>
      <w:tr>
        <w:trPr>
          <w:cantSplit/>
        </w:trPr>
        <w:tc>
          <w:tcPr>
            <w:tcW w:type="dxa" w:w="1440"/>
          </w:tcPr>
          <w:p>
            <w:pPr>
              <w:spacing w:after="0" w:line="240" w:lineRule="auto"/>
            </w:pPr>
            <w:r>
              <w:rPr>
                <w:b/>
                <w:color w:val="2E548C"/>
                <w:sz w:val="13"/>
              </w:rPr>
              <w:t>[D]</w:t>
            </w:r>
          </w:p>
        </w:tc>
        <w:tc>
          <w:tcPr>
            <w:tcW w:type="dxa" w:w="1728"/>
          </w:tcPr>
          <w:p>
            <w:pPr>
              <w:spacing w:after="0" w:line="240" w:lineRule="auto"/>
            </w:pPr>
            <w:r>
              <w:rPr>
                <w:b w:val="0"/>
                <w:i w:val="0"/>
                <w:sz w:val="16"/>
              </w:rPr>
              <w:t>Disclosed</w:t>
            </w:r>
          </w:p>
        </w:tc>
        <w:tc>
          <w:tcPr>
            <w:tcW w:type="dxa" w:w="6624"/>
          </w:tcPr>
          <w:p>
            <w:pPr>
              <w:spacing w:after="0" w:line="240" w:lineRule="auto"/>
            </w:pPr>
            <w:r>
              <w:rPr>
                <w:b w:val="0"/>
                <w:i w:val="0"/>
                <w:sz w:val="16"/>
              </w:rPr>
              <w:t xml:space="preserve">Printed in a filing (Form 10/A, 10-Q, 8-K, predecessor 10-K) or company deck. </w:t>
            </w:r>
            <w:r>
              <w:rPr>
                <w:b/>
                <w:color w:val="2E548C"/>
                <w:sz w:val="13"/>
              </w:rPr>
              <w:t>[D-deck]</w:t>
            </w:r>
            <w:r>
              <w:rPr>
                <w:b w:val="0"/>
                <w:i w:val="0"/>
                <w:sz w:val="16"/>
              </w:rPr>
              <w:t>/</w:t>
            </w:r>
            <w:r>
              <w:rPr>
                <w:b/>
                <w:color w:val="2E548C"/>
                <w:sz w:val="13"/>
              </w:rPr>
              <w:t>[D-pres]</w:t>
            </w:r>
            <w:r>
              <w:rPr>
                <w:b w:val="0"/>
                <w:i w:val="0"/>
                <w:sz w:val="16"/>
              </w:rPr>
              <w:t xml:space="preserve"> = company presentation (unaudited marketing figure); </w:t>
            </w:r>
            <w:r>
              <w:rPr>
                <w:b/>
                <w:color w:val="2E548C"/>
                <w:sz w:val="13"/>
              </w:rPr>
              <w:t>[D-flag]</w:t>
            </w:r>
            <w:r>
              <w:rPr>
                <w:b w:val="0"/>
                <w:i w:val="0"/>
                <w:sz w:val="16"/>
              </w:rPr>
              <w:t xml:space="preserve"> = printed but inconsistent.</w:t>
            </w:r>
          </w:p>
        </w:tc>
      </w:tr>
      <w:tr>
        <w:trPr>
          <w:cantSplit/>
        </w:trPr>
        <w:tc>
          <w:tcPr>
            <w:tcW w:type="dxa" w:w="1440"/>
            <w:shd w:val="clear" w:color="auto" w:fill="D9E1F2"/>
          </w:tcPr>
          <w:p>
            <w:pPr>
              <w:spacing w:after="0" w:line="240" w:lineRule="auto"/>
            </w:pPr>
            <w:r>
              <w:rPr>
                <w:b/>
                <w:color w:val="2E548C"/>
                <w:sz w:val="13"/>
              </w:rPr>
              <w:t>[C]</w:t>
            </w:r>
          </w:p>
        </w:tc>
        <w:tc>
          <w:tcPr>
            <w:tcW w:type="dxa" w:w="1728"/>
            <w:shd w:val="clear" w:color="auto" w:fill="D9E1F2"/>
          </w:tcPr>
          <w:p>
            <w:pPr>
              <w:spacing w:after="0" w:line="240" w:lineRule="auto"/>
            </w:pPr>
            <w:r>
              <w:rPr>
                <w:b w:val="0"/>
                <w:i w:val="0"/>
                <w:sz w:val="16"/>
              </w:rPr>
              <w:t>Computed</w:t>
            </w:r>
          </w:p>
        </w:tc>
        <w:tc>
          <w:tcPr>
            <w:tcW w:type="dxa" w:w="6624"/>
            <w:shd w:val="clear" w:color="auto" w:fill="D9E1F2"/>
          </w:tcPr>
          <w:p>
            <w:pPr>
              <w:spacing w:after="0" w:line="240" w:lineRule="auto"/>
            </w:pPr>
            <w:r>
              <w:rPr>
                <w:b w:val="0"/>
                <w:i w:val="0"/>
                <w:sz w:val="16"/>
              </w:rPr>
              <w:t>Calculated by us from disclosed inputs; the method is stated next to the figure or in the source analysis file.</w:t>
            </w:r>
          </w:p>
        </w:tc>
      </w:tr>
      <w:tr>
        <w:trPr>
          <w:cantSplit/>
        </w:trPr>
        <w:tc>
          <w:tcPr>
            <w:tcW w:type="dxa" w:w="1440"/>
          </w:tcPr>
          <w:p>
            <w:pPr>
              <w:spacing w:after="0" w:line="240" w:lineRule="auto"/>
            </w:pPr>
            <w:r>
              <w:rPr>
                <w:b/>
                <w:color w:val="2E548C"/>
                <w:sz w:val="13"/>
              </w:rPr>
              <w:t>[E]</w:t>
            </w:r>
          </w:p>
        </w:tc>
        <w:tc>
          <w:tcPr>
            <w:tcW w:type="dxa" w:w="1728"/>
          </w:tcPr>
          <w:p>
            <w:pPr>
              <w:spacing w:after="0" w:line="240" w:lineRule="auto"/>
            </w:pPr>
            <w:r>
              <w:rPr>
                <w:b w:val="0"/>
                <w:i w:val="0"/>
                <w:sz w:val="16"/>
              </w:rPr>
              <w:t>Estimate</w:t>
            </w:r>
          </w:p>
        </w:tc>
        <w:tc>
          <w:tcPr>
            <w:tcW w:type="dxa" w:w="6624"/>
          </w:tcPr>
          <w:p>
            <w:pPr>
              <w:spacing w:after="0" w:line="240" w:lineRule="auto"/>
            </w:pPr>
            <w:r>
              <w:rPr>
                <w:b w:val="0"/>
                <w:i w:val="0"/>
                <w:sz w:val="16"/>
              </w:rPr>
              <w:t>Our estimate; the assumption is stated. Not a forecast of record.</w:t>
            </w:r>
          </w:p>
        </w:tc>
      </w:tr>
      <w:tr>
        <w:trPr>
          <w:cantSplit/>
        </w:trPr>
        <w:tc>
          <w:tcPr>
            <w:tcW w:type="dxa" w:w="1440"/>
            <w:shd w:val="clear" w:color="auto" w:fill="D9E1F2"/>
          </w:tcPr>
          <w:p>
            <w:pPr>
              <w:spacing w:after="0" w:line="240" w:lineRule="auto"/>
            </w:pPr>
            <w:r>
              <w:rPr>
                <w:b/>
                <w:color w:val="2E548C"/>
                <w:sz w:val="13"/>
              </w:rPr>
              <w:t>[IR]</w:t>
            </w:r>
          </w:p>
        </w:tc>
        <w:tc>
          <w:tcPr>
            <w:tcW w:type="dxa" w:w="1728"/>
            <w:shd w:val="clear" w:color="auto" w:fill="D9E1F2"/>
          </w:tcPr>
          <w:p>
            <w:pPr>
              <w:spacing w:after="0" w:line="240" w:lineRule="auto"/>
            </w:pPr>
            <w:r>
              <w:rPr>
                <w:b w:val="0"/>
                <w:i w:val="0"/>
                <w:sz w:val="16"/>
              </w:rPr>
              <w:t>Management verbal</w:t>
            </w:r>
          </w:p>
        </w:tc>
        <w:tc>
          <w:tcPr>
            <w:tcW w:type="dxa" w:w="6624"/>
            <w:shd w:val="clear" w:color="auto" w:fill="D9E1F2"/>
          </w:tcPr>
          <w:p>
            <w:pPr>
              <w:spacing w:after="0" w:line="240" w:lineRule="auto"/>
            </w:pPr>
            <w:r>
              <w:rPr>
                <w:b w:val="0"/>
                <w:i w:val="0"/>
                <w:sz w:val="16"/>
              </w:rPr>
              <w:t>Said by management at an event (Investor Day, earnings call, conference) or on a predecessor call. Not audited.</w:t>
            </w:r>
          </w:p>
        </w:tc>
      </w:tr>
      <w:tr>
        <w:trPr>
          <w:cantSplit/>
        </w:trPr>
        <w:tc>
          <w:tcPr>
            <w:tcW w:type="dxa" w:w="1440"/>
          </w:tcPr>
          <w:p>
            <w:pPr>
              <w:spacing w:after="0" w:line="240" w:lineRule="auto"/>
            </w:pPr>
            <w:r>
              <w:rPr>
                <w:b/>
                <w:color w:val="2E548C"/>
                <w:sz w:val="13"/>
              </w:rPr>
              <w:t>[X]</w:t>
            </w:r>
          </w:p>
        </w:tc>
        <w:tc>
          <w:tcPr>
            <w:tcW w:type="dxa" w:w="1728"/>
          </w:tcPr>
          <w:p>
            <w:pPr>
              <w:spacing w:after="0" w:line="240" w:lineRule="auto"/>
            </w:pPr>
            <w:r>
              <w:rPr>
                <w:b w:val="0"/>
                <w:i w:val="0"/>
                <w:sz w:val="16"/>
              </w:rPr>
              <w:t>Third party</w:t>
            </w:r>
          </w:p>
        </w:tc>
        <w:tc>
          <w:tcPr>
            <w:tcW w:type="dxa" w:w="6624"/>
          </w:tcPr>
          <w:p>
            <w:pPr>
              <w:spacing w:after="0" w:line="240" w:lineRule="auto"/>
            </w:pPr>
            <w:r>
              <w:rPr>
                <w:b w:val="0"/>
                <w:i w:val="0"/>
                <w:sz w:val="16"/>
              </w:rPr>
              <w:t>Survey, consultant or data vendor (e.g., unnamed TAM consultant, Semrush, Teneo). Often unverifiable.</w:t>
            </w:r>
          </w:p>
        </w:tc>
      </w:tr>
      <w:tr>
        <w:trPr>
          <w:cantSplit/>
        </w:trPr>
        <w:tc>
          <w:tcPr>
            <w:tcW w:type="dxa" w:w="1440"/>
            <w:shd w:val="clear" w:color="auto" w:fill="D9E1F2"/>
          </w:tcPr>
          <w:p>
            <w:pPr>
              <w:spacing w:after="0" w:line="240" w:lineRule="auto"/>
            </w:pPr>
            <w:r>
              <w:rPr>
                <w:b/>
                <w:color w:val="2E548C"/>
                <w:sz w:val="13"/>
              </w:rPr>
              <w:t>[context]</w:t>
            </w:r>
          </w:p>
        </w:tc>
        <w:tc>
          <w:tcPr>
            <w:tcW w:type="dxa" w:w="1728"/>
            <w:shd w:val="clear" w:color="auto" w:fill="D9E1F2"/>
          </w:tcPr>
          <w:p>
            <w:pPr>
              <w:spacing w:after="0" w:line="240" w:lineRule="auto"/>
            </w:pPr>
            <w:r>
              <w:rPr>
                <w:b w:val="0"/>
                <w:i w:val="0"/>
                <w:sz w:val="16"/>
              </w:rPr>
              <w:t>General knowledge</w:t>
            </w:r>
          </w:p>
        </w:tc>
        <w:tc>
          <w:tcPr>
            <w:tcW w:type="dxa" w:w="6624"/>
            <w:shd w:val="clear" w:color="auto" w:fill="D9E1F2"/>
          </w:tcPr>
          <w:p>
            <w:pPr>
              <w:spacing w:after="0" w:line="240" w:lineRule="auto"/>
            </w:pPr>
            <w:r>
              <w:rPr>
                <w:b w:val="0"/>
                <w:i w:val="0"/>
                <w:sz w:val="16"/>
              </w:rPr>
              <w:t>Background not taken from the source set; to be replaced by Part B series.</w:t>
            </w:r>
          </w:p>
        </w:tc>
      </w:tr>
      <w:tr>
        <w:trPr>
          <w:cantSplit/>
        </w:trPr>
        <w:tc>
          <w:tcPr>
            <w:tcW w:type="dxa" w:w="1440"/>
          </w:tcPr>
          <w:p>
            <w:pPr>
              <w:spacing w:after="0" w:line="240" w:lineRule="auto"/>
            </w:pPr>
            <w:r>
              <w:rPr>
                <w:b/>
                <w:color w:val="2E548C"/>
                <w:sz w:val="13"/>
              </w:rPr>
              <w:t>[gap]</w:t>
            </w:r>
          </w:p>
        </w:tc>
        <w:tc>
          <w:tcPr>
            <w:tcW w:type="dxa" w:w="1728"/>
          </w:tcPr>
          <w:p>
            <w:pPr>
              <w:spacing w:after="0" w:line="240" w:lineRule="auto"/>
            </w:pPr>
            <w:r>
              <w:rPr>
                <w:b w:val="0"/>
                <w:i w:val="0"/>
                <w:sz w:val="16"/>
              </w:rPr>
              <w:t>Not in sources</w:t>
            </w:r>
          </w:p>
        </w:tc>
        <w:tc>
          <w:tcPr>
            <w:tcW w:type="dxa" w:w="6624"/>
          </w:tcPr>
          <w:p>
            <w:pPr>
              <w:spacing w:after="0" w:line="240" w:lineRule="auto"/>
            </w:pPr>
            <w:r>
              <w:rPr>
                <w:b w:val="0"/>
                <w:i w:val="0"/>
                <w:sz w:val="16"/>
              </w:rPr>
              <w:t>The fact is not available in the documents read.</w:t>
            </w:r>
          </w:p>
        </w:tc>
      </w:tr>
      <w:tr>
        <w:trPr>
          <w:cantSplit/>
        </w:trPr>
        <w:tc>
          <w:tcPr>
            <w:tcW w:type="dxa" w:w="1440"/>
            <w:shd w:val="clear" w:color="auto" w:fill="D9E1F2"/>
          </w:tcPr>
          <w:p>
            <w:pPr>
              <w:spacing w:after="0" w:line="240" w:lineRule="auto"/>
            </w:pPr>
            <w:r>
              <w:rPr>
                <w:b w:val="0"/>
                <w:i w:val="0"/>
                <w:sz w:val="16"/>
              </w:rPr>
              <w:t>[TO COLLECT #n]</w:t>
            </w:r>
          </w:p>
        </w:tc>
        <w:tc>
          <w:tcPr>
            <w:tcW w:type="dxa" w:w="1728"/>
            <w:shd w:val="clear" w:color="auto" w:fill="D9E1F2"/>
          </w:tcPr>
          <w:p>
            <w:pPr>
              <w:spacing w:after="0" w:line="240" w:lineRule="auto"/>
            </w:pPr>
            <w:r>
              <w:rPr>
                <w:b w:val="0"/>
                <w:i w:val="0"/>
                <w:sz w:val="16"/>
              </w:rPr>
              <w:t>Placeholder</w:t>
            </w:r>
          </w:p>
        </w:tc>
        <w:tc>
          <w:tcPr>
            <w:tcW w:type="dxa" w:w="6624"/>
            <w:shd w:val="clear" w:color="auto" w:fill="D9E1F2"/>
          </w:tcPr>
          <w:p>
            <w:pPr>
              <w:spacing w:after="0" w:line="240" w:lineRule="auto"/>
            </w:pPr>
            <w:r>
              <w:rPr>
                <w:b w:val="0"/>
                <w:i w:val="0"/>
                <w:sz w:val="16"/>
              </w:rPr>
              <w:t>Data that does not exist in the source set; listed in the Placeholder register.</w:t>
            </w:r>
          </w:p>
        </w:tc>
      </w:tr>
    </w:tbl>
    <w:p>
      <w:pPr>
        <w:spacing w:after="40"/>
      </w:pPr>
    </w:p>
    <w:p>
      <w:pPr>
        <w:keepNext/>
        <w:spacing w:before="80" w:after="40"/>
      </w:pPr>
      <w:r>
        <w:rPr>
          <w:b/>
          <w:i w:val="0"/>
          <w:color w:val="1F3864"/>
          <w:sz w:val="17"/>
        </w:rPr>
        <w:t>Exhibit C.2 — Source keys and abbreviations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592"/>
        <w:gridCol w:w="7200"/>
      </w:tblGrid>
      <w:tr>
        <w:trPr>
          <w:cantSplit/>
          <w:tblHeader/>
        </w:trPr>
        <w:tc>
          <w:tcPr>
            <w:tcW w:type="dxa" w:w="2592"/>
            <w:shd w:val="clear" w:color="auto" w:fill="1F3864"/>
          </w:tcPr>
          <w:p>
            <w:pPr>
              <w:spacing w:after="0" w:line="240" w:lineRule="auto"/>
            </w:pPr>
            <w:r>
              <w:rPr>
                <w:b/>
                <w:i w:val="0"/>
                <w:color w:val="FFFFFF"/>
                <w:sz w:val="16"/>
              </w:rPr>
              <w:t>Key</w:t>
            </w:r>
          </w:p>
        </w:tc>
        <w:tc>
          <w:tcPr>
            <w:tcW w:type="dxa" w:w="7200"/>
            <w:shd w:val="clear" w:color="auto" w:fill="1F3864"/>
          </w:tcPr>
          <w:p>
            <w:pPr>
              <w:spacing w:after="0" w:line="240" w:lineRule="auto"/>
            </w:pPr>
            <w:r>
              <w:rPr>
                <w:b/>
                <w:i w:val="0"/>
                <w:color w:val="FFFFFF"/>
                <w:sz w:val="16"/>
              </w:rPr>
              <w:t>Meaning</w:t>
            </w:r>
          </w:p>
        </w:tc>
      </w:tr>
      <w:tr>
        <w:trPr>
          <w:cantSplit/>
        </w:trPr>
        <w:tc>
          <w:tcPr>
            <w:tcW w:type="dxa" w:w="2592"/>
          </w:tcPr>
          <w:p>
            <w:pPr>
              <w:spacing w:after="0" w:line="240" w:lineRule="auto"/>
            </w:pPr>
            <w:r>
              <w:rPr>
                <w:b w:val="0"/>
                <w:i w:val="0"/>
                <w:sz w:val="16"/>
              </w:rPr>
              <w:t>10A / F10</w:t>
            </w:r>
          </w:p>
        </w:tc>
        <w:tc>
          <w:tcPr>
            <w:tcW w:type="dxa" w:w="7200"/>
          </w:tcPr>
          <w:p>
            <w:pPr>
              <w:spacing w:after="0" w:line="240" w:lineRule="auto"/>
            </w:pPr>
            <w:r>
              <w:rPr>
                <w:b w:val="0"/>
                <w:i w:val="0"/>
                <w:sz w:val="16"/>
              </w:rPr>
              <w:t>Form 10/A (2026-05-27, Quartr 3603533) / Form 10 (2026-05-07, 3603535); page numbers are Quartr pages</w:t>
            </w:r>
          </w:p>
        </w:tc>
      </w:tr>
      <w:tr>
        <w:trPr>
          <w:cantSplit/>
        </w:trPr>
        <w:tc>
          <w:tcPr>
            <w:tcW w:type="dxa" w:w="2592"/>
            <w:shd w:val="clear" w:color="auto" w:fill="D9E1F2"/>
          </w:tcPr>
          <w:p>
            <w:pPr>
              <w:spacing w:after="0" w:line="240" w:lineRule="auto"/>
            </w:pPr>
            <w:r>
              <w:rPr>
                <w:b w:val="0"/>
                <w:i w:val="0"/>
                <w:sz w:val="16"/>
              </w:rPr>
              <w:t>10Q / 8K</w:t>
            </w:r>
          </w:p>
        </w:tc>
        <w:tc>
          <w:tcPr>
            <w:tcW w:type="dxa" w:w="7200"/>
            <w:shd w:val="clear" w:color="auto" w:fill="D9E1F2"/>
          </w:tcPr>
          <w:p>
            <w:pPr>
              <w:spacing w:after="0" w:line="240" w:lineRule="auto"/>
            </w:pPr>
            <w:r>
              <w:rPr>
                <w:b w:val="0"/>
                <w:i w:val="0"/>
                <w:sz w:val="16"/>
              </w:rPr>
              <w:t>10-Q Q2-2026 (3699447) / Q2 release 8-K (3699450)</w:t>
            </w:r>
          </w:p>
        </w:tc>
      </w:tr>
      <w:tr>
        <w:trPr>
          <w:cantSplit/>
        </w:trPr>
        <w:tc>
          <w:tcPr>
            <w:tcW w:type="dxa" w:w="2592"/>
          </w:tcPr>
          <w:p>
            <w:pPr>
              <w:spacing w:after="0" w:line="240" w:lineRule="auto"/>
            </w:pPr>
            <w:r>
              <w:rPr>
                <w:b w:val="0"/>
                <w:i w:val="0"/>
                <w:sz w:val="16"/>
              </w:rPr>
              <w:t>ID / Q2 / GS</w:t>
            </w:r>
          </w:p>
        </w:tc>
        <w:tc>
          <w:tcPr>
            <w:tcW w:type="dxa" w:w="7200"/>
          </w:tcPr>
          <w:p>
            <w:pPr>
              <w:spacing w:after="0" w:line="240" w:lineRule="auto"/>
            </w:pPr>
            <w:r>
              <w:rPr>
                <w:b w:val="0"/>
                <w:i w:val="0"/>
                <w:sz w:val="16"/>
              </w:rPr>
              <w:t>Investor Day 2026-05-12 (event 676565) / Q2-26 call 2026-08-07 (704668) / Goldman Sachs Communacopia 2026-09-10 (725748)</w:t>
            </w:r>
          </w:p>
        </w:tc>
      </w:tr>
      <w:tr>
        <w:trPr>
          <w:cantSplit/>
        </w:trPr>
        <w:tc>
          <w:tcPr>
            <w:tcW w:type="dxa" w:w="2592"/>
            <w:shd w:val="clear" w:color="auto" w:fill="D9E1F2"/>
          </w:tcPr>
          <w:p>
            <w:pPr>
              <w:spacing w:after="0" w:line="240" w:lineRule="auto"/>
            </w:pPr>
            <w:r>
              <w:rPr>
                <w:b w:val="0"/>
                <w:i w:val="0"/>
                <w:sz w:val="16"/>
              </w:rPr>
              <w:t>PRES s.N / ID-deck</w:t>
            </w:r>
          </w:p>
        </w:tc>
        <w:tc>
          <w:tcPr>
            <w:tcW w:type="dxa" w:w="7200"/>
            <w:shd w:val="clear" w:color="auto" w:fill="D9E1F2"/>
          </w:tcPr>
          <w:p>
            <w:pPr>
              <w:spacing w:after="0" w:line="240" w:lineRule="auto"/>
            </w:pPr>
            <w:r>
              <w:rPr>
                <w:b w:val="0"/>
                <w:i w:val="0"/>
                <w:sz w:val="16"/>
              </w:rPr>
              <w:t>Investor Day slide N (doc 3352878)</w:t>
            </w:r>
          </w:p>
        </w:tc>
      </w:tr>
      <w:tr>
        <w:trPr>
          <w:cantSplit/>
        </w:trPr>
        <w:tc>
          <w:tcPr>
            <w:tcW w:type="dxa" w:w="2592"/>
          </w:tcPr>
          <w:p>
            <w:pPr>
              <w:spacing w:after="0" w:line="240" w:lineRule="auto"/>
            </w:pPr>
            <w:r>
              <w:rPr>
                <w:b w:val="0"/>
                <w:i w:val="0"/>
                <w:sz w:val="16"/>
              </w:rPr>
              <w:t>INFOyy / SPGIyy</w:t>
            </w:r>
          </w:p>
        </w:tc>
        <w:tc>
          <w:tcPr>
            <w:tcW w:type="dxa" w:w="7200"/>
          </w:tcPr>
          <w:p>
            <w:pPr>
              <w:spacing w:after="0" w:line="240" w:lineRule="auto"/>
            </w:pPr>
            <w:r>
              <w:rPr>
                <w:b w:val="0"/>
                <w:i w:val="0"/>
                <w:sz w:val="16"/>
              </w:rPr>
              <w:t>IHS Markit 10-K FY20yy / S&amp;P Global 10-K FY20yy</w:t>
            </w:r>
          </w:p>
        </w:tc>
      </w:tr>
      <w:tr>
        <w:trPr>
          <w:cantSplit/>
        </w:trPr>
        <w:tc>
          <w:tcPr>
            <w:tcW w:type="dxa" w:w="2592"/>
            <w:shd w:val="clear" w:color="auto" w:fill="D9E1F2"/>
          </w:tcPr>
          <w:p>
            <w:pPr>
              <w:spacing w:after="0" w:line="240" w:lineRule="auto"/>
            </w:pPr>
            <w:r>
              <w:rPr>
                <w:b w:val="0"/>
                <w:i w:val="0"/>
                <w:sz w:val="16"/>
              </w:rPr>
              <w:t>D1–D12, QUALITATIVE, SYNTHESIS, K</w:t>
            </w:r>
          </w:p>
        </w:tc>
        <w:tc>
          <w:tcPr>
            <w:tcW w:type="dxa" w:w="7200"/>
            <w:shd w:val="clear" w:color="auto" w:fill="D9E1F2"/>
          </w:tcPr>
          <w:p>
            <w:pPr>
              <w:spacing w:after="0" w:line="240" w:lineRule="auto"/>
            </w:pPr>
            <w:r>
              <w:rPr>
                <w:b w:val="0"/>
                <w:i w:val="0"/>
                <w:sz w:val="16"/>
              </w:rPr>
              <w:t>Part D analysis files in work/analysis/</w:t>
            </w:r>
          </w:p>
        </w:tc>
      </w:tr>
      <w:tr>
        <w:trPr>
          <w:cantSplit/>
        </w:trPr>
        <w:tc>
          <w:tcPr>
            <w:tcW w:type="dxa" w:w="2592"/>
          </w:tcPr>
          <w:p>
            <w:pPr>
              <w:spacing w:after="0" w:line="240" w:lineRule="auto"/>
            </w:pPr>
            <w:r>
              <w:rPr>
                <w:b w:val="0"/>
                <w:i w:val="0"/>
                <w:sz w:val="16"/>
              </w:rPr>
              <w:t>OCC</w:t>
            </w:r>
          </w:p>
        </w:tc>
        <w:tc>
          <w:tcPr>
            <w:tcW w:type="dxa" w:w="7200"/>
          </w:tcPr>
          <w:p>
            <w:pPr>
              <w:spacing w:after="0" w:line="240" w:lineRule="auto"/>
            </w:pPr>
            <w:r>
              <w:rPr>
                <w:b w:val="0"/>
                <w:i w:val="0"/>
                <w:sz w:val="16"/>
              </w:rPr>
              <w:t>Organic constant currency</w:t>
            </w:r>
          </w:p>
        </w:tc>
      </w:tr>
      <w:tr>
        <w:trPr>
          <w:cantSplit/>
        </w:trPr>
        <w:tc>
          <w:tcPr>
            <w:tcW w:type="dxa" w:w="2592"/>
            <w:shd w:val="clear" w:color="auto" w:fill="D9E1F2"/>
          </w:tcPr>
          <w:p>
            <w:pPr>
              <w:spacing w:after="0" w:line="240" w:lineRule="auto"/>
            </w:pPr>
            <w:r>
              <w:rPr>
                <w:b w:val="0"/>
                <w:i w:val="0"/>
                <w:sz w:val="16"/>
              </w:rPr>
              <w:t>BIG</w:t>
            </w:r>
          </w:p>
        </w:tc>
        <w:tc>
          <w:tcPr>
            <w:tcW w:type="dxa" w:w="7200"/>
            <w:shd w:val="clear" w:color="auto" w:fill="D9E1F2"/>
          </w:tcPr>
          <w:p>
            <w:pPr>
              <w:spacing w:after="0" w:line="240" w:lineRule="auto"/>
            </w:pPr>
            <w:r>
              <w:rPr>
                <w:b w:val="0"/>
                <w:i w:val="0"/>
                <w:sz w:val="16"/>
              </w:rPr>
              <w:t>CARFAX Banking &amp; Insurance Group</w:t>
            </w:r>
          </w:p>
        </w:tc>
      </w:tr>
      <w:tr>
        <w:trPr>
          <w:cantSplit/>
        </w:trPr>
        <w:tc>
          <w:tcPr>
            <w:tcW w:type="dxa" w:w="2592"/>
          </w:tcPr>
          <w:p>
            <w:pPr>
              <w:spacing w:after="0" w:line="240" w:lineRule="auto"/>
            </w:pPr>
            <w:r>
              <w:rPr>
                <w:b w:val="0"/>
                <w:i w:val="0"/>
                <w:sz w:val="16"/>
              </w:rPr>
              <w:t>CPO</w:t>
            </w:r>
          </w:p>
        </w:tc>
        <w:tc>
          <w:tcPr>
            <w:tcW w:type="dxa" w:w="7200"/>
          </w:tcPr>
          <w:p>
            <w:pPr>
              <w:spacing w:after="0" w:line="240" w:lineRule="auto"/>
            </w:pPr>
            <w:r>
              <w:rPr>
                <w:b w:val="0"/>
                <w:i w:val="0"/>
                <w:sz w:val="16"/>
              </w:rPr>
              <w:t>Certified pre-owned</w:t>
            </w:r>
          </w:p>
        </w:tc>
      </w:tr>
      <w:tr>
        <w:trPr>
          <w:cantSplit/>
        </w:trPr>
        <w:tc>
          <w:tcPr>
            <w:tcW w:type="dxa" w:w="2592"/>
            <w:shd w:val="clear" w:color="auto" w:fill="D9E1F2"/>
          </w:tcPr>
          <w:p>
            <w:pPr>
              <w:spacing w:after="0" w:line="240" w:lineRule="auto"/>
            </w:pPr>
            <w:r>
              <w:rPr>
                <w:b w:val="0"/>
                <w:i w:val="0"/>
                <w:sz w:val="16"/>
              </w:rPr>
              <w:t>NRR</w:t>
            </w:r>
          </w:p>
        </w:tc>
        <w:tc>
          <w:tcPr>
            <w:tcW w:type="dxa" w:w="7200"/>
            <w:shd w:val="clear" w:color="auto" w:fill="D9E1F2"/>
          </w:tcPr>
          <w:p>
            <w:pPr>
              <w:spacing w:after="0" w:line="240" w:lineRule="auto"/>
            </w:pPr>
            <w:r>
              <w:rPr>
                <w:b w:val="0"/>
                <w:i w:val="0"/>
                <w:sz w:val="16"/>
              </w:rPr>
              <w:t>Net revenue retention</w:t>
            </w:r>
          </w:p>
        </w:tc>
      </w:tr>
      <w:tr>
        <w:trPr>
          <w:cantSplit/>
        </w:trPr>
        <w:tc>
          <w:tcPr>
            <w:tcW w:type="dxa" w:w="2592"/>
          </w:tcPr>
          <w:p>
            <w:pPr>
              <w:spacing w:after="0" w:line="240" w:lineRule="auto"/>
            </w:pPr>
            <w:r>
              <w:rPr>
                <w:b w:val="0"/>
                <w:i w:val="0"/>
                <w:sz w:val="16"/>
              </w:rPr>
              <w:t>RPO</w:t>
            </w:r>
          </w:p>
        </w:tc>
        <w:tc>
          <w:tcPr>
            <w:tcW w:type="dxa" w:w="7200"/>
          </w:tcPr>
          <w:p>
            <w:pPr>
              <w:spacing w:after="0" w:line="240" w:lineRule="auto"/>
            </w:pPr>
            <w:r>
              <w:rPr>
                <w:b w:val="0"/>
                <w:i w:val="0"/>
                <w:sz w:val="16"/>
              </w:rPr>
              <w:t>Remaining performance obligations</w:t>
            </w:r>
          </w:p>
        </w:tc>
      </w:tr>
      <w:tr>
        <w:trPr>
          <w:cantSplit/>
        </w:trPr>
        <w:tc>
          <w:tcPr>
            <w:tcW w:type="dxa" w:w="2592"/>
            <w:shd w:val="clear" w:color="auto" w:fill="D9E1F2"/>
          </w:tcPr>
          <w:p>
            <w:pPr>
              <w:spacing w:after="0" w:line="240" w:lineRule="auto"/>
            </w:pPr>
            <w:r>
              <w:rPr>
                <w:b w:val="0"/>
                <w:i w:val="0"/>
                <w:sz w:val="16"/>
              </w:rPr>
              <w:t>TSA / TMA / EMA</w:t>
            </w:r>
          </w:p>
        </w:tc>
        <w:tc>
          <w:tcPr>
            <w:tcW w:type="dxa" w:w="7200"/>
            <w:shd w:val="clear" w:color="auto" w:fill="D9E1F2"/>
          </w:tcPr>
          <w:p>
            <w:pPr>
              <w:spacing w:after="0" w:line="240" w:lineRule="auto"/>
            </w:pPr>
            <w:r>
              <w:rPr>
                <w:b w:val="0"/>
                <w:i w:val="0"/>
                <w:sz w:val="16"/>
              </w:rPr>
              <w:t>Transition Services / Tax Matters / Employee Matters Agreement</w:t>
            </w:r>
          </w:p>
        </w:tc>
      </w:tr>
      <w:tr>
        <w:trPr>
          <w:cantSplit/>
        </w:trPr>
        <w:tc>
          <w:tcPr>
            <w:tcW w:type="dxa" w:w="2592"/>
          </w:tcPr>
          <w:p>
            <w:pPr>
              <w:spacing w:after="0" w:line="240" w:lineRule="auto"/>
            </w:pPr>
            <w:r>
              <w:rPr>
                <w:b w:val="0"/>
                <w:i w:val="0"/>
                <w:sz w:val="16"/>
              </w:rPr>
              <w:t>VHR / VIO / MUV</w:t>
            </w:r>
          </w:p>
        </w:tc>
        <w:tc>
          <w:tcPr>
            <w:tcW w:type="dxa" w:w="7200"/>
          </w:tcPr>
          <w:p>
            <w:pPr>
              <w:spacing w:after="0" w:line="240" w:lineRule="auto"/>
            </w:pPr>
            <w:r>
              <w:rPr>
                <w:b w:val="0"/>
                <w:i w:val="0"/>
                <w:sz w:val="16"/>
              </w:rPr>
              <w:t>Vehicle history report / vehicles in operation / monthly unique visitors</w:t>
            </w:r>
          </w:p>
        </w:tc>
      </w:tr>
    </w:tbl>
    <w:p>
      <w:pPr>
        <w:spacing w:after="40"/>
      </w:pPr>
    </w:p>
    <w:p>
      <w:pPr>
        <w:pStyle w:val="Heading1"/>
        <w:pageBreakBefore/>
      </w:pPr>
      <w:r>
        <w:t>Placeholder register</w:t>
      </w:r>
    </w:p>
    <w:p>
      <w:r>
        <w:rPr>
          <w:b w:val="0"/>
          <w:i w:val="0"/>
        </w:rPr>
        <w:t>Auto-generated from the 82 [TO COLLECT] placeholders in this document. Page numbers are taken from a LibreOffice rendering of the document (approximate in Word). This register is the field-work list.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503"/>
        <w:gridCol w:w="2736"/>
        <w:gridCol w:w="864"/>
        <w:gridCol w:w="5688"/>
      </w:tblGrid>
      <w:tr>
        <w:trPr>
          <w:cantSplit/>
          <w:tblHeader/>
        </w:trPr>
        <w:tc>
          <w:tcPr>
            <w:tcW w:type="dxa" w:w="504"/>
            <w:shd w:val="clear" w:color="auto" w:fill="1F3864"/>
          </w:tcPr>
          <w:p>
            <w:pPr>
              <w:spacing w:after="0" w:line="240" w:lineRule="auto"/>
            </w:pPr>
            <w:r>
              <w:rPr>
                <w:b/>
                <w:i w:val="0"/>
                <w:color w:val="FFFFFF"/>
                <w:sz w:val="15"/>
              </w:rPr>
              <w:t>#</w:t>
            </w:r>
          </w:p>
        </w:tc>
        <w:tc>
          <w:tcPr>
            <w:tcW w:type="dxa" w:w="2736"/>
            <w:shd w:val="clear" w:color="auto" w:fill="1F3864"/>
          </w:tcPr>
          <w:p>
            <w:pPr>
              <w:spacing w:after="0" w:line="240" w:lineRule="auto"/>
            </w:pPr>
            <w:r>
              <w:rPr>
                <w:b/>
                <w:i w:val="0"/>
                <w:color w:val="FFFFFF"/>
                <w:sz w:val="15"/>
              </w:rPr>
              <w:t>Section</w:t>
            </w:r>
          </w:p>
        </w:tc>
        <w:tc>
          <w:tcPr>
            <w:tcW w:type="dxa" w:w="864"/>
            <w:shd w:val="clear" w:color="auto" w:fill="1F3864"/>
          </w:tcPr>
          <w:p>
            <w:pPr>
              <w:spacing w:after="0" w:line="240" w:lineRule="auto"/>
              <w:jc w:val="right"/>
            </w:pPr>
            <w:r>
              <w:rPr>
                <w:b/>
                <w:i w:val="0"/>
                <w:color w:val="FFFFFF"/>
                <w:sz w:val="15"/>
              </w:rPr>
              <w:t>Approx. page</w:t>
            </w:r>
          </w:p>
        </w:tc>
        <w:tc>
          <w:tcPr>
            <w:tcW w:type="dxa" w:w="5688"/>
            <w:shd w:val="clear" w:color="auto" w:fill="1F3864"/>
          </w:tcPr>
          <w:p>
            <w:pPr>
              <w:spacing w:after="0" w:line="240" w:lineRule="auto"/>
            </w:pPr>
            <w:r>
              <w:rPr>
                <w:b/>
                <w:i w:val="0"/>
                <w:color w:val="FFFFFF"/>
                <w:sz w:val="15"/>
              </w:rPr>
              <w:t>Item to collect</w:t>
            </w:r>
          </w:p>
        </w:tc>
      </w:tr>
      <w:tr>
        <w:trPr>
          <w:cantSplit/>
        </w:trPr>
        <w:tc>
          <w:tcPr>
            <w:tcW w:type="dxa" w:w="504"/>
          </w:tcPr>
          <w:p>
            <w:pPr>
              <w:spacing w:after="0" w:line="240" w:lineRule="auto"/>
            </w:pPr>
            <w:r>
              <w:rPr>
                <w:b w:val="0"/>
                <w:i w:val="0"/>
                <w:sz w:val="15"/>
              </w:rPr>
              <w:t>1</w:t>
            </w:r>
          </w:p>
        </w:tc>
        <w:tc>
          <w:tcPr>
            <w:tcW w:type="dxa" w:w="2736"/>
          </w:tcPr>
          <w:p>
            <w:pPr>
              <w:spacing w:after="0" w:line="240" w:lineRule="auto"/>
            </w:pPr>
            <w:r>
              <w:rPr>
                <w:b w:val="0"/>
                <w:i w:val="0"/>
                <w:sz w:val="15"/>
              </w:rPr>
              <w:t>1 Executive summary</w:t>
            </w:r>
          </w:p>
        </w:tc>
        <w:tc>
          <w:tcPr>
            <w:tcW w:type="dxa" w:w="864"/>
          </w:tcPr>
          <w:p>
            <w:pPr>
              <w:spacing w:after="0" w:line="240" w:lineRule="auto"/>
              <w:jc w:val="right"/>
            </w:pPr>
            <w:r>
              <w:rPr>
                <w:b w:val="0"/>
                <w:i w:val="0"/>
                <w:sz w:val="15"/>
              </w:rPr>
              <w:t>3</w:t>
            </w:r>
          </w:p>
        </w:tc>
        <w:tc>
          <w:tcPr>
            <w:tcW w:type="dxa" w:w="5688"/>
          </w:tcPr>
          <w:p>
            <w:pPr>
              <w:spacing w:after="0" w:line="240" w:lineRule="auto"/>
            </w:pPr>
            <w:r>
              <w:rPr>
                <w:b w:val="0"/>
                <w:i w:val="0"/>
                <w:sz w:val="15"/>
              </w:rPr>
              <w:t>MBGL share price, market capitalisation and enterprise value as of 2026-10-06</w:t>
            </w:r>
          </w:p>
        </w:tc>
      </w:tr>
      <w:tr>
        <w:trPr>
          <w:cantSplit/>
        </w:trPr>
        <w:tc>
          <w:tcPr>
            <w:tcW w:type="dxa" w:w="504"/>
            <w:shd w:val="clear" w:color="auto" w:fill="D9E1F2"/>
          </w:tcPr>
          <w:p>
            <w:pPr>
              <w:spacing w:after="0" w:line="240" w:lineRule="auto"/>
            </w:pPr>
            <w:r>
              <w:rPr>
                <w:b w:val="0"/>
                <w:i w:val="0"/>
                <w:sz w:val="15"/>
              </w:rPr>
              <w:t>2</w:t>
            </w:r>
          </w:p>
        </w:tc>
        <w:tc>
          <w:tcPr>
            <w:tcW w:type="dxa" w:w="2736"/>
            <w:shd w:val="clear" w:color="auto" w:fill="D9E1F2"/>
          </w:tcPr>
          <w:p>
            <w:pPr>
              <w:spacing w:after="0" w:line="240" w:lineRule="auto"/>
            </w:pPr>
            <w:r>
              <w:rPr>
                <w:b w:val="0"/>
                <w:i w:val="0"/>
                <w:sz w:val="15"/>
              </w:rPr>
              <w:t>1 Executive summary</w:t>
            </w:r>
          </w:p>
        </w:tc>
        <w:tc>
          <w:tcPr>
            <w:tcW w:type="dxa" w:w="864"/>
            <w:shd w:val="clear" w:color="auto" w:fill="D9E1F2"/>
          </w:tcPr>
          <w:p>
            <w:pPr>
              <w:spacing w:after="0" w:line="240" w:lineRule="auto"/>
              <w:jc w:val="right"/>
            </w:pPr>
            <w:r>
              <w:rPr>
                <w:b w:val="0"/>
                <w:i w:val="0"/>
                <w:sz w:val="15"/>
              </w:rPr>
              <w:t>3</w:t>
            </w:r>
          </w:p>
        </w:tc>
        <w:tc>
          <w:tcPr>
            <w:tcW w:type="dxa" w:w="5688"/>
            <w:shd w:val="clear" w:color="auto" w:fill="D9E1F2"/>
          </w:tcPr>
          <w:p>
            <w:pPr>
              <w:spacing w:after="0" w:line="240" w:lineRule="auto"/>
            </w:pPr>
            <w:r>
              <w:rPr>
                <w:b w:val="0"/>
                <w:i w:val="0"/>
                <w:sz w:val="15"/>
              </w:rPr>
              <w:t>EV/Adj. EBITDA, P/E on normalized NI, FCF yield — requires market data</w:t>
            </w:r>
          </w:p>
        </w:tc>
      </w:tr>
      <w:tr>
        <w:trPr>
          <w:cantSplit/>
        </w:trPr>
        <w:tc>
          <w:tcPr>
            <w:tcW w:type="dxa" w:w="504"/>
          </w:tcPr>
          <w:p>
            <w:pPr>
              <w:spacing w:after="0" w:line="240" w:lineRule="auto"/>
            </w:pPr>
            <w:r>
              <w:rPr>
                <w:b w:val="0"/>
                <w:i w:val="0"/>
                <w:sz w:val="15"/>
              </w:rPr>
              <w:t>3</w:t>
            </w:r>
          </w:p>
        </w:tc>
        <w:tc>
          <w:tcPr>
            <w:tcW w:type="dxa" w:w="2736"/>
          </w:tcPr>
          <w:p>
            <w:pPr>
              <w:spacing w:after="0" w:line="240" w:lineRule="auto"/>
            </w:pPr>
            <w:r>
              <w:rPr>
                <w:b w:val="0"/>
                <w:i w:val="0"/>
                <w:sz w:val="15"/>
              </w:rPr>
              <w:t>1 Executive summary</w:t>
            </w:r>
          </w:p>
        </w:tc>
        <w:tc>
          <w:tcPr>
            <w:tcW w:type="dxa" w:w="864"/>
          </w:tcPr>
          <w:p>
            <w:pPr>
              <w:spacing w:after="0" w:line="240" w:lineRule="auto"/>
              <w:jc w:val="right"/>
            </w:pPr>
            <w:r>
              <w:rPr>
                <w:b w:val="0"/>
                <w:i w:val="0"/>
                <w:sz w:val="15"/>
              </w:rPr>
              <w:t>5</w:t>
            </w:r>
          </w:p>
        </w:tc>
        <w:tc>
          <w:tcPr>
            <w:tcW w:type="dxa" w:w="5688"/>
          </w:tcPr>
          <w:p>
            <w:pPr>
              <w:spacing w:after="0" w:line="240" w:lineRule="auto"/>
            </w:pPr>
            <w:r>
              <w:rPr>
                <w:b w:val="0"/>
                <w:i w:val="0"/>
                <w:sz w:val="15"/>
              </w:rPr>
              <w:t>consensus estimates and current valuation multiple to test what growth is priced in</w:t>
            </w:r>
          </w:p>
        </w:tc>
      </w:tr>
      <w:tr>
        <w:trPr>
          <w:cantSplit/>
        </w:trPr>
        <w:tc>
          <w:tcPr>
            <w:tcW w:type="dxa" w:w="504"/>
            <w:shd w:val="clear" w:color="auto" w:fill="D9E1F2"/>
          </w:tcPr>
          <w:p>
            <w:pPr>
              <w:spacing w:after="0" w:line="240" w:lineRule="auto"/>
            </w:pPr>
            <w:r>
              <w:rPr>
                <w:b w:val="0"/>
                <w:i w:val="0"/>
                <w:sz w:val="15"/>
              </w:rPr>
              <w:t>4</w:t>
            </w:r>
          </w:p>
        </w:tc>
        <w:tc>
          <w:tcPr>
            <w:tcW w:type="dxa" w:w="2736"/>
            <w:shd w:val="clear" w:color="auto" w:fill="D9E1F2"/>
          </w:tcPr>
          <w:p>
            <w:pPr>
              <w:spacing w:after="0" w:line="240" w:lineRule="auto"/>
            </w:pPr>
            <w:r>
              <w:rPr>
                <w:b w:val="0"/>
                <w:i w:val="0"/>
                <w:sz w:val="15"/>
              </w:rPr>
              <w:t>2 Business overview &amp; history</w:t>
            </w:r>
          </w:p>
        </w:tc>
        <w:tc>
          <w:tcPr>
            <w:tcW w:type="dxa" w:w="864"/>
            <w:shd w:val="clear" w:color="auto" w:fill="D9E1F2"/>
          </w:tcPr>
          <w:p>
            <w:pPr>
              <w:spacing w:after="0" w:line="240" w:lineRule="auto"/>
              <w:jc w:val="right"/>
            </w:pPr>
            <w:r>
              <w:rPr>
                <w:b w:val="0"/>
                <w:i w:val="0"/>
                <w:sz w:val="15"/>
              </w:rPr>
              <w:t>6</w:t>
            </w:r>
          </w:p>
        </w:tc>
        <w:tc>
          <w:tcPr>
            <w:tcW w:type="dxa" w:w="5688"/>
            <w:shd w:val="clear" w:color="auto" w:fill="D9E1F2"/>
          </w:tcPr>
          <w:p>
            <w:pPr>
              <w:spacing w:after="0" w:line="240" w:lineRule="auto"/>
            </w:pPr>
            <w:r>
              <w:rPr>
                <w:b w:val="0"/>
                <w:i w:val="0"/>
                <w:sz w:val="15"/>
              </w:rPr>
              <w:t>pre-2013 CARFAX/Polk history incl. 2008–09</w:t>
            </w:r>
          </w:p>
        </w:tc>
      </w:tr>
      <w:tr>
        <w:trPr>
          <w:cantSplit/>
        </w:trPr>
        <w:tc>
          <w:tcPr>
            <w:tcW w:type="dxa" w:w="504"/>
          </w:tcPr>
          <w:p>
            <w:pPr>
              <w:spacing w:after="0" w:line="240" w:lineRule="auto"/>
            </w:pPr>
            <w:r>
              <w:rPr>
                <w:b w:val="0"/>
                <w:i w:val="0"/>
                <w:sz w:val="15"/>
              </w:rPr>
              <w:t>5</w:t>
            </w:r>
          </w:p>
        </w:tc>
        <w:tc>
          <w:tcPr>
            <w:tcW w:type="dxa" w:w="2736"/>
          </w:tcPr>
          <w:p>
            <w:pPr>
              <w:spacing w:after="0" w:line="240" w:lineRule="auto"/>
            </w:pPr>
            <w:r>
              <w:rPr>
                <w:b w:val="0"/>
                <w:i w:val="0"/>
                <w:sz w:val="15"/>
              </w:rPr>
              <w:t>2 Business overview &amp; history</w:t>
            </w:r>
          </w:p>
        </w:tc>
        <w:tc>
          <w:tcPr>
            <w:tcW w:type="dxa" w:w="864"/>
          </w:tcPr>
          <w:p>
            <w:pPr>
              <w:spacing w:after="0" w:line="240" w:lineRule="auto"/>
              <w:jc w:val="right"/>
            </w:pPr>
            <w:r>
              <w:rPr>
                <w:b w:val="0"/>
                <w:i w:val="0"/>
                <w:sz w:val="15"/>
              </w:rPr>
              <w:t>6</w:t>
            </w:r>
          </w:p>
        </w:tc>
        <w:tc>
          <w:tcPr>
            <w:tcW w:type="dxa" w:w="5688"/>
          </w:tcPr>
          <w:p>
            <w:pPr>
              <w:spacing w:after="0" w:line="240" w:lineRule="auto"/>
            </w:pPr>
            <w:r>
              <w:rPr>
                <w:b w:val="0"/>
                <w:i w:val="0"/>
                <w:sz w:val="15"/>
              </w:rPr>
              <w:t>Q3-26 10-Q / results (first standalone quarter, adjusted NI definition)</w:t>
            </w:r>
          </w:p>
        </w:tc>
      </w:tr>
      <w:tr>
        <w:trPr>
          <w:cantSplit/>
        </w:trPr>
        <w:tc>
          <w:tcPr>
            <w:tcW w:type="dxa" w:w="504"/>
            <w:shd w:val="clear" w:color="auto" w:fill="D9E1F2"/>
          </w:tcPr>
          <w:p>
            <w:pPr>
              <w:spacing w:after="0" w:line="240" w:lineRule="auto"/>
            </w:pPr>
            <w:r>
              <w:rPr>
                <w:b w:val="0"/>
                <w:i w:val="0"/>
                <w:sz w:val="15"/>
              </w:rPr>
              <w:t>6</w:t>
            </w:r>
          </w:p>
        </w:tc>
        <w:tc>
          <w:tcPr>
            <w:tcW w:type="dxa" w:w="2736"/>
            <w:shd w:val="clear" w:color="auto" w:fill="D9E1F2"/>
          </w:tcPr>
          <w:p>
            <w:pPr>
              <w:spacing w:after="0" w:line="240" w:lineRule="auto"/>
            </w:pPr>
            <w:r>
              <w:rPr>
                <w:b w:val="0"/>
                <w:i w:val="0"/>
                <w:sz w:val="15"/>
              </w:rPr>
              <w:t>2 Business overview &amp; history</w:t>
            </w:r>
          </w:p>
        </w:tc>
        <w:tc>
          <w:tcPr>
            <w:tcW w:type="dxa" w:w="864"/>
            <w:shd w:val="clear" w:color="auto" w:fill="D9E1F2"/>
          </w:tcPr>
          <w:p>
            <w:pPr>
              <w:spacing w:after="0" w:line="240" w:lineRule="auto"/>
              <w:jc w:val="right"/>
            </w:pPr>
            <w:r>
              <w:rPr>
                <w:b w:val="0"/>
                <w:i w:val="0"/>
                <w:sz w:val="15"/>
              </w:rPr>
              <w:t>7</w:t>
            </w:r>
          </w:p>
        </w:tc>
        <w:tc>
          <w:tcPr>
            <w:tcW w:type="dxa" w:w="5688"/>
            <w:shd w:val="clear" w:color="auto" w:fill="D9E1F2"/>
          </w:tcPr>
          <w:p>
            <w:pPr>
              <w:spacing w:after="0" w:line="240" w:lineRule="auto"/>
            </w:pPr>
            <w:r>
              <w:rPr>
                <w:b w:val="0"/>
                <w:i w:val="0"/>
                <w:sz w:val="15"/>
              </w:rPr>
              <w:t>2013 IHS–R.L. Polk purchase price and CARFAX allocation</w:t>
            </w:r>
          </w:p>
        </w:tc>
      </w:tr>
      <w:tr>
        <w:trPr>
          <w:cantSplit/>
        </w:trPr>
        <w:tc>
          <w:tcPr>
            <w:tcW w:type="dxa" w:w="504"/>
          </w:tcPr>
          <w:p>
            <w:pPr>
              <w:spacing w:after="0" w:line="240" w:lineRule="auto"/>
            </w:pPr>
            <w:r>
              <w:rPr>
                <w:b w:val="0"/>
                <w:i w:val="0"/>
                <w:sz w:val="15"/>
              </w:rPr>
              <w:t>7</w:t>
            </w:r>
          </w:p>
        </w:tc>
        <w:tc>
          <w:tcPr>
            <w:tcW w:type="dxa" w:w="2736"/>
          </w:tcPr>
          <w:p>
            <w:pPr>
              <w:spacing w:after="0" w:line="240" w:lineRule="auto"/>
            </w:pPr>
            <w:r>
              <w:rPr>
                <w:b w:val="0"/>
                <w:i w:val="0"/>
                <w:sz w:val="15"/>
              </w:rPr>
              <w:t>2 Business overview &amp; history</w:t>
            </w:r>
          </w:p>
        </w:tc>
        <w:tc>
          <w:tcPr>
            <w:tcW w:type="dxa" w:w="864"/>
          </w:tcPr>
          <w:p>
            <w:pPr>
              <w:spacing w:after="0" w:line="240" w:lineRule="auto"/>
              <w:jc w:val="right"/>
            </w:pPr>
            <w:r>
              <w:rPr>
                <w:b w:val="0"/>
                <w:i w:val="0"/>
                <w:sz w:val="15"/>
              </w:rPr>
              <w:t>7</w:t>
            </w:r>
          </w:p>
        </w:tc>
        <w:tc>
          <w:tcPr>
            <w:tcW w:type="dxa" w:w="5688"/>
          </w:tcPr>
          <w:p>
            <w:pPr>
              <w:spacing w:after="0" w:line="240" w:lineRule="auto"/>
            </w:pPr>
            <w:r>
              <w:rPr>
                <w:b w:val="0"/>
                <w:i w:val="0"/>
                <w:sz w:val="15"/>
              </w:rPr>
              <w:t>outcome of the 2017 dealer antitrust re-filing against CARFAX</w:t>
            </w:r>
          </w:p>
        </w:tc>
      </w:tr>
      <w:tr>
        <w:trPr>
          <w:cantSplit/>
        </w:trPr>
        <w:tc>
          <w:tcPr>
            <w:tcW w:type="dxa" w:w="504"/>
            <w:shd w:val="clear" w:color="auto" w:fill="D9E1F2"/>
          </w:tcPr>
          <w:p>
            <w:pPr>
              <w:spacing w:after="0" w:line="240" w:lineRule="auto"/>
            </w:pPr>
            <w:r>
              <w:rPr>
                <w:b w:val="0"/>
                <w:i w:val="0"/>
                <w:sz w:val="15"/>
              </w:rPr>
              <w:t>8</w:t>
            </w:r>
          </w:p>
        </w:tc>
        <w:tc>
          <w:tcPr>
            <w:tcW w:type="dxa" w:w="2736"/>
            <w:shd w:val="clear" w:color="auto" w:fill="D9E1F2"/>
          </w:tcPr>
          <w:p>
            <w:pPr>
              <w:spacing w:after="0" w:line="240" w:lineRule="auto"/>
            </w:pPr>
            <w:r>
              <w:rPr>
                <w:b w:val="0"/>
                <w:i w:val="0"/>
                <w:sz w:val="15"/>
              </w:rPr>
              <w:t>2 Business overview &amp; history</w:t>
            </w:r>
          </w:p>
        </w:tc>
        <w:tc>
          <w:tcPr>
            <w:tcW w:type="dxa" w:w="864"/>
            <w:shd w:val="clear" w:color="auto" w:fill="D9E1F2"/>
          </w:tcPr>
          <w:p>
            <w:pPr>
              <w:spacing w:after="0" w:line="240" w:lineRule="auto"/>
              <w:jc w:val="right"/>
            </w:pPr>
            <w:r>
              <w:rPr>
                <w:b w:val="0"/>
                <w:i w:val="0"/>
                <w:sz w:val="15"/>
              </w:rPr>
              <w:t>8</w:t>
            </w:r>
          </w:p>
        </w:tc>
        <w:tc>
          <w:tcPr>
            <w:tcW w:type="dxa" w:w="5688"/>
            <w:shd w:val="clear" w:color="auto" w:fill="D9E1F2"/>
          </w:tcPr>
          <w:p>
            <w:pPr>
              <w:spacing w:after="0" w:line="240" w:lineRule="auto"/>
            </w:pPr>
            <w:r>
              <w:rPr>
                <w:b w:val="0"/>
                <w:i w:val="0"/>
                <w:sz w:val="15"/>
              </w:rPr>
              <w:t>TSA fee amounts by service and exit timetable</w:t>
            </w:r>
          </w:p>
        </w:tc>
      </w:tr>
      <w:tr>
        <w:trPr>
          <w:cantSplit/>
        </w:trPr>
        <w:tc>
          <w:tcPr>
            <w:tcW w:type="dxa" w:w="504"/>
          </w:tcPr>
          <w:p>
            <w:pPr>
              <w:spacing w:after="0" w:line="240" w:lineRule="auto"/>
            </w:pPr>
            <w:r>
              <w:rPr>
                <w:b w:val="0"/>
                <w:i w:val="0"/>
                <w:sz w:val="15"/>
              </w:rPr>
              <w:t>9</w:t>
            </w:r>
          </w:p>
        </w:tc>
        <w:tc>
          <w:tcPr>
            <w:tcW w:type="dxa" w:w="2736"/>
          </w:tcPr>
          <w:p>
            <w:pPr>
              <w:spacing w:after="0" w:line="240" w:lineRule="auto"/>
            </w:pPr>
            <w:r>
              <w:rPr>
                <w:b w:val="0"/>
                <w:i w:val="0"/>
                <w:sz w:val="15"/>
              </w:rPr>
              <w:t>2 Business overview &amp; history</w:t>
            </w:r>
          </w:p>
        </w:tc>
        <w:tc>
          <w:tcPr>
            <w:tcW w:type="dxa" w:w="864"/>
          </w:tcPr>
          <w:p>
            <w:pPr>
              <w:spacing w:after="0" w:line="240" w:lineRule="auto"/>
              <w:jc w:val="right"/>
            </w:pPr>
            <w:r>
              <w:rPr>
                <w:b w:val="0"/>
                <w:i w:val="0"/>
                <w:sz w:val="15"/>
              </w:rPr>
              <w:t>8</w:t>
            </w:r>
          </w:p>
        </w:tc>
        <w:tc>
          <w:tcPr>
            <w:tcW w:type="dxa" w:w="5688"/>
          </w:tcPr>
          <w:p>
            <w:pPr>
              <w:spacing w:after="0" w:line="240" w:lineRule="auto"/>
            </w:pPr>
            <w:r>
              <w:rPr>
                <w:b w:val="0"/>
                <w:i w:val="0"/>
                <w:sz w:val="15"/>
              </w:rPr>
              <w:t>Employee Matters Agreement schedules and Form S-8 Ex.99.1 (LTIP full text)</w:t>
            </w:r>
          </w:p>
        </w:tc>
      </w:tr>
      <w:tr>
        <w:trPr>
          <w:cantSplit/>
        </w:trPr>
        <w:tc>
          <w:tcPr>
            <w:tcW w:type="dxa" w:w="504"/>
            <w:shd w:val="clear" w:color="auto" w:fill="D9E1F2"/>
          </w:tcPr>
          <w:p>
            <w:pPr>
              <w:spacing w:after="0" w:line="240" w:lineRule="auto"/>
            </w:pPr>
            <w:r>
              <w:rPr>
                <w:b w:val="0"/>
                <w:i w:val="0"/>
                <w:sz w:val="15"/>
              </w:rPr>
              <w:t>10</w:t>
            </w:r>
          </w:p>
        </w:tc>
        <w:tc>
          <w:tcPr>
            <w:tcW w:type="dxa" w:w="2736"/>
            <w:shd w:val="clear" w:color="auto" w:fill="D9E1F2"/>
          </w:tcPr>
          <w:p>
            <w:pPr>
              <w:spacing w:after="0" w:line="240" w:lineRule="auto"/>
            </w:pPr>
            <w:r>
              <w:rPr>
                <w:b w:val="0"/>
                <w:i w:val="0"/>
                <w:sz w:val="15"/>
              </w:rPr>
              <w:t>3 Segments &amp; revenue model</w:t>
            </w:r>
          </w:p>
        </w:tc>
        <w:tc>
          <w:tcPr>
            <w:tcW w:type="dxa" w:w="864"/>
            <w:shd w:val="clear" w:color="auto" w:fill="D9E1F2"/>
          </w:tcPr>
          <w:p>
            <w:pPr>
              <w:spacing w:after="0" w:line="240" w:lineRule="auto"/>
              <w:jc w:val="right"/>
            </w:pPr>
            <w:r>
              <w:rPr>
                <w:b w:val="0"/>
                <w:i w:val="0"/>
                <w:sz w:val="15"/>
              </w:rPr>
              <w:t>9</w:t>
            </w:r>
          </w:p>
        </w:tc>
        <w:tc>
          <w:tcPr>
            <w:tcW w:type="dxa" w:w="5688"/>
            <w:shd w:val="clear" w:color="auto" w:fill="D9E1F2"/>
          </w:tcPr>
          <w:p>
            <w:pPr>
              <w:spacing w:after="0" w:line="240" w:lineRule="auto"/>
            </w:pPr>
            <w:r>
              <w:rPr>
                <w:b w:val="0"/>
                <w:i w:val="0"/>
                <w:sz w:val="15"/>
              </w:rPr>
              <w:t>revenue by product (Advantage, Listings, Car Care, BIG, aM, Polk, Market Scan, Planning) from the first 10-K or management</w:t>
            </w:r>
          </w:p>
        </w:tc>
      </w:tr>
      <w:tr>
        <w:trPr>
          <w:cantSplit/>
        </w:trPr>
        <w:tc>
          <w:tcPr>
            <w:tcW w:type="dxa" w:w="504"/>
          </w:tcPr>
          <w:p>
            <w:pPr>
              <w:spacing w:after="0" w:line="240" w:lineRule="auto"/>
            </w:pPr>
            <w:r>
              <w:rPr>
                <w:b w:val="0"/>
                <w:i w:val="0"/>
                <w:sz w:val="15"/>
              </w:rPr>
              <w:t>11</w:t>
            </w:r>
          </w:p>
        </w:tc>
        <w:tc>
          <w:tcPr>
            <w:tcW w:type="dxa" w:w="2736"/>
          </w:tcPr>
          <w:p>
            <w:pPr>
              <w:spacing w:after="0" w:line="240" w:lineRule="auto"/>
            </w:pPr>
            <w:r>
              <w:rPr>
                <w:b w:val="0"/>
                <w:i w:val="0"/>
                <w:sz w:val="15"/>
              </w:rPr>
              <w:t>3 Segments &amp; revenue model</w:t>
            </w:r>
          </w:p>
        </w:tc>
        <w:tc>
          <w:tcPr>
            <w:tcW w:type="dxa" w:w="864"/>
          </w:tcPr>
          <w:p>
            <w:pPr>
              <w:spacing w:after="0" w:line="240" w:lineRule="auto"/>
              <w:jc w:val="right"/>
            </w:pPr>
            <w:r>
              <w:rPr>
                <w:b w:val="0"/>
                <w:i w:val="0"/>
                <w:sz w:val="15"/>
              </w:rPr>
              <w:t>9</w:t>
            </w:r>
          </w:p>
        </w:tc>
        <w:tc>
          <w:tcPr>
            <w:tcW w:type="dxa" w:w="5688"/>
          </w:tcPr>
          <w:p>
            <w:pPr>
              <w:spacing w:after="0" w:line="240" w:lineRule="auto"/>
            </w:pPr>
            <w:r>
              <w:rPr>
                <w:b w:val="0"/>
                <w:i w:val="0"/>
                <w:sz w:val="15"/>
              </w:rPr>
              <w:t>B2B business-line revenue in dollars (Marketing &amp; Sales vs Strategy &amp; Planning) for FY23–25</w:t>
            </w:r>
          </w:p>
        </w:tc>
      </w:tr>
      <w:tr>
        <w:trPr>
          <w:cantSplit/>
        </w:trPr>
        <w:tc>
          <w:tcPr>
            <w:tcW w:type="dxa" w:w="504"/>
            <w:shd w:val="clear" w:color="auto" w:fill="D9E1F2"/>
          </w:tcPr>
          <w:p>
            <w:pPr>
              <w:spacing w:after="0" w:line="240" w:lineRule="auto"/>
            </w:pPr>
            <w:r>
              <w:rPr>
                <w:b w:val="0"/>
                <w:i w:val="0"/>
                <w:sz w:val="15"/>
              </w:rPr>
              <w:t>12</w:t>
            </w:r>
          </w:p>
        </w:tc>
        <w:tc>
          <w:tcPr>
            <w:tcW w:type="dxa" w:w="2736"/>
            <w:shd w:val="clear" w:color="auto" w:fill="D9E1F2"/>
          </w:tcPr>
          <w:p>
            <w:pPr>
              <w:spacing w:after="0" w:line="240" w:lineRule="auto"/>
            </w:pPr>
            <w:r>
              <w:rPr>
                <w:b w:val="0"/>
                <w:i w:val="0"/>
                <w:sz w:val="15"/>
              </w:rPr>
              <w:t>3 Segments &amp; revenue model</w:t>
            </w:r>
          </w:p>
        </w:tc>
        <w:tc>
          <w:tcPr>
            <w:tcW w:type="dxa" w:w="864"/>
            <w:shd w:val="clear" w:color="auto" w:fill="D9E1F2"/>
          </w:tcPr>
          <w:p>
            <w:pPr>
              <w:spacing w:after="0" w:line="240" w:lineRule="auto"/>
              <w:jc w:val="right"/>
            </w:pPr>
            <w:r>
              <w:rPr>
                <w:b w:val="0"/>
                <w:i w:val="0"/>
                <w:sz w:val="15"/>
              </w:rPr>
              <w:t>10</w:t>
            </w:r>
          </w:p>
        </w:tc>
        <w:tc>
          <w:tcPr>
            <w:tcW w:type="dxa" w:w="5688"/>
            <w:shd w:val="clear" w:color="auto" w:fill="D9E1F2"/>
          </w:tcPr>
          <w:p>
            <w:pPr>
              <w:spacing w:after="0" w:line="240" w:lineRule="auto"/>
            </w:pPr>
            <w:r>
              <w:rPr>
                <w:b w:val="0"/>
                <w:i w:val="0"/>
                <w:sz w:val="15"/>
              </w:rPr>
              <w:t>enrolled CARFAX dealer locations by year and average monthly price per location</w:t>
            </w:r>
          </w:p>
        </w:tc>
      </w:tr>
      <w:tr>
        <w:trPr>
          <w:cantSplit/>
        </w:trPr>
        <w:tc>
          <w:tcPr>
            <w:tcW w:type="dxa" w:w="504"/>
          </w:tcPr>
          <w:p>
            <w:pPr>
              <w:spacing w:after="0" w:line="240" w:lineRule="auto"/>
            </w:pPr>
            <w:r>
              <w:rPr>
                <w:b w:val="0"/>
                <w:i w:val="0"/>
                <w:sz w:val="15"/>
              </w:rPr>
              <w:t>13</w:t>
            </w:r>
          </w:p>
        </w:tc>
        <w:tc>
          <w:tcPr>
            <w:tcW w:type="dxa" w:w="2736"/>
          </w:tcPr>
          <w:p>
            <w:pPr>
              <w:spacing w:after="0" w:line="240" w:lineRule="auto"/>
            </w:pPr>
            <w:r>
              <w:rPr>
                <w:b w:val="0"/>
                <w:i w:val="0"/>
                <w:sz w:val="15"/>
              </w:rPr>
              <w:t>4 Market &amp; industry</w:t>
            </w:r>
          </w:p>
        </w:tc>
        <w:tc>
          <w:tcPr>
            <w:tcW w:type="dxa" w:w="864"/>
          </w:tcPr>
          <w:p>
            <w:pPr>
              <w:spacing w:after="0" w:line="240" w:lineRule="auto"/>
              <w:jc w:val="right"/>
            </w:pPr>
            <w:r>
              <w:rPr>
                <w:b w:val="0"/>
                <w:i w:val="0"/>
                <w:sz w:val="15"/>
              </w:rPr>
              <w:t>11</w:t>
            </w:r>
          </w:p>
        </w:tc>
        <w:tc>
          <w:tcPr>
            <w:tcW w:type="dxa" w:w="5688"/>
          </w:tcPr>
          <w:p>
            <w:pPr>
              <w:spacing w:after="0" w:line="240" w:lineRule="auto"/>
            </w:pPr>
            <w:r>
              <w:rPr>
                <w:b w:val="0"/>
                <w:i w:val="0"/>
                <w:sz w:val="15"/>
              </w:rPr>
              <w:t>US used-vehicle retail units 2014–2026 (Cox Automotive estimates) and Manheim index</w:t>
            </w:r>
          </w:p>
        </w:tc>
      </w:tr>
      <w:tr>
        <w:trPr>
          <w:cantSplit/>
        </w:trPr>
        <w:tc>
          <w:tcPr>
            <w:tcW w:type="dxa" w:w="504"/>
            <w:shd w:val="clear" w:color="auto" w:fill="D9E1F2"/>
          </w:tcPr>
          <w:p>
            <w:pPr>
              <w:spacing w:after="0" w:line="240" w:lineRule="auto"/>
            </w:pPr>
            <w:r>
              <w:rPr>
                <w:b w:val="0"/>
                <w:i w:val="0"/>
                <w:sz w:val="15"/>
              </w:rPr>
              <w:t>14</w:t>
            </w:r>
          </w:p>
        </w:tc>
        <w:tc>
          <w:tcPr>
            <w:tcW w:type="dxa" w:w="2736"/>
            <w:shd w:val="clear" w:color="auto" w:fill="D9E1F2"/>
          </w:tcPr>
          <w:p>
            <w:pPr>
              <w:spacing w:after="0" w:line="240" w:lineRule="auto"/>
            </w:pPr>
            <w:r>
              <w:rPr>
                <w:b w:val="0"/>
                <w:i w:val="0"/>
                <w:sz w:val="15"/>
              </w:rPr>
              <w:t>4 Market &amp; industry</w:t>
            </w:r>
          </w:p>
        </w:tc>
        <w:tc>
          <w:tcPr>
            <w:tcW w:type="dxa" w:w="864"/>
            <w:shd w:val="clear" w:color="auto" w:fill="D9E1F2"/>
          </w:tcPr>
          <w:p>
            <w:pPr>
              <w:spacing w:after="0" w:line="240" w:lineRule="auto"/>
              <w:jc w:val="right"/>
            </w:pPr>
            <w:r>
              <w:rPr>
                <w:b w:val="0"/>
                <w:i w:val="0"/>
                <w:sz w:val="15"/>
              </w:rPr>
              <w:t>11</w:t>
            </w:r>
          </w:p>
        </w:tc>
        <w:tc>
          <w:tcPr>
            <w:tcW w:type="dxa" w:w="5688"/>
            <w:shd w:val="clear" w:color="auto" w:fill="D9E1F2"/>
          </w:tcPr>
          <w:p>
            <w:pPr>
              <w:spacing w:after="0" w:line="240" w:lineRule="auto"/>
            </w:pPr>
            <w:r>
              <w:rPr>
                <w:b w:val="0"/>
                <w:i w:val="0"/>
                <w:sz w:val="15"/>
              </w:rPr>
              <w:t>US franchised and independent dealer rooftop counts 2014–2026 (NADA; Census CBP 44111/44112)</w:t>
            </w:r>
          </w:p>
        </w:tc>
      </w:tr>
      <w:tr>
        <w:trPr>
          <w:cantSplit/>
        </w:trPr>
        <w:tc>
          <w:tcPr>
            <w:tcW w:type="dxa" w:w="504"/>
          </w:tcPr>
          <w:p>
            <w:pPr>
              <w:spacing w:after="0" w:line="240" w:lineRule="auto"/>
            </w:pPr>
            <w:r>
              <w:rPr>
                <w:b w:val="0"/>
                <w:i w:val="0"/>
                <w:sz w:val="15"/>
              </w:rPr>
              <w:t>15</w:t>
            </w:r>
          </w:p>
        </w:tc>
        <w:tc>
          <w:tcPr>
            <w:tcW w:type="dxa" w:w="2736"/>
          </w:tcPr>
          <w:p>
            <w:pPr>
              <w:spacing w:after="0" w:line="240" w:lineRule="auto"/>
            </w:pPr>
            <w:r>
              <w:rPr>
                <w:b w:val="0"/>
                <w:i w:val="0"/>
                <w:sz w:val="15"/>
              </w:rPr>
              <w:t>4 Market &amp; industry</w:t>
            </w:r>
          </w:p>
        </w:tc>
        <w:tc>
          <w:tcPr>
            <w:tcW w:type="dxa" w:w="864"/>
          </w:tcPr>
          <w:p>
            <w:pPr>
              <w:spacing w:after="0" w:line="240" w:lineRule="auto"/>
              <w:jc w:val="right"/>
            </w:pPr>
            <w:r>
              <w:rPr>
                <w:b w:val="0"/>
                <w:i w:val="0"/>
                <w:sz w:val="15"/>
              </w:rPr>
              <w:t>11</w:t>
            </w:r>
          </w:p>
        </w:tc>
        <w:tc>
          <w:tcPr>
            <w:tcW w:type="dxa" w:w="5688"/>
          </w:tcPr>
          <w:p>
            <w:pPr>
              <w:spacing w:after="0" w:line="240" w:lineRule="auto"/>
            </w:pPr>
            <w:r>
              <w:rPr>
                <w:b w:val="0"/>
                <w:i w:val="0"/>
                <w:sz w:val="15"/>
              </w:rPr>
              <w:t>identity and methodology of the third-party TAM consultant</w:t>
            </w:r>
          </w:p>
        </w:tc>
      </w:tr>
      <w:tr>
        <w:trPr>
          <w:cantSplit/>
        </w:trPr>
        <w:tc>
          <w:tcPr>
            <w:tcW w:type="dxa" w:w="504"/>
            <w:shd w:val="clear" w:color="auto" w:fill="D9E1F2"/>
          </w:tcPr>
          <w:p>
            <w:pPr>
              <w:spacing w:after="0" w:line="240" w:lineRule="auto"/>
            </w:pPr>
            <w:r>
              <w:rPr>
                <w:b w:val="0"/>
                <w:i w:val="0"/>
                <w:sz w:val="15"/>
              </w:rPr>
              <w:t>16</w:t>
            </w:r>
          </w:p>
        </w:tc>
        <w:tc>
          <w:tcPr>
            <w:tcW w:type="dxa" w:w="2736"/>
            <w:shd w:val="clear" w:color="auto" w:fill="D9E1F2"/>
          </w:tcPr>
          <w:p>
            <w:pPr>
              <w:spacing w:after="0" w:line="240" w:lineRule="auto"/>
            </w:pPr>
            <w:r>
              <w:rPr>
                <w:b w:val="0"/>
                <w:i w:val="0"/>
                <w:sz w:val="15"/>
              </w:rPr>
              <w:t>4 Market &amp; industry</w:t>
            </w:r>
          </w:p>
        </w:tc>
        <w:tc>
          <w:tcPr>
            <w:tcW w:type="dxa" w:w="864"/>
            <w:shd w:val="clear" w:color="auto" w:fill="D9E1F2"/>
          </w:tcPr>
          <w:p>
            <w:pPr>
              <w:spacing w:after="0" w:line="240" w:lineRule="auto"/>
              <w:jc w:val="right"/>
            </w:pPr>
            <w:r>
              <w:rPr>
                <w:b w:val="0"/>
                <w:i w:val="0"/>
                <w:sz w:val="15"/>
              </w:rPr>
              <w:t>12</w:t>
            </w:r>
          </w:p>
        </w:tc>
        <w:tc>
          <w:tcPr>
            <w:tcW w:type="dxa" w:w="5688"/>
            <w:shd w:val="clear" w:color="auto" w:fill="D9E1F2"/>
          </w:tcPr>
          <w:p>
            <w:pPr>
              <w:spacing w:after="0" w:line="240" w:lineRule="auto"/>
            </w:pPr>
            <w:r>
              <w:rPr>
                <w:b w:val="0"/>
                <w:i w:val="0"/>
                <w:sz w:val="15"/>
              </w:rPr>
              <w:t>replace slide-91 comparator with used-vehicle transactions (Cox) and rerun the gap and regression</w:t>
            </w:r>
          </w:p>
        </w:tc>
      </w:tr>
      <w:tr>
        <w:trPr>
          <w:cantSplit/>
        </w:trPr>
        <w:tc>
          <w:tcPr>
            <w:tcW w:type="dxa" w:w="504"/>
          </w:tcPr>
          <w:p>
            <w:pPr>
              <w:spacing w:after="0" w:line="240" w:lineRule="auto"/>
            </w:pPr>
            <w:r>
              <w:rPr>
                <w:b w:val="0"/>
                <w:i w:val="0"/>
                <w:sz w:val="15"/>
              </w:rPr>
              <w:t>17</w:t>
            </w:r>
          </w:p>
        </w:tc>
        <w:tc>
          <w:tcPr>
            <w:tcW w:type="dxa" w:w="2736"/>
          </w:tcPr>
          <w:p>
            <w:pPr>
              <w:spacing w:after="0" w:line="240" w:lineRule="auto"/>
            </w:pPr>
            <w:r>
              <w:rPr>
                <w:b w:val="0"/>
                <w:i w:val="0"/>
                <w:sz w:val="15"/>
              </w:rPr>
              <w:t>4 Market &amp; industry</w:t>
            </w:r>
          </w:p>
        </w:tc>
        <w:tc>
          <w:tcPr>
            <w:tcW w:type="dxa" w:w="864"/>
          </w:tcPr>
          <w:p>
            <w:pPr>
              <w:spacing w:after="0" w:line="240" w:lineRule="auto"/>
              <w:jc w:val="right"/>
            </w:pPr>
            <w:r>
              <w:rPr>
                <w:b w:val="0"/>
                <w:i w:val="0"/>
                <w:sz w:val="15"/>
              </w:rPr>
              <w:t>12</w:t>
            </w:r>
          </w:p>
        </w:tc>
        <w:tc>
          <w:tcPr>
            <w:tcW w:type="dxa" w:w="5688"/>
          </w:tcPr>
          <w:p>
            <w:pPr>
              <w:spacing w:after="0" w:line="240" w:lineRule="auto"/>
            </w:pPr>
            <w:r>
              <w:rPr>
                <w:b w:val="0"/>
                <w:i w:val="0"/>
                <w:sz w:val="15"/>
              </w:rPr>
              <w:t>competitor revenue/scale benchmarks — Experian AutoCheck, Cox (KBB, Autotrader, vAuto), J.D. Power, GlobalData/LMC</w:t>
            </w:r>
          </w:p>
        </w:tc>
      </w:tr>
      <w:tr>
        <w:trPr>
          <w:cantSplit/>
        </w:trPr>
        <w:tc>
          <w:tcPr>
            <w:tcW w:type="dxa" w:w="504"/>
            <w:shd w:val="clear" w:color="auto" w:fill="D9E1F2"/>
          </w:tcPr>
          <w:p>
            <w:pPr>
              <w:spacing w:after="0" w:line="240" w:lineRule="auto"/>
            </w:pPr>
            <w:r>
              <w:rPr>
                <w:b w:val="0"/>
                <w:i w:val="0"/>
                <w:sz w:val="15"/>
              </w:rPr>
              <w:t>18</w:t>
            </w:r>
          </w:p>
        </w:tc>
        <w:tc>
          <w:tcPr>
            <w:tcW w:type="dxa" w:w="2736"/>
            <w:shd w:val="clear" w:color="auto" w:fill="D9E1F2"/>
          </w:tcPr>
          <w:p>
            <w:pPr>
              <w:spacing w:after="0" w:line="240" w:lineRule="auto"/>
            </w:pPr>
            <w:r>
              <w:rPr>
                <w:b w:val="0"/>
                <w:i w:val="0"/>
                <w:sz w:val="15"/>
              </w:rPr>
              <w:t>4 Market &amp; industry</w:t>
            </w:r>
          </w:p>
        </w:tc>
        <w:tc>
          <w:tcPr>
            <w:tcW w:type="dxa" w:w="864"/>
            <w:shd w:val="clear" w:color="auto" w:fill="D9E1F2"/>
          </w:tcPr>
          <w:p>
            <w:pPr>
              <w:spacing w:after="0" w:line="240" w:lineRule="auto"/>
              <w:jc w:val="right"/>
            </w:pPr>
            <w:r>
              <w:rPr>
                <w:b w:val="0"/>
                <w:i w:val="0"/>
                <w:sz w:val="15"/>
              </w:rPr>
              <w:t>12</w:t>
            </w:r>
          </w:p>
        </w:tc>
        <w:tc>
          <w:tcPr>
            <w:tcW w:type="dxa" w:w="5688"/>
            <w:shd w:val="clear" w:color="auto" w:fill="D9E1F2"/>
          </w:tcPr>
          <w:p>
            <w:pPr>
              <w:spacing w:after="0" w:line="240" w:lineRule="auto"/>
            </w:pPr>
            <w:r>
              <w:rPr>
                <w:b w:val="0"/>
                <w:i w:val="0"/>
                <w:sz w:val="15"/>
              </w:rPr>
              <w:t>CARFAX vs AutoCheck dealer penetration or report-volume share</w:t>
            </w:r>
          </w:p>
        </w:tc>
      </w:tr>
      <w:tr>
        <w:trPr>
          <w:cantSplit/>
        </w:trPr>
        <w:tc>
          <w:tcPr>
            <w:tcW w:type="dxa" w:w="504"/>
          </w:tcPr>
          <w:p>
            <w:pPr>
              <w:spacing w:after="0" w:line="240" w:lineRule="auto"/>
            </w:pPr>
            <w:r>
              <w:rPr>
                <w:b w:val="0"/>
                <w:i w:val="0"/>
                <w:sz w:val="15"/>
              </w:rPr>
              <w:t>19</w:t>
            </w:r>
          </w:p>
        </w:tc>
        <w:tc>
          <w:tcPr>
            <w:tcW w:type="dxa" w:w="2736"/>
          </w:tcPr>
          <w:p>
            <w:pPr>
              <w:spacing w:after="0" w:line="240" w:lineRule="auto"/>
            </w:pPr>
            <w:r>
              <w:rPr>
                <w:b w:val="0"/>
                <w:i w:val="0"/>
                <w:sz w:val="15"/>
              </w:rPr>
              <w:t>4 Market &amp; industry</w:t>
            </w:r>
          </w:p>
        </w:tc>
        <w:tc>
          <w:tcPr>
            <w:tcW w:type="dxa" w:w="864"/>
          </w:tcPr>
          <w:p>
            <w:pPr>
              <w:spacing w:after="0" w:line="240" w:lineRule="auto"/>
              <w:jc w:val="right"/>
            </w:pPr>
            <w:r>
              <w:rPr>
                <w:b w:val="0"/>
                <w:i w:val="0"/>
                <w:sz w:val="15"/>
              </w:rPr>
              <w:t>12</w:t>
            </w:r>
          </w:p>
        </w:tc>
        <w:tc>
          <w:tcPr>
            <w:tcW w:type="dxa" w:w="5688"/>
          </w:tcPr>
          <w:p>
            <w:pPr>
              <w:spacing w:after="0" w:line="240" w:lineRule="auto"/>
            </w:pPr>
            <w:r>
              <w:rPr>
                <w:b w:val="0"/>
                <w:i w:val="0"/>
                <w:sz w:val="15"/>
              </w:rPr>
              <w:t>FRED TOTALSA and ALTSALES 2010–2026</w:t>
            </w:r>
          </w:p>
        </w:tc>
      </w:tr>
      <w:tr>
        <w:trPr>
          <w:cantSplit/>
        </w:trPr>
        <w:tc>
          <w:tcPr>
            <w:tcW w:type="dxa" w:w="504"/>
            <w:shd w:val="clear" w:color="auto" w:fill="D9E1F2"/>
          </w:tcPr>
          <w:p>
            <w:pPr>
              <w:spacing w:after="0" w:line="240" w:lineRule="auto"/>
            </w:pPr>
            <w:r>
              <w:rPr>
                <w:b w:val="0"/>
                <w:i w:val="0"/>
                <w:sz w:val="15"/>
              </w:rPr>
              <w:t>20</w:t>
            </w:r>
          </w:p>
        </w:tc>
        <w:tc>
          <w:tcPr>
            <w:tcW w:type="dxa" w:w="2736"/>
            <w:shd w:val="clear" w:color="auto" w:fill="D9E1F2"/>
          </w:tcPr>
          <w:p>
            <w:pPr>
              <w:spacing w:after="0" w:line="240" w:lineRule="auto"/>
            </w:pPr>
            <w:r>
              <w:rPr>
                <w:b w:val="0"/>
                <w:i w:val="0"/>
                <w:sz w:val="15"/>
              </w:rPr>
              <w:t>4 Market &amp; industry</w:t>
            </w:r>
          </w:p>
        </w:tc>
        <w:tc>
          <w:tcPr>
            <w:tcW w:type="dxa" w:w="864"/>
            <w:shd w:val="clear" w:color="auto" w:fill="D9E1F2"/>
          </w:tcPr>
          <w:p>
            <w:pPr>
              <w:spacing w:after="0" w:line="240" w:lineRule="auto"/>
              <w:jc w:val="right"/>
            </w:pPr>
            <w:r>
              <w:rPr>
                <w:b w:val="0"/>
                <w:i w:val="0"/>
                <w:sz w:val="15"/>
              </w:rPr>
              <w:t>12</w:t>
            </w:r>
          </w:p>
        </w:tc>
        <w:tc>
          <w:tcPr>
            <w:tcW w:type="dxa" w:w="5688"/>
            <w:shd w:val="clear" w:color="auto" w:fill="D9E1F2"/>
          </w:tcPr>
          <w:p>
            <w:pPr>
              <w:spacing w:after="0" w:line="240" w:lineRule="auto"/>
            </w:pPr>
            <w:r>
              <w:rPr>
                <w:b w:val="0"/>
                <w:i w:val="0"/>
                <w:sz w:val="15"/>
              </w:rPr>
              <w:t>Cox used retail units (annual, 2014–2026)</w:t>
            </w:r>
          </w:p>
        </w:tc>
      </w:tr>
      <w:tr>
        <w:trPr>
          <w:cantSplit/>
        </w:trPr>
        <w:tc>
          <w:tcPr>
            <w:tcW w:type="dxa" w:w="504"/>
          </w:tcPr>
          <w:p>
            <w:pPr>
              <w:spacing w:after="0" w:line="240" w:lineRule="auto"/>
            </w:pPr>
            <w:r>
              <w:rPr>
                <w:b w:val="0"/>
                <w:i w:val="0"/>
                <w:sz w:val="15"/>
              </w:rPr>
              <w:t>21</w:t>
            </w:r>
          </w:p>
        </w:tc>
        <w:tc>
          <w:tcPr>
            <w:tcW w:type="dxa" w:w="2736"/>
          </w:tcPr>
          <w:p>
            <w:pPr>
              <w:spacing w:after="0" w:line="240" w:lineRule="auto"/>
            </w:pPr>
            <w:r>
              <w:rPr>
                <w:b w:val="0"/>
                <w:i w:val="0"/>
                <w:sz w:val="15"/>
              </w:rPr>
              <w:t>4 Market &amp; industry</w:t>
            </w:r>
          </w:p>
        </w:tc>
        <w:tc>
          <w:tcPr>
            <w:tcW w:type="dxa" w:w="864"/>
          </w:tcPr>
          <w:p>
            <w:pPr>
              <w:spacing w:after="0" w:line="240" w:lineRule="auto"/>
              <w:jc w:val="right"/>
            </w:pPr>
            <w:r>
              <w:rPr>
                <w:b w:val="0"/>
                <w:i w:val="0"/>
                <w:sz w:val="15"/>
              </w:rPr>
              <w:t>12</w:t>
            </w:r>
          </w:p>
        </w:tc>
        <w:tc>
          <w:tcPr>
            <w:tcW w:type="dxa" w:w="5688"/>
          </w:tcPr>
          <w:p>
            <w:pPr>
              <w:spacing w:after="0" w:line="240" w:lineRule="auto"/>
            </w:pPr>
            <w:r>
              <w:rPr>
                <w:b w:val="0"/>
                <w:i w:val="0"/>
                <w:sz w:val="15"/>
              </w:rPr>
              <w:t>Manheim UVVI and CPI CUSR0000SETA02 monthly history</w:t>
            </w:r>
          </w:p>
        </w:tc>
      </w:tr>
      <w:tr>
        <w:trPr>
          <w:cantSplit/>
        </w:trPr>
        <w:tc>
          <w:tcPr>
            <w:tcW w:type="dxa" w:w="504"/>
            <w:shd w:val="clear" w:color="auto" w:fill="D9E1F2"/>
          </w:tcPr>
          <w:p>
            <w:pPr>
              <w:spacing w:after="0" w:line="240" w:lineRule="auto"/>
            </w:pPr>
            <w:r>
              <w:rPr>
                <w:b w:val="0"/>
                <w:i w:val="0"/>
                <w:sz w:val="15"/>
              </w:rPr>
              <w:t>22</w:t>
            </w:r>
          </w:p>
        </w:tc>
        <w:tc>
          <w:tcPr>
            <w:tcW w:type="dxa" w:w="2736"/>
            <w:shd w:val="clear" w:color="auto" w:fill="D9E1F2"/>
          </w:tcPr>
          <w:p>
            <w:pPr>
              <w:spacing w:after="0" w:line="240" w:lineRule="auto"/>
            </w:pPr>
            <w:r>
              <w:rPr>
                <w:b w:val="0"/>
                <w:i w:val="0"/>
                <w:sz w:val="15"/>
              </w:rPr>
              <w:t>4 Market &amp; industry</w:t>
            </w:r>
          </w:p>
        </w:tc>
        <w:tc>
          <w:tcPr>
            <w:tcW w:type="dxa" w:w="864"/>
            <w:shd w:val="clear" w:color="auto" w:fill="D9E1F2"/>
          </w:tcPr>
          <w:p>
            <w:pPr>
              <w:spacing w:after="0" w:line="240" w:lineRule="auto"/>
              <w:jc w:val="right"/>
            </w:pPr>
            <w:r>
              <w:rPr>
                <w:b w:val="0"/>
                <w:i w:val="0"/>
                <w:sz w:val="15"/>
              </w:rPr>
              <w:t>12</w:t>
            </w:r>
          </w:p>
        </w:tc>
        <w:tc>
          <w:tcPr>
            <w:tcW w:type="dxa" w:w="5688"/>
            <w:shd w:val="clear" w:color="auto" w:fill="D9E1F2"/>
          </w:tcPr>
          <w:p>
            <w:pPr>
              <w:spacing w:after="0" w:line="240" w:lineRule="auto"/>
            </w:pPr>
            <w:r>
              <w:rPr>
                <w:b w:val="0"/>
                <w:i w:val="0"/>
                <w:sz w:val="15"/>
              </w:rPr>
              <w:t>NADA dealer gross profit per used unit 2018–2026</w:t>
            </w:r>
          </w:p>
        </w:tc>
      </w:tr>
      <w:tr>
        <w:trPr>
          <w:cantSplit/>
        </w:trPr>
        <w:tc>
          <w:tcPr>
            <w:tcW w:type="dxa" w:w="504"/>
          </w:tcPr>
          <w:p>
            <w:pPr>
              <w:spacing w:after="0" w:line="240" w:lineRule="auto"/>
            </w:pPr>
            <w:r>
              <w:rPr>
                <w:b w:val="0"/>
                <w:i w:val="0"/>
                <w:sz w:val="15"/>
              </w:rPr>
              <w:t>23</w:t>
            </w:r>
          </w:p>
        </w:tc>
        <w:tc>
          <w:tcPr>
            <w:tcW w:type="dxa" w:w="2736"/>
          </w:tcPr>
          <w:p>
            <w:pPr>
              <w:spacing w:after="0" w:line="240" w:lineRule="auto"/>
            </w:pPr>
            <w:r>
              <w:rPr>
                <w:b w:val="0"/>
                <w:i w:val="0"/>
                <w:sz w:val="15"/>
              </w:rPr>
              <w:t>4 Market &amp; industry</w:t>
            </w:r>
          </w:p>
        </w:tc>
        <w:tc>
          <w:tcPr>
            <w:tcW w:type="dxa" w:w="864"/>
          </w:tcPr>
          <w:p>
            <w:pPr>
              <w:spacing w:after="0" w:line="240" w:lineRule="auto"/>
              <w:jc w:val="right"/>
            </w:pPr>
            <w:r>
              <w:rPr>
                <w:b w:val="0"/>
                <w:i w:val="0"/>
                <w:sz w:val="15"/>
              </w:rPr>
              <w:t>12</w:t>
            </w:r>
          </w:p>
        </w:tc>
        <w:tc>
          <w:tcPr>
            <w:tcW w:type="dxa" w:w="5688"/>
          </w:tcPr>
          <w:p>
            <w:pPr>
              <w:spacing w:after="0" w:line="240" w:lineRule="auto"/>
            </w:pPr>
            <w:r>
              <w:rPr>
                <w:b w:val="0"/>
                <w:i w:val="0"/>
                <w:sz w:val="15"/>
              </w:rPr>
              <w:t>NHTSA recall campaigns and vehicles affected by year</w:t>
            </w:r>
          </w:p>
        </w:tc>
      </w:tr>
      <w:tr>
        <w:trPr>
          <w:cantSplit/>
        </w:trPr>
        <w:tc>
          <w:tcPr>
            <w:tcW w:type="dxa" w:w="504"/>
            <w:shd w:val="clear" w:color="auto" w:fill="D9E1F2"/>
          </w:tcPr>
          <w:p>
            <w:pPr>
              <w:spacing w:after="0" w:line="240" w:lineRule="auto"/>
            </w:pPr>
            <w:r>
              <w:rPr>
                <w:b w:val="0"/>
                <w:i w:val="0"/>
                <w:sz w:val="15"/>
              </w:rPr>
              <w:t>24</w:t>
            </w:r>
          </w:p>
        </w:tc>
        <w:tc>
          <w:tcPr>
            <w:tcW w:type="dxa" w:w="2736"/>
            <w:shd w:val="clear" w:color="auto" w:fill="D9E1F2"/>
          </w:tcPr>
          <w:p>
            <w:pPr>
              <w:spacing w:after="0" w:line="240" w:lineRule="auto"/>
            </w:pPr>
            <w:r>
              <w:rPr>
                <w:b w:val="0"/>
                <w:i w:val="0"/>
                <w:sz w:val="15"/>
              </w:rPr>
              <w:t>4 Market &amp; industry</w:t>
            </w:r>
          </w:p>
        </w:tc>
        <w:tc>
          <w:tcPr>
            <w:tcW w:type="dxa" w:w="864"/>
            <w:shd w:val="clear" w:color="auto" w:fill="D9E1F2"/>
          </w:tcPr>
          <w:p>
            <w:pPr>
              <w:spacing w:after="0" w:line="240" w:lineRule="auto"/>
              <w:jc w:val="right"/>
            </w:pPr>
            <w:r>
              <w:rPr>
                <w:b w:val="0"/>
                <w:i w:val="0"/>
                <w:sz w:val="15"/>
              </w:rPr>
              <w:t>12</w:t>
            </w:r>
          </w:p>
        </w:tc>
        <w:tc>
          <w:tcPr>
            <w:tcW w:type="dxa" w:w="5688"/>
            <w:shd w:val="clear" w:color="auto" w:fill="D9E1F2"/>
          </w:tcPr>
          <w:p>
            <w:pPr>
              <w:spacing w:after="0" w:line="240" w:lineRule="auto"/>
            </w:pPr>
            <w:r>
              <w:rPr>
                <w:b w:val="0"/>
                <w:i w:val="0"/>
                <w:sz w:val="15"/>
              </w:rPr>
              <w:t>US VIO and average age 2014–2026 (reconcile 12.0 slide label vs 12.5–12.8 press releases)</w:t>
            </w:r>
          </w:p>
        </w:tc>
      </w:tr>
      <w:tr>
        <w:trPr>
          <w:cantSplit/>
        </w:trPr>
        <w:tc>
          <w:tcPr>
            <w:tcW w:type="dxa" w:w="504"/>
          </w:tcPr>
          <w:p>
            <w:pPr>
              <w:spacing w:after="0" w:line="240" w:lineRule="auto"/>
            </w:pPr>
            <w:r>
              <w:rPr>
                <w:b w:val="0"/>
                <w:i w:val="0"/>
                <w:sz w:val="15"/>
              </w:rPr>
              <w:t>25</w:t>
            </w:r>
          </w:p>
        </w:tc>
        <w:tc>
          <w:tcPr>
            <w:tcW w:type="dxa" w:w="2736"/>
          </w:tcPr>
          <w:p>
            <w:pPr>
              <w:spacing w:after="0" w:line="240" w:lineRule="auto"/>
            </w:pPr>
            <w:r>
              <w:rPr>
                <w:b w:val="0"/>
                <w:i w:val="0"/>
                <w:sz w:val="15"/>
              </w:rPr>
              <w:t>4 Market &amp; industry</w:t>
            </w:r>
          </w:p>
        </w:tc>
        <w:tc>
          <w:tcPr>
            <w:tcW w:type="dxa" w:w="864"/>
          </w:tcPr>
          <w:p>
            <w:pPr>
              <w:spacing w:after="0" w:line="240" w:lineRule="auto"/>
              <w:jc w:val="right"/>
            </w:pPr>
            <w:r>
              <w:rPr>
                <w:b w:val="0"/>
                <w:i w:val="0"/>
                <w:sz w:val="15"/>
              </w:rPr>
              <w:t>12</w:t>
            </w:r>
          </w:p>
        </w:tc>
        <w:tc>
          <w:tcPr>
            <w:tcW w:type="dxa" w:w="5688"/>
          </w:tcPr>
          <w:p>
            <w:pPr>
              <w:spacing w:after="0" w:line="240" w:lineRule="auto"/>
            </w:pPr>
            <w:r>
              <w:rPr>
                <w:b w:val="0"/>
                <w:i w:val="0"/>
                <w:sz w:val="15"/>
              </w:rPr>
              <w:t>auto loan rates, 84-month share, delinquency and SLOOS standards</w:t>
            </w:r>
          </w:p>
        </w:tc>
      </w:tr>
      <w:tr>
        <w:trPr>
          <w:cantSplit/>
        </w:trPr>
        <w:tc>
          <w:tcPr>
            <w:tcW w:type="dxa" w:w="504"/>
            <w:shd w:val="clear" w:color="auto" w:fill="D9E1F2"/>
          </w:tcPr>
          <w:p>
            <w:pPr>
              <w:spacing w:after="0" w:line="240" w:lineRule="auto"/>
            </w:pPr>
            <w:r>
              <w:rPr>
                <w:b w:val="0"/>
                <w:i w:val="0"/>
                <w:sz w:val="15"/>
              </w:rPr>
              <w:t>26</w:t>
            </w:r>
          </w:p>
        </w:tc>
        <w:tc>
          <w:tcPr>
            <w:tcW w:type="dxa" w:w="2736"/>
            <w:shd w:val="clear" w:color="auto" w:fill="D9E1F2"/>
          </w:tcPr>
          <w:p>
            <w:pPr>
              <w:spacing w:after="0" w:line="240" w:lineRule="auto"/>
            </w:pPr>
            <w:r>
              <w:rPr>
                <w:b w:val="0"/>
                <w:i w:val="0"/>
                <w:sz w:val="15"/>
              </w:rPr>
              <w:t>4 Market &amp; industry</w:t>
            </w:r>
          </w:p>
        </w:tc>
        <w:tc>
          <w:tcPr>
            <w:tcW w:type="dxa" w:w="864"/>
            <w:shd w:val="clear" w:color="auto" w:fill="D9E1F2"/>
          </w:tcPr>
          <w:p>
            <w:pPr>
              <w:spacing w:after="0" w:line="240" w:lineRule="auto"/>
              <w:jc w:val="right"/>
            </w:pPr>
            <w:r>
              <w:rPr>
                <w:b w:val="0"/>
                <w:i w:val="0"/>
                <w:sz w:val="15"/>
              </w:rPr>
              <w:t>12</w:t>
            </w:r>
          </w:p>
        </w:tc>
        <w:tc>
          <w:tcPr>
            <w:tcW w:type="dxa" w:w="5688"/>
            <w:shd w:val="clear" w:color="auto" w:fill="D9E1F2"/>
          </w:tcPr>
          <w:p>
            <w:pPr>
              <w:spacing w:after="0" w:line="240" w:lineRule="auto"/>
            </w:pPr>
            <w:r>
              <w:rPr>
                <w:b w:val="0"/>
                <w:i w:val="0"/>
                <w:sz w:val="15"/>
              </w:rPr>
              <w:t>CPI CUSR0000SETE and insurance shopping index</w:t>
            </w:r>
          </w:p>
        </w:tc>
      </w:tr>
      <w:tr>
        <w:trPr>
          <w:cantSplit/>
        </w:trPr>
        <w:tc>
          <w:tcPr>
            <w:tcW w:type="dxa" w:w="504"/>
          </w:tcPr>
          <w:p>
            <w:pPr>
              <w:spacing w:after="0" w:line="240" w:lineRule="auto"/>
            </w:pPr>
            <w:r>
              <w:rPr>
                <w:b w:val="0"/>
                <w:i w:val="0"/>
                <w:sz w:val="15"/>
              </w:rPr>
              <w:t>27</w:t>
            </w:r>
          </w:p>
        </w:tc>
        <w:tc>
          <w:tcPr>
            <w:tcW w:type="dxa" w:w="2736"/>
          </w:tcPr>
          <w:p>
            <w:pPr>
              <w:spacing w:after="0" w:line="240" w:lineRule="auto"/>
            </w:pPr>
            <w:r>
              <w:rPr>
                <w:b w:val="0"/>
                <w:i w:val="0"/>
                <w:sz w:val="15"/>
              </w:rPr>
              <w:t>4 Market &amp; industry</w:t>
            </w:r>
          </w:p>
        </w:tc>
        <w:tc>
          <w:tcPr>
            <w:tcW w:type="dxa" w:w="864"/>
          </w:tcPr>
          <w:p>
            <w:pPr>
              <w:spacing w:after="0" w:line="240" w:lineRule="auto"/>
              <w:jc w:val="right"/>
            </w:pPr>
            <w:r>
              <w:rPr>
                <w:b w:val="0"/>
                <w:i w:val="0"/>
                <w:sz w:val="15"/>
              </w:rPr>
              <w:t>12</w:t>
            </w:r>
          </w:p>
        </w:tc>
        <w:tc>
          <w:tcPr>
            <w:tcW w:type="dxa" w:w="5688"/>
          </w:tcPr>
          <w:p>
            <w:pPr>
              <w:spacing w:after="0" w:line="240" w:lineRule="auto"/>
            </w:pPr>
            <w:r>
              <w:rPr>
                <w:b w:val="0"/>
                <w:i w:val="0"/>
                <w:sz w:val="15"/>
              </w:rPr>
              <w:t>Canada sales and Germany/Italy/Spain used-vehicle ownership transfers</w:t>
            </w:r>
          </w:p>
        </w:tc>
      </w:tr>
      <w:tr>
        <w:trPr>
          <w:cantSplit/>
        </w:trPr>
        <w:tc>
          <w:tcPr>
            <w:tcW w:type="dxa" w:w="504"/>
            <w:shd w:val="clear" w:color="auto" w:fill="D9E1F2"/>
          </w:tcPr>
          <w:p>
            <w:pPr>
              <w:spacing w:after="0" w:line="240" w:lineRule="auto"/>
            </w:pPr>
            <w:r>
              <w:rPr>
                <w:b w:val="0"/>
                <w:i w:val="0"/>
                <w:sz w:val="15"/>
              </w:rPr>
              <w:t>28</w:t>
            </w:r>
          </w:p>
        </w:tc>
        <w:tc>
          <w:tcPr>
            <w:tcW w:type="dxa" w:w="2736"/>
            <w:shd w:val="clear" w:color="auto" w:fill="D9E1F2"/>
          </w:tcPr>
          <w:p>
            <w:pPr>
              <w:spacing w:after="0" w:line="240" w:lineRule="auto"/>
            </w:pPr>
            <w:r>
              <w:rPr>
                <w:b w:val="0"/>
                <w:i w:val="0"/>
                <w:sz w:val="15"/>
              </w:rPr>
              <w:t>4 Market &amp; industry</w:t>
            </w:r>
          </w:p>
        </w:tc>
        <w:tc>
          <w:tcPr>
            <w:tcW w:type="dxa" w:w="864"/>
            <w:shd w:val="clear" w:color="auto" w:fill="D9E1F2"/>
          </w:tcPr>
          <w:p>
            <w:pPr>
              <w:spacing w:after="0" w:line="240" w:lineRule="auto"/>
              <w:jc w:val="right"/>
            </w:pPr>
            <w:r>
              <w:rPr>
                <w:b w:val="0"/>
                <w:i w:val="0"/>
                <w:sz w:val="15"/>
              </w:rPr>
              <w:t>12</w:t>
            </w:r>
          </w:p>
        </w:tc>
        <w:tc>
          <w:tcPr>
            <w:tcW w:type="dxa" w:w="5688"/>
            <w:shd w:val="clear" w:color="auto" w:fill="D9E1F2"/>
          </w:tcPr>
          <w:p>
            <w:pPr>
              <w:spacing w:after="0" w:line="240" w:lineRule="auto"/>
            </w:pPr>
            <w:r>
              <w:rPr>
                <w:b w:val="0"/>
                <w:i w:val="0"/>
                <w:sz w:val="15"/>
              </w:rPr>
              <w:t>OEM advertising and incentive spend per unit 2018–2026</w:t>
            </w:r>
          </w:p>
        </w:tc>
      </w:tr>
      <w:tr>
        <w:trPr>
          <w:cantSplit/>
        </w:trPr>
        <w:tc>
          <w:tcPr>
            <w:tcW w:type="dxa" w:w="504"/>
          </w:tcPr>
          <w:p>
            <w:pPr>
              <w:spacing w:after="0" w:line="240" w:lineRule="auto"/>
            </w:pPr>
            <w:r>
              <w:rPr>
                <w:b w:val="0"/>
                <w:i w:val="0"/>
                <w:sz w:val="15"/>
              </w:rPr>
              <w:t>29</w:t>
            </w:r>
          </w:p>
        </w:tc>
        <w:tc>
          <w:tcPr>
            <w:tcW w:type="dxa" w:w="2736"/>
          </w:tcPr>
          <w:p>
            <w:pPr>
              <w:spacing w:after="0" w:line="240" w:lineRule="auto"/>
            </w:pPr>
            <w:r>
              <w:rPr>
                <w:b w:val="0"/>
                <w:i w:val="0"/>
                <w:sz w:val="15"/>
              </w:rPr>
              <w:t>5 Moat &amp; competitive position</w:t>
            </w:r>
          </w:p>
        </w:tc>
        <w:tc>
          <w:tcPr>
            <w:tcW w:type="dxa" w:w="864"/>
          </w:tcPr>
          <w:p>
            <w:pPr>
              <w:spacing w:after="0" w:line="240" w:lineRule="auto"/>
              <w:jc w:val="right"/>
            </w:pPr>
            <w:r>
              <w:rPr>
                <w:b w:val="0"/>
                <w:i w:val="0"/>
                <w:sz w:val="15"/>
              </w:rPr>
              <w:t>14</w:t>
            </w:r>
          </w:p>
        </w:tc>
        <w:tc>
          <w:tcPr>
            <w:tcW w:type="dxa" w:w="5688"/>
          </w:tcPr>
          <w:p>
            <w:pPr>
              <w:spacing w:after="0" w:line="240" w:lineRule="auto"/>
            </w:pPr>
            <w:r>
              <w:rPr>
                <w:b w:val="0"/>
                <w:i w:val="0"/>
                <w:sz w:val="15"/>
              </w:rPr>
              <w:t>gross revenue retention and NRR for CARFAX dealers and B2B enterprise contracts</w:t>
            </w:r>
          </w:p>
        </w:tc>
      </w:tr>
      <w:tr>
        <w:trPr>
          <w:cantSplit/>
        </w:trPr>
        <w:tc>
          <w:tcPr>
            <w:tcW w:type="dxa" w:w="504"/>
            <w:shd w:val="clear" w:color="auto" w:fill="D9E1F2"/>
          </w:tcPr>
          <w:p>
            <w:pPr>
              <w:spacing w:after="0" w:line="240" w:lineRule="auto"/>
            </w:pPr>
            <w:r>
              <w:rPr>
                <w:b w:val="0"/>
                <w:i w:val="0"/>
                <w:sz w:val="15"/>
              </w:rPr>
              <w:t>30</w:t>
            </w:r>
          </w:p>
        </w:tc>
        <w:tc>
          <w:tcPr>
            <w:tcW w:type="dxa" w:w="2736"/>
            <w:shd w:val="clear" w:color="auto" w:fill="D9E1F2"/>
          </w:tcPr>
          <w:p>
            <w:pPr>
              <w:spacing w:after="0" w:line="240" w:lineRule="auto"/>
            </w:pPr>
            <w:r>
              <w:rPr>
                <w:b w:val="0"/>
                <w:i w:val="0"/>
                <w:sz w:val="15"/>
              </w:rPr>
              <w:t>5 Moat &amp; competitive position</w:t>
            </w:r>
          </w:p>
        </w:tc>
        <w:tc>
          <w:tcPr>
            <w:tcW w:type="dxa" w:w="864"/>
            <w:shd w:val="clear" w:color="auto" w:fill="D9E1F2"/>
          </w:tcPr>
          <w:p>
            <w:pPr>
              <w:spacing w:after="0" w:line="240" w:lineRule="auto"/>
              <w:jc w:val="right"/>
            </w:pPr>
            <w:r>
              <w:rPr>
                <w:b w:val="0"/>
                <w:i w:val="0"/>
                <w:sz w:val="15"/>
              </w:rPr>
              <w:t>16</w:t>
            </w:r>
          </w:p>
        </w:tc>
        <w:tc>
          <w:tcPr>
            <w:tcW w:type="dxa" w:w="5688"/>
            <w:shd w:val="clear" w:color="auto" w:fill="D9E1F2"/>
          </w:tcPr>
          <w:p>
            <w:pPr>
              <w:spacing w:after="0" w:line="240" w:lineRule="auto"/>
            </w:pPr>
            <w:r>
              <w:rPr>
                <w:b w:val="0"/>
                <w:i w:val="0"/>
                <w:sz w:val="15"/>
              </w:rPr>
              <w:t>CARFAX monthly unique visitors and VHR views time series (only point values 23m and 28m+ disclosed)</w:t>
            </w:r>
          </w:p>
        </w:tc>
      </w:tr>
      <w:tr>
        <w:trPr>
          <w:cantSplit/>
        </w:trPr>
        <w:tc>
          <w:tcPr>
            <w:tcW w:type="dxa" w:w="504"/>
          </w:tcPr>
          <w:p>
            <w:pPr>
              <w:spacing w:after="0" w:line="240" w:lineRule="auto"/>
            </w:pPr>
            <w:r>
              <w:rPr>
                <w:b w:val="0"/>
                <w:i w:val="0"/>
                <w:sz w:val="15"/>
              </w:rPr>
              <w:t>31</w:t>
            </w:r>
          </w:p>
        </w:tc>
        <w:tc>
          <w:tcPr>
            <w:tcW w:type="dxa" w:w="2736"/>
          </w:tcPr>
          <w:p>
            <w:pPr>
              <w:spacing w:after="0" w:line="240" w:lineRule="auto"/>
            </w:pPr>
            <w:r>
              <w:rPr>
                <w:b w:val="0"/>
                <w:i w:val="0"/>
                <w:sz w:val="15"/>
              </w:rPr>
              <w:t>5 Moat &amp; competitive position</w:t>
            </w:r>
          </w:p>
        </w:tc>
        <w:tc>
          <w:tcPr>
            <w:tcW w:type="dxa" w:w="864"/>
          </w:tcPr>
          <w:p>
            <w:pPr>
              <w:spacing w:after="0" w:line="240" w:lineRule="auto"/>
              <w:jc w:val="right"/>
            </w:pPr>
            <w:r>
              <w:rPr>
                <w:b w:val="0"/>
                <w:i w:val="0"/>
                <w:sz w:val="15"/>
              </w:rPr>
              <w:t>16</w:t>
            </w:r>
          </w:p>
        </w:tc>
        <w:tc>
          <w:tcPr>
            <w:tcW w:type="dxa" w:w="5688"/>
          </w:tcPr>
          <w:p>
            <w:pPr>
              <w:spacing w:after="0" w:line="240" w:lineRule="auto"/>
            </w:pPr>
            <w:r>
              <w:rPr>
                <w:b w:val="0"/>
                <w:i w:val="0"/>
                <w:sz w:val="15"/>
              </w:rPr>
              <w:t>data-acquisition cost and its growth (no cost-of-data line disclosed)</w:t>
            </w:r>
          </w:p>
        </w:tc>
      </w:tr>
      <w:tr>
        <w:trPr>
          <w:cantSplit/>
        </w:trPr>
        <w:tc>
          <w:tcPr>
            <w:tcW w:type="dxa" w:w="504"/>
            <w:shd w:val="clear" w:color="auto" w:fill="D9E1F2"/>
          </w:tcPr>
          <w:p>
            <w:pPr>
              <w:spacing w:after="0" w:line="240" w:lineRule="auto"/>
            </w:pPr>
            <w:r>
              <w:rPr>
                <w:b w:val="0"/>
                <w:i w:val="0"/>
                <w:sz w:val="15"/>
              </w:rPr>
              <w:t>32</w:t>
            </w:r>
          </w:p>
        </w:tc>
        <w:tc>
          <w:tcPr>
            <w:tcW w:type="dxa" w:w="2736"/>
            <w:shd w:val="clear" w:color="auto" w:fill="D9E1F2"/>
          </w:tcPr>
          <w:p>
            <w:pPr>
              <w:spacing w:after="0" w:line="240" w:lineRule="auto"/>
            </w:pPr>
            <w:r>
              <w:rPr>
                <w:b w:val="0"/>
                <w:i w:val="0"/>
                <w:sz w:val="15"/>
              </w:rPr>
              <w:t>5 Moat &amp; competitive position</w:t>
            </w:r>
          </w:p>
        </w:tc>
        <w:tc>
          <w:tcPr>
            <w:tcW w:type="dxa" w:w="864"/>
            <w:shd w:val="clear" w:color="auto" w:fill="D9E1F2"/>
          </w:tcPr>
          <w:p>
            <w:pPr>
              <w:spacing w:after="0" w:line="240" w:lineRule="auto"/>
              <w:jc w:val="right"/>
            </w:pPr>
            <w:r>
              <w:rPr>
                <w:b w:val="0"/>
                <w:i w:val="0"/>
                <w:sz w:val="15"/>
              </w:rPr>
              <w:t>16</w:t>
            </w:r>
          </w:p>
        </w:tc>
        <w:tc>
          <w:tcPr>
            <w:tcW w:type="dxa" w:w="5688"/>
            <w:shd w:val="clear" w:color="auto" w:fill="D9E1F2"/>
          </w:tcPr>
          <w:p>
            <w:pPr>
              <w:spacing w:after="0" w:line="240" w:lineRule="auto"/>
            </w:pPr>
            <w:r>
              <w:rPr>
                <w:b w:val="0"/>
                <w:i w:val="0"/>
                <w:sz w:val="15"/>
              </w:rPr>
              <w:t>share of service records sourced via DMS vendors that also compete with MBGL</w:t>
            </w:r>
          </w:p>
        </w:tc>
      </w:tr>
      <w:tr>
        <w:trPr>
          <w:cantSplit/>
        </w:trPr>
        <w:tc>
          <w:tcPr>
            <w:tcW w:type="dxa" w:w="504"/>
          </w:tcPr>
          <w:p>
            <w:pPr>
              <w:spacing w:after="0" w:line="240" w:lineRule="auto"/>
            </w:pPr>
            <w:r>
              <w:rPr>
                <w:b w:val="0"/>
                <w:i w:val="0"/>
                <w:sz w:val="15"/>
              </w:rPr>
              <w:t>33</w:t>
            </w:r>
          </w:p>
        </w:tc>
        <w:tc>
          <w:tcPr>
            <w:tcW w:type="dxa" w:w="2736"/>
          </w:tcPr>
          <w:p>
            <w:pPr>
              <w:spacing w:after="0" w:line="240" w:lineRule="auto"/>
            </w:pPr>
            <w:r>
              <w:rPr>
                <w:b w:val="0"/>
                <w:i w:val="0"/>
                <w:sz w:val="15"/>
              </w:rPr>
              <w:t>6 Value proposition by customer</w:t>
            </w:r>
          </w:p>
        </w:tc>
        <w:tc>
          <w:tcPr>
            <w:tcW w:type="dxa" w:w="864"/>
          </w:tcPr>
          <w:p>
            <w:pPr>
              <w:spacing w:after="0" w:line="240" w:lineRule="auto"/>
              <w:jc w:val="right"/>
            </w:pPr>
            <w:r>
              <w:rPr>
                <w:b w:val="0"/>
                <w:i w:val="0"/>
                <w:sz w:val="15"/>
              </w:rPr>
              <w:t>18</w:t>
            </w:r>
          </w:p>
        </w:tc>
        <w:tc>
          <w:tcPr>
            <w:tcW w:type="dxa" w:w="5688"/>
          </w:tcPr>
          <w:p>
            <w:pPr>
              <w:spacing w:after="0" w:line="240" w:lineRule="auto"/>
            </w:pPr>
            <w:r>
              <w:rPr>
                <w:b w:val="0"/>
                <w:i w:val="0"/>
                <w:sz w:val="15"/>
              </w:rPr>
              <w:t>dealer survey or channel checks on CARFAX ROI, willingness to pay and AutoCheck substitution</w:t>
            </w:r>
          </w:p>
        </w:tc>
      </w:tr>
      <w:tr>
        <w:trPr>
          <w:cantSplit/>
        </w:trPr>
        <w:tc>
          <w:tcPr>
            <w:tcW w:type="dxa" w:w="504"/>
            <w:shd w:val="clear" w:color="auto" w:fill="D9E1F2"/>
          </w:tcPr>
          <w:p>
            <w:pPr>
              <w:spacing w:after="0" w:line="240" w:lineRule="auto"/>
            </w:pPr>
            <w:r>
              <w:rPr>
                <w:b w:val="0"/>
                <w:i w:val="0"/>
                <w:sz w:val="15"/>
              </w:rPr>
              <w:t>34</w:t>
            </w:r>
          </w:p>
        </w:tc>
        <w:tc>
          <w:tcPr>
            <w:tcW w:type="dxa" w:w="2736"/>
            <w:shd w:val="clear" w:color="auto" w:fill="D9E1F2"/>
          </w:tcPr>
          <w:p>
            <w:pPr>
              <w:spacing w:after="0" w:line="240" w:lineRule="auto"/>
            </w:pPr>
            <w:r>
              <w:rPr>
                <w:b w:val="0"/>
                <w:i w:val="0"/>
                <w:sz w:val="15"/>
              </w:rPr>
              <w:t>6 Value proposition by customer</w:t>
            </w:r>
          </w:p>
        </w:tc>
        <w:tc>
          <w:tcPr>
            <w:tcW w:type="dxa" w:w="864"/>
            <w:shd w:val="clear" w:color="auto" w:fill="D9E1F2"/>
          </w:tcPr>
          <w:p>
            <w:pPr>
              <w:spacing w:after="0" w:line="240" w:lineRule="auto"/>
              <w:jc w:val="right"/>
            </w:pPr>
            <w:r>
              <w:rPr>
                <w:b w:val="0"/>
                <w:i w:val="0"/>
                <w:sz w:val="15"/>
              </w:rPr>
              <w:t>18</w:t>
            </w:r>
          </w:p>
        </w:tc>
        <w:tc>
          <w:tcPr>
            <w:tcW w:type="dxa" w:w="5688"/>
            <w:shd w:val="clear" w:color="auto" w:fill="D9E1F2"/>
          </w:tcPr>
          <w:p>
            <w:pPr>
              <w:spacing w:after="0" w:line="240" w:lineRule="auto"/>
            </w:pPr>
            <w:r>
              <w:rPr>
                <w:b w:val="0"/>
                <w:i w:val="0"/>
                <w:sz w:val="15"/>
              </w:rPr>
              <w:t>OEM / supplier interviews on Polk vs Experian/GlobalData switching</w:t>
            </w:r>
          </w:p>
        </w:tc>
      </w:tr>
      <w:tr>
        <w:trPr>
          <w:cantSplit/>
        </w:trPr>
        <w:tc>
          <w:tcPr>
            <w:tcW w:type="dxa" w:w="504"/>
          </w:tcPr>
          <w:p>
            <w:pPr>
              <w:spacing w:after="0" w:line="240" w:lineRule="auto"/>
            </w:pPr>
            <w:r>
              <w:rPr>
                <w:b w:val="0"/>
                <w:i w:val="0"/>
                <w:sz w:val="15"/>
              </w:rPr>
              <w:t>35</w:t>
            </w:r>
          </w:p>
        </w:tc>
        <w:tc>
          <w:tcPr>
            <w:tcW w:type="dxa" w:w="2736"/>
          </w:tcPr>
          <w:p>
            <w:pPr>
              <w:spacing w:after="0" w:line="240" w:lineRule="auto"/>
            </w:pPr>
            <w:r>
              <w:rPr>
                <w:b w:val="0"/>
                <w:i w:val="0"/>
                <w:sz w:val="15"/>
              </w:rPr>
              <w:t>7 Unit economics</w:t>
            </w:r>
          </w:p>
        </w:tc>
        <w:tc>
          <w:tcPr>
            <w:tcW w:type="dxa" w:w="864"/>
          </w:tcPr>
          <w:p>
            <w:pPr>
              <w:spacing w:after="0" w:line="240" w:lineRule="auto"/>
              <w:jc w:val="right"/>
            </w:pPr>
            <w:r>
              <w:rPr>
                <w:b w:val="0"/>
                <w:i w:val="0"/>
                <w:sz w:val="15"/>
              </w:rPr>
              <w:t>19</w:t>
            </w:r>
          </w:p>
        </w:tc>
        <w:tc>
          <w:tcPr>
            <w:tcW w:type="dxa" w:w="5688"/>
          </w:tcPr>
          <w:p>
            <w:pPr>
              <w:spacing w:after="0" w:line="240" w:lineRule="auto"/>
            </w:pPr>
            <w:r>
              <w:rPr>
                <w:b w:val="0"/>
                <w:i w:val="0"/>
                <w:sz w:val="15"/>
              </w:rPr>
              <w:t>advertising expense split by segment</w:t>
            </w:r>
          </w:p>
        </w:tc>
      </w:tr>
      <w:tr>
        <w:trPr>
          <w:cantSplit/>
        </w:trPr>
        <w:tc>
          <w:tcPr>
            <w:tcW w:type="dxa" w:w="504"/>
            <w:shd w:val="clear" w:color="auto" w:fill="D9E1F2"/>
          </w:tcPr>
          <w:p>
            <w:pPr>
              <w:spacing w:after="0" w:line="240" w:lineRule="auto"/>
            </w:pPr>
            <w:r>
              <w:rPr>
                <w:b w:val="0"/>
                <w:i w:val="0"/>
                <w:sz w:val="15"/>
              </w:rPr>
              <w:t>36</w:t>
            </w:r>
          </w:p>
        </w:tc>
        <w:tc>
          <w:tcPr>
            <w:tcW w:type="dxa" w:w="2736"/>
            <w:shd w:val="clear" w:color="auto" w:fill="D9E1F2"/>
          </w:tcPr>
          <w:p>
            <w:pPr>
              <w:spacing w:after="0" w:line="240" w:lineRule="auto"/>
            </w:pPr>
            <w:r>
              <w:rPr>
                <w:b w:val="0"/>
                <w:i w:val="0"/>
                <w:sz w:val="15"/>
              </w:rPr>
              <w:t>7 Unit economics</w:t>
            </w:r>
          </w:p>
        </w:tc>
        <w:tc>
          <w:tcPr>
            <w:tcW w:type="dxa" w:w="864"/>
            <w:shd w:val="clear" w:color="auto" w:fill="D9E1F2"/>
          </w:tcPr>
          <w:p>
            <w:pPr>
              <w:spacing w:after="0" w:line="240" w:lineRule="auto"/>
              <w:jc w:val="right"/>
            </w:pPr>
            <w:r>
              <w:rPr>
                <w:b w:val="0"/>
                <w:i w:val="0"/>
                <w:sz w:val="15"/>
              </w:rPr>
              <w:t>19</w:t>
            </w:r>
          </w:p>
        </w:tc>
        <w:tc>
          <w:tcPr>
            <w:tcW w:type="dxa" w:w="5688"/>
            <w:shd w:val="clear" w:color="auto" w:fill="D9E1F2"/>
          </w:tcPr>
          <w:p>
            <w:pPr>
              <w:spacing w:after="0" w:line="240" w:lineRule="auto"/>
            </w:pPr>
            <w:r>
              <w:rPr>
                <w:b w:val="0"/>
                <w:i w:val="0"/>
                <w:sz w:val="15"/>
              </w:rPr>
              <w:t>consumer report price, volume and revenue</w:t>
            </w:r>
          </w:p>
        </w:tc>
      </w:tr>
      <w:tr>
        <w:trPr>
          <w:cantSplit/>
        </w:trPr>
        <w:tc>
          <w:tcPr>
            <w:tcW w:type="dxa" w:w="504"/>
          </w:tcPr>
          <w:p>
            <w:pPr>
              <w:spacing w:after="0" w:line="240" w:lineRule="auto"/>
            </w:pPr>
            <w:r>
              <w:rPr>
                <w:b w:val="0"/>
                <w:i w:val="0"/>
                <w:sz w:val="15"/>
              </w:rPr>
              <w:t>37</w:t>
            </w:r>
          </w:p>
        </w:tc>
        <w:tc>
          <w:tcPr>
            <w:tcW w:type="dxa" w:w="2736"/>
          </w:tcPr>
          <w:p>
            <w:pPr>
              <w:spacing w:after="0" w:line="240" w:lineRule="auto"/>
            </w:pPr>
            <w:r>
              <w:rPr>
                <w:b w:val="0"/>
                <w:i w:val="0"/>
                <w:sz w:val="15"/>
              </w:rPr>
              <w:t>7 Unit economics</w:t>
            </w:r>
          </w:p>
        </w:tc>
        <w:tc>
          <w:tcPr>
            <w:tcW w:type="dxa" w:w="864"/>
          </w:tcPr>
          <w:p>
            <w:pPr>
              <w:spacing w:after="0" w:line="240" w:lineRule="auto"/>
              <w:jc w:val="right"/>
            </w:pPr>
            <w:r>
              <w:rPr>
                <w:b w:val="0"/>
                <w:i w:val="0"/>
                <w:sz w:val="15"/>
              </w:rPr>
              <w:t>19</w:t>
            </w:r>
          </w:p>
        </w:tc>
        <w:tc>
          <w:tcPr>
            <w:tcW w:type="dxa" w:w="5688"/>
          </w:tcPr>
          <w:p>
            <w:pPr>
              <w:spacing w:after="0" w:line="240" w:lineRule="auto"/>
            </w:pPr>
            <w:r>
              <w:rPr>
                <w:b w:val="0"/>
                <w:i w:val="0"/>
                <w:sz w:val="15"/>
              </w:rPr>
              <w:t>consumer CAC, LTV and payback</w:t>
            </w:r>
          </w:p>
        </w:tc>
      </w:tr>
      <w:tr>
        <w:trPr>
          <w:cantSplit/>
        </w:trPr>
        <w:tc>
          <w:tcPr>
            <w:tcW w:type="dxa" w:w="504"/>
            <w:shd w:val="clear" w:color="auto" w:fill="D9E1F2"/>
          </w:tcPr>
          <w:p>
            <w:pPr>
              <w:spacing w:after="0" w:line="240" w:lineRule="auto"/>
            </w:pPr>
            <w:r>
              <w:rPr>
                <w:b w:val="0"/>
                <w:i w:val="0"/>
                <w:sz w:val="15"/>
              </w:rPr>
              <w:t>38</w:t>
            </w:r>
          </w:p>
        </w:tc>
        <w:tc>
          <w:tcPr>
            <w:tcW w:type="dxa" w:w="2736"/>
            <w:shd w:val="clear" w:color="auto" w:fill="D9E1F2"/>
          </w:tcPr>
          <w:p>
            <w:pPr>
              <w:spacing w:after="0" w:line="240" w:lineRule="auto"/>
            </w:pPr>
            <w:r>
              <w:rPr>
                <w:b w:val="0"/>
                <w:i w:val="0"/>
                <w:sz w:val="15"/>
              </w:rPr>
              <w:t>7 Unit economics</w:t>
            </w:r>
          </w:p>
        </w:tc>
        <w:tc>
          <w:tcPr>
            <w:tcW w:type="dxa" w:w="864"/>
            <w:shd w:val="clear" w:color="auto" w:fill="D9E1F2"/>
          </w:tcPr>
          <w:p>
            <w:pPr>
              <w:spacing w:after="0" w:line="240" w:lineRule="auto"/>
              <w:jc w:val="right"/>
            </w:pPr>
            <w:r>
              <w:rPr>
                <w:b w:val="0"/>
                <w:i w:val="0"/>
                <w:sz w:val="15"/>
              </w:rPr>
              <w:t>20</w:t>
            </w:r>
          </w:p>
        </w:tc>
        <w:tc>
          <w:tcPr>
            <w:tcW w:type="dxa" w:w="5688"/>
            <w:shd w:val="clear" w:color="auto" w:fill="D9E1F2"/>
          </w:tcPr>
          <w:p>
            <w:pPr>
              <w:spacing w:after="0" w:line="240" w:lineRule="auto"/>
            </w:pPr>
            <w:r>
              <w:rPr>
                <w:b w:val="0"/>
                <w:i w:val="0"/>
                <w:sz w:val="15"/>
              </w:rPr>
              <w:t>B2B FY25 cost-line drivers (FAST/PIQ/Data Studio build, merit, data costs)</w:t>
            </w:r>
          </w:p>
        </w:tc>
      </w:tr>
      <w:tr>
        <w:trPr>
          <w:cantSplit/>
        </w:trPr>
        <w:tc>
          <w:tcPr>
            <w:tcW w:type="dxa" w:w="504"/>
          </w:tcPr>
          <w:p>
            <w:pPr>
              <w:spacing w:after="0" w:line="240" w:lineRule="auto"/>
            </w:pPr>
            <w:r>
              <w:rPr>
                <w:b w:val="0"/>
                <w:i w:val="0"/>
                <w:sz w:val="15"/>
              </w:rPr>
              <w:t>39</w:t>
            </w:r>
          </w:p>
        </w:tc>
        <w:tc>
          <w:tcPr>
            <w:tcW w:type="dxa" w:w="2736"/>
          </w:tcPr>
          <w:p>
            <w:pPr>
              <w:spacing w:after="0" w:line="240" w:lineRule="auto"/>
            </w:pPr>
            <w:r>
              <w:rPr>
                <w:b w:val="0"/>
                <w:i w:val="0"/>
                <w:sz w:val="15"/>
              </w:rPr>
              <w:t>7 Unit economics</w:t>
            </w:r>
          </w:p>
        </w:tc>
        <w:tc>
          <w:tcPr>
            <w:tcW w:type="dxa" w:w="864"/>
          </w:tcPr>
          <w:p>
            <w:pPr>
              <w:spacing w:after="0" w:line="240" w:lineRule="auto"/>
              <w:jc w:val="right"/>
            </w:pPr>
            <w:r>
              <w:rPr>
                <w:b w:val="0"/>
                <w:i w:val="0"/>
                <w:sz w:val="15"/>
              </w:rPr>
              <w:t>20</w:t>
            </w:r>
          </w:p>
        </w:tc>
        <w:tc>
          <w:tcPr>
            <w:tcW w:type="dxa" w:w="5688"/>
          </w:tcPr>
          <w:p>
            <w:pPr>
              <w:spacing w:after="0" w:line="240" w:lineRule="auto"/>
            </w:pPr>
            <w:r>
              <w:rPr>
                <w:b w:val="0"/>
                <w:i w:val="0"/>
                <w:sz w:val="15"/>
              </w:rPr>
              <w:t>automotiveMastermind revenue, pricing and dealer count trend</w:t>
            </w:r>
          </w:p>
        </w:tc>
      </w:tr>
      <w:tr>
        <w:trPr>
          <w:cantSplit/>
        </w:trPr>
        <w:tc>
          <w:tcPr>
            <w:tcW w:type="dxa" w:w="504"/>
            <w:shd w:val="clear" w:color="auto" w:fill="D9E1F2"/>
          </w:tcPr>
          <w:p>
            <w:pPr>
              <w:spacing w:after="0" w:line="240" w:lineRule="auto"/>
            </w:pPr>
            <w:r>
              <w:rPr>
                <w:b w:val="0"/>
                <w:i w:val="0"/>
                <w:sz w:val="15"/>
              </w:rPr>
              <w:t>40</w:t>
            </w:r>
          </w:p>
        </w:tc>
        <w:tc>
          <w:tcPr>
            <w:tcW w:type="dxa" w:w="2736"/>
            <w:shd w:val="clear" w:color="auto" w:fill="D9E1F2"/>
          </w:tcPr>
          <w:p>
            <w:pPr>
              <w:spacing w:after="0" w:line="240" w:lineRule="auto"/>
            </w:pPr>
            <w:r>
              <w:rPr>
                <w:b w:val="0"/>
                <w:i w:val="0"/>
                <w:sz w:val="15"/>
              </w:rPr>
              <w:t>7 Unit economics</w:t>
            </w:r>
          </w:p>
        </w:tc>
        <w:tc>
          <w:tcPr>
            <w:tcW w:type="dxa" w:w="864"/>
            <w:shd w:val="clear" w:color="auto" w:fill="D9E1F2"/>
          </w:tcPr>
          <w:p>
            <w:pPr>
              <w:spacing w:after="0" w:line="240" w:lineRule="auto"/>
              <w:jc w:val="right"/>
            </w:pPr>
            <w:r>
              <w:rPr>
                <w:b w:val="0"/>
                <w:i w:val="0"/>
                <w:sz w:val="15"/>
              </w:rPr>
              <w:t>20</w:t>
            </w:r>
          </w:p>
        </w:tc>
        <w:tc>
          <w:tcPr>
            <w:tcW w:type="dxa" w:w="5688"/>
            <w:shd w:val="clear" w:color="auto" w:fill="D9E1F2"/>
          </w:tcPr>
          <w:p>
            <w:pPr>
              <w:spacing w:after="0" w:line="240" w:lineRule="auto"/>
            </w:pPr>
            <w:r>
              <w:rPr>
                <w:b w:val="0"/>
                <w:i w:val="0"/>
                <w:sz w:val="15"/>
              </w:rPr>
              <w:t>B2B contract escalator terms and renewal rates</w:t>
            </w:r>
          </w:p>
        </w:tc>
      </w:tr>
      <w:tr>
        <w:trPr>
          <w:cantSplit/>
        </w:trPr>
        <w:tc>
          <w:tcPr>
            <w:tcW w:type="dxa" w:w="504"/>
          </w:tcPr>
          <w:p>
            <w:pPr>
              <w:spacing w:after="0" w:line="240" w:lineRule="auto"/>
            </w:pPr>
            <w:r>
              <w:rPr>
                <w:b w:val="0"/>
                <w:i w:val="0"/>
                <w:sz w:val="15"/>
              </w:rPr>
              <w:t>41</w:t>
            </w:r>
          </w:p>
        </w:tc>
        <w:tc>
          <w:tcPr>
            <w:tcW w:type="dxa" w:w="2736"/>
          </w:tcPr>
          <w:p>
            <w:pPr>
              <w:spacing w:after="0" w:line="240" w:lineRule="auto"/>
            </w:pPr>
            <w:r>
              <w:rPr>
                <w:b w:val="0"/>
                <w:i w:val="0"/>
                <w:sz w:val="15"/>
              </w:rPr>
              <w:t>7 Unit economics</w:t>
            </w:r>
          </w:p>
        </w:tc>
        <w:tc>
          <w:tcPr>
            <w:tcW w:type="dxa" w:w="864"/>
          </w:tcPr>
          <w:p>
            <w:pPr>
              <w:spacing w:after="0" w:line="240" w:lineRule="auto"/>
              <w:jc w:val="right"/>
            </w:pPr>
            <w:r>
              <w:rPr>
                <w:b w:val="0"/>
                <w:i w:val="0"/>
                <w:sz w:val="15"/>
              </w:rPr>
              <w:t>20</w:t>
            </w:r>
          </w:p>
        </w:tc>
        <w:tc>
          <w:tcPr>
            <w:tcW w:type="dxa" w:w="5688"/>
          </w:tcPr>
          <w:p>
            <w:pPr>
              <w:spacing w:after="0" w:line="240" w:lineRule="auto"/>
            </w:pPr>
            <w:r>
              <w:rPr>
                <w:b w:val="0"/>
                <w:i w:val="0"/>
                <w:sz w:val="15"/>
              </w:rPr>
              <w:t>maintenance vs growth capex split</w:t>
            </w:r>
          </w:p>
        </w:tc>
      </w:tr>
      <w:tr>
        <w:trPr>
          <w:cantSplit/>
        </w:trPr>
        <w:tc>
          <w:tcPr>
            <w:tcW w:type="dxa" w:w="504"/>
            <w:shd w:val="clear" w:color="auto" w:fill="D9E1F2"/>
          </w:tcPr>
          <w:p>
            <w:pPr>
              <w:spacing w:after="0" w:line="240" w:lineRule="auto"/>
            </w:pPr>
            <w:r>
              <w:rPr>
                <w:b w:val="0"/>
                <w:i w:val="0"/>
                <w:sz w:val="15"/>
              </w:rPr>
              <w:t>42</w:t>
            </w:r>
          </w:p>
        </w:tc>
        <w:tc>
          <w:tcPr>
            <w:tcW w:type="dxa" w:w="2736"/>
            <w:shd w:val="clear" w:color="auto" w:fill="D9E1F2"/>
          </w:tcPr>
          <w:p>
            <w:pPr>
              <w:spacing w:after="0" w:line="240" w:lineRule="auto"/>
            </w:pPr>
            <w:r>
              <w:rPr>
                <w:b w:val="0"/>
                <w:i w:val="0"/>
                <w:sz w:val="15"/>
              </w:rPr>
              <w:t>7 Unit economics</w:t>
            </w:r>
          </w:p>
        </w:tc>
        <w:tc>
          <w:tcPr>
            <w:tcW w:type="dxa" w:w="864"/>
            <w:shd w:val="clear" w:color="auto" w:fill="D9E1F2"/>
          </w:tcPr>
          <w:p>
            <w:pPr>
              <w:spacing w:after="0" w:line="240" w:lineRule="auto"/>
              <w:jc w:val="right"/>
            </w:pPr>
            <w:r>
              <w:rPr>
                <w:b w:val="0"/>
                <w:i w:val="0"/>
                <w:sz w:val="15"/>
              </w:rPr>
              <w:t>20</w:t>
            </w:r>
          </w:p>
        </w:tc>
        <w:tc>
          <w:tcPr>
            <w:tcW w:type="dxa" w:w="5688"/>
            <w:shd w:val="clear" w:color="auto" w:fill="D9E1F2"/>
          </w:tcPr>
          <w:p>
            <w:pPr>
              <w:spacing w:after="0" w:line="240" w:lineRule="auto"/>
            </w:pPr>
            <w:r>
              <w:rPr>
                <w:b w:val="0"/>
                <w:i w:val="0"/>
                <w:sz w:val="15"/>
              </w:rPr>
              <w:t>R&amp;D expense included in S&amp;G</w:t>
            </w:r>
          </w:p>
        </w:tc>
      </w:tr>
      <w:tr>
        <w:trPr>
          <w:cantSplit/>
        </w:trPr>
        <w:tc>
          <w:tcPr>
            <w:tcW w:type="dxa" w:w="504"/>
          </w:tcPr>
          <w:p>
            <w:pPr>
              <w:spacing w:after="0" w:line="240" w:lineRule="auto"/>
            </w:pPr>
            <w:r>
              <w:rPr>
                <w:b w:val="0"/>
                <w:i w:val="0"/>
                <w:sz w:val="15"/>
              </w:rPr>
              <w:t>43</w:t>
            </w:r>
          </w:p>
        </w:tc>
        <w:tc>
          <w:tcPr>
            <w:tcW w:type="dxa" w:w="2736"/>
          </w:tcPr>
          <w:p>
            <w:pPr>
              <w:spacing w:after="0" w:line="240" w:lineRule="auto"/>
            </w:pPr>
            <w:r>
              <w:rPr>
                <w:b w:val="0"/>
                <w:i w:val="0"/>
                <w:sz w:val="15"/>
              </w:rPr>
              <w:t>7 Unit economics</w:t>
            </w:r>
          </w:p>
        </w:tc>
        <w:tc>
          <w:tcPr>
            <w:tcW w:type="dxa" w:w="864"/>
          </w:tcPr>
          <w:p>
            <w:pPr>
              <w:spacing w:after="0" w:line="240" w:lineRule="auto"/>
              <w:jc w:val="right"/>
            </w:pPr>
            <w:r>
              <w:rPr>
                <w:b w:val="0"/>
                <w:i w:val="0"/>
                <w:sz w:val="15"/>
              </w:rPr>
              <w:t>21</w:t>
            </w:r>
          </w:p>
        </w:tc>
        <w:tc>
          <w:tcPr>
            <w:tcW w:type="dxa" w:w="5688"/>
          </w:tcPr>
          <w:p>
            <w:pPr>
              <w:spacing w:after="0" w:line="240" w:lineRule="auto"/>
            </w:pPr>
            <w:r>
              <w:rPr>
                <w:b w:val="0"/>
                <w:i w:val="0"/>
                <w:sz w:val="15"/>
              </w:rPr>
              <w:t>Canada (CARPROOF) revenue and margin</w:t>
            </w:r>
          </w:p>
        </w:tc>
      </w:tr>
      <w:tr>
        <w:trPr>
          <w:cantSplit/>
        </w:trPr>
        <w:tc>
          <w:tcPr>
            <w:tcW w:type="dxa" w:w="504"/>
            <w:shd w:val="clear" w:color="auto" w:fill="D9E1F2"/>
          </w:tcPr>
          <w:p>
            <w:pPr>
              <w:spacing w:after="0" w:line="240" w:lineRule="auto"/>
            </w:pPr>
            <w:r>
              <w:rPr>
                <w:b w:val="0"/>
                <w:i w:val="0"/>
                <w:sz w:val="15"/>
              </w:rPr>
              <w:t>44</w:t>
            </w:r>
          </w:p>
        </w:tc>
        <w:tc>
          <w:tcPr>
            <w:tcW w:type="dxa" w:w="2736"/>
            <w:shd w:val="clear" w:color="auto" w:fill="D9E1F2"/>
          </w:tcPr>
          <w:p>
            <w:pPr>
              <w:spacing w:after="0" w:line="240" w:lineRule="auto"/>
            </w:pPr>
            <w:r>
              <w:rPr>
                <w:b w:val="0"/>
                <w:i w:val="0"/>
                <w:sz w:val="15"/>
              </w:rPr>
              <w:t>7 Unit economics</w:t>
            </w:r>
          </w:p>
        </w:tc>
        <w:tc>
          <w:tcPr>
            <w:tcW w:type="dxa" w:w="864"/>
            <w:shd w:val="clear" w:color="auto" w:fill="D9E1F2"/>
          </w:tcPr>
          <w:p>
            <w:pPr>
              <w:spacing w:after="0" w:line="240" w:lineRule="auto"/>
              <w:jc w:val="right"/>
            </w:pPr>
            <w:r>
              <w:rPr>
                <w:b w:val="0"/>
                <w:i w:val="0"/>
                <w:sz w:val="15"/>
              </w:rPr>
              <w:t>21</w:t>
            </w:r>
          </w:p>
        </w:tc>
        <w:tc>
          <w:tcPr>
            <w:tcW w:type="dxa" w:w="5688"/>
            <w:shd w:val="clear" w:color="auto" w:fill="D9E1F2"/>
          </w:tcPr>
          <w:p>
            <w:pPr>
              <w:spacing w:after="0" w:line="240" w:lineRule="auto"/>
            </w:pPr>
            <w:r>
              <w:rPr>
                <w:b w:val="0"/>
                <w:i w:val="0"/>
                <w:sz w:val="15"/>
              </w:rPr>
              <w:t>Europe set-up cost, annual operating loss and break-even year</w:t>
            </w:r>
          </w:p>
        </w:tc>
      </w:tr>
      <w:tr>
        <w:trPr>
          <w:cantSplit/>
        </w:trPr>
        <w:tc>
          <w:tcPr>
            <w:tcW w:type="dxa" w:w="504"/>
          </w:tcPr>
          <w:p>
            <w:pPr>
              <w:spacing w:after="0" w:line="240" w:lineRule="auto"/>
            </w:pPr>
            <w:r>
              <w:rPr>
                <w:b w:val="0"/>
                <w:i w:val="0"/>
                <w:sz w:val="15"/>
              </w:rPr>
              <w:t>45</w:t>
            </w:r>
          </w:p>
        </w:tc>
        <w:tc>
          <w:tcPr>
            <w:tcW w:type="dxa" w:w="2736"/>
          </w:tcPr>
          <w:p>
            <w:pPr>
              <w:spacing w:after="0" w:line="240" w:lineRule="auto"/>
            </w:pPr>
            <w:r>
              <w:rPr>
                <w:b w:val="0"/>
                <w:i w:val="0"/>
                <w:sz w:val="15"/>
              </w:rPr>
              <w:t>8 Financial history</w:t>
            </w:r>
          </w:p>
        </w:tc>
        <w:tc>
          <w:tcPr>
            <w:tcW w:type="dxa" w:w="864"/>
          </w:tcPr>
          <w:p>
            <w:pPr>
              <w:spacing w:after="0" w:line="240" w:lineRule="auto"/>
              <w:jc w:val="right"/>
            </w:pPr>
            <w:r>
              <w:rPr>
                <w:b w:val="0"/>
                <w:i w:val="0"/>
                <w:sz w:val="15"/>
              </w:rPr>
              <w:t>24</w:t>
            </w:r>
          </w:p>
        </w:tc>
        <w:tc>
          <w:tcPr>
            <w:tcW w:type="dxa" w:w="5688"/>
          </w:tcPr>
          <w:p>
            <w:pPr>
              <w:spacing w:after="0" w:line="240" w:lineRule="auto"/>
            </w:pPr>
            <w:r>
              <w:rPr>
                <w:b w:val="0"/>
                <w:i w:val="0"/>
                <w:sz w:val="15"/>
              </w:rPr>
              <w:t>annual cash-flow working-capital lines FY2023–25 and Q1 components from the native Form 10/A PDF (p.443, p.425)</w:t>
            </w:r>
          </w:p>
        </w:tc>
      </w:tr>
      <w:tr>
        <w:trPr>
          <w:cantSplit/>
        </w:trPr>
        <w:tc>
          <w:tcPr>
            <w:tcW w:type="dxa" w:w="504"/>
            <w:shd w:val="clear" w:color="auto" w:fill="D9E1F2"/>
          </w:tcPr>
          <w:p>
            <w:pPr>
              <w:spacing w:after="0" w:line="240" w:lineRule="auto"/>
            </w:pPr>
            <w:r>
              <w:rPr>
                <w:b w:val="0"/>
                <w:i w:val="0"/>
                <w:sz w:val="15"/>
              </w:rPr>
              <w:t>46</w:t>
            </w:r>
          </w:p>
        </w:tc>
        <w:tc>
          <w:tcPr>
            <w:tcW w:type="dxa" w:w="2736"/>
            <w:shd w:val="clear" w:color="auto" w:fill="D9E1F2"/>
          </w:tcPr>
          <w:p>
            <w:pPr>
              <w:spacing w:after="0" w:line="240" w:lineRule="auto"/>
            </w:pPr>
            <w:r>
              <w:rPr>
                <w:b w:val="0"/>
                <w:i w:val="0"/>
                <w:sz w:val="15"/>
              </w:rPr>
              <w:t>8 Financial history</w:t>
            </w:r>
          </w:p>
        </w:tc>
        <w:tc>
          <w:tcPr>
            <w:tcW w:type="dxa" w:w="864"/>
            <w:shd w:val="clear" w:color="auto" w:fill="D9E1F2"/>
          </w:tcPr>
          <w:p>
            <w:pPr>
              <w:spacing w:after="0" w:line="240" w:lineRule="auto"/>
              <w:jc w:val="right"/>
            </w:pPr>
            <w:r>
              <w:rPr>
                <w:b w:val="0"/>
                <w:i w:val="0"/>
                <w:sz w:val="15"/>
              </w:rPr>
              <w:t>24</w:t>
            </w:r>
          </w:p>
        </w:tc>
        <w:tc>
          <w:tcPr>
            <w:tcW w:type="dxa" w:w="5688"/>
            <w:shd w:val="clear" w:color="auto" w:fill="D9E1F2"/>
          </w:tcPr>
          <w:p>
            <w:pPr>
              <w:spacing w:after="0" w:line="240" w:lineRule="auto"/>
            </w:pPr>
            <w:r>
              <w:rPr>
                <w:b w:val="0"/>
                <w:i w:val="0"/>
                <w:sz w:val="15"/>
              </w:rPr>
              <w:t>standalone Q2-2026 cash-flow statement (only 6M printed)</w:t>
            </w:r>
          </w:p>
        </w:tc>
      </w:tr>
      <w:tr>
        <w:trPr>
          <w:cantSplit/>
        </w:trPr>
        <w:tc>
          <w:tcPr>
            <w:tcW w:type="dxa" w:w="504"/>
          </w:tcPr>
          <w:p>
            <w:pPr>
              <w:spacing w:after="0" w:line="240" w:lineRule="auto"/>
            </w:pPr>
            <w:r>
              <w:rPr>
                <w:b w:val="0"/>
                <w:i w:val="0"/>
                <w:sz w:val="15"/>
              </w:rPr>
              <w:t>47</w:t>
            </w:r>
          </w:p>
        </w:tc>
        <w:tc>
          <w:tcPr>
            <w:tcW w:type="dxa" w:w="2736"/>
          </w:tcPr>
          <w:p>
            <w:pPr>
              <w:spacing w:after="0" w:line="240" w:lineRule="auto"/>
            </w:pPr>
            <w:r>
              <w:rPr>
                <w:b w:val="0"/>
                <w:i w:val="0"/>
                <w:sz w:val="15"/>
              </w:rPr>
              <w:t>8 Financial history</w:t>
            </w:r>
          </w:p>
        </w:tc>
        <w:tc>
          <w:tcPr>
            <w:tcW w:type="dxa" w:w="864"/>
          </w:tcPr>
          <w:p>
            <w:pPr>
              <w:spacing w:after="0" w:line="240" w:lineRule="auto"/>
              <w:jc w:val="right"/>
            </w:pPr>
            <w:r>
              <w:rPr>
                <w:b w:val="0"/>
                <w:i w:val="0"/>
                <w:sz w:val="15"/>
              </w:rPr>
              <w:t>25</w:t>
            </w:r>
          </w:p>
        </w:tc>
        <w:tc>
          <w:tcPr>
            <w:tcW w:type="dxa" w:w="5688"/>
          </w:tcPr>
          <w:p>
            <w:pPr>
              <w:spacing w:after="0" w:line="240" w:lineRule="auto"/>
            </w:pPr>
            <w:r>
              <w:rPr>
                <w:b w:val="0"/>
                <w:i w:val="0"/>
                <w:sz w:val="15"/>
              </w:rPr>
              <w:t>bridge of IHS-era Transportation margin (47.6% FY21) to carve-out ~40% by scope, allocations and definition</w:t>
            </w:r>
          </w:p>
        </w:tc>
      </w:tr>
      <w:tr>
        <w:trPr>
          <w:cantSplit/>
        </w:trPr>
        <w:tc>
          <w:tcPr>
            <w:tcW w:type="dxa" w:w="504"/>
            <w:shd w:val="clear" w:color="auto" w:fill="D9E1F2"/>
          </w:tcPr>
          <w:p>
            <w:pPr>
              <w:spacing w:after="0" w:line="240" w:lineRule="auto"/>
            </w:pPr>
            <w:r>
              <w:rPr>
                <w:b w:val="0"/>
                <w:i w:val="0"/>
                <w:sz w:val="15"/>
              </w:rPr>
              <w:t>48</w:t>
            </w:r>
          </w:p>
        </w:tc>
        <w:tc>
          <w:tcPr>
            <w:tcW w:type="dxa" w:w="2736"/>
            <w:shd w:val="clear" w:color="auto" w:fill="D9E1F2"/>
          </w:tcPr>
          <w:p>
            <w:pPr>
              <w:spacing w:after="0" w:line="240" w:lineRule="auto"/>
            </w:pPr>
            <w:r>
              <w:rPr>
                <w:b w:val="0"/>
                <w:i w:val="0"/>
                <w:sz w:val="15"/>
              </w:rPr>
              <w:t>8 Financial history</w:t>
            </w:r>
          </w:p>
        </w:tc>
        <w:tc>
          <w:tcPr>
            <w:tcW w:type="dxa" w:w="864"/>
            <w:shd w:val="clear" w:color="auto" w:fill="D9E1F2"/>
          </w:tcPr>
          <w:p>
            <w:pPr>
              <w:spacing w:after="0" w:line="240" w:lineRule="auto"/>
              <w:jc w:val="right"/>
            </w:pPr>
            <w:r>
              <w:rPr>
                <w:b w:val="0"/>
                <w:i w:val="0"/>
                <w:sz w:val="15"/>
              </w:rPr>
              <w:t>25</w:t>
            </w:r>
          </w:p>
        </w:tc>
        <w:tc>
          <w:tcPr>
            <w:tcW w:type="dxa" w:w="5688"/>
            <w:shd w:val="clear" w:color="auto" w:fill="D9E1F2"/>
          </w:tcPr>
          <w:p>
            <w:pPr>
              <w:spacing w:after="0" w:line="240" w:lineRule="auto"/>
            </w:pPr>
            <w:r>
              <w:rPr>
                <w:b w:val="0"/>
                <w:i w:val="0"/>
                <w:sz w:val="15"/>
              </w:rPr>
              <w:t>EDGAR XBRL cross-check of ~8 headline items for every period (sec.gov blocked)</w:t>
            </w:r>
          </w:p>
        </w:tc>
      </w:tr>
      <w:tr>
        <w:trPr>
          <w:cantSplit/>
        </w:trPr>
        <w:tc>
          <w:tcPr>
            <w:tcW w:type="dxa" w:w="504"/>
          </w:tcPr>
          <w:p>
            <w:pPr>
              <w:spacing w:after="0" w:line="240" w:lineRule="auto"/>
            </w:pPr>
            <w:r>
              <w:rPr>
                <w:b w:val="0"/>
                <w:i w:val="0"/>
                <w:sz w:val="15"/>
              </w:rPr>
              <w:t>49</w:t>
            </w:r>
          </w:p>
        </w:tc>
        <w:tc>
          <w:tcPr>
            <w:tcW w:type="dxa" w:w="2736"/>
          </w:tcPr>
          <w:p>
            <w:pPr>
              <w:spacing w:after="0" w:line="240" w:lineRule="auto"/>
            </w:pPr>
            <w:r>
              <w:rPr>
                <w:b w:val="0"/>
                <w:i w:val="0"/>
                <w:sz w:val="15"/>
              </w:rPr>
              <w:t>9 Group decomposition &amp; standalone earnings</w:t>
            </w:r>
          </w:p>
        </w:tc>
        <w:tc>
          <w:tcPr>
            <w:tcW w:type="dxa" w:w="864"/>
          </w:tcPr>
          <w:p>
            <w:pPr>
              <w:spacing w:after="0" w:line="240" w:lineRule="auto"/>
              <w:jc w:val="right"/>
            </w:pPr>
            <w:r>
              <w:rPr>
                <w:b w:val="0"/>
                <w:i w:val="0"/>
                <w:sz w:val="15"/>
              </w:rPr>
              <w:t>27</w:t>
            </w:r>
          </w:p>
        </w:tc>
        <w:tc>
          <w:tcPr>
            <w:tcW w:type="dxa" w:w="5688"/>
          </w:tcPr>
          <w:p>
            <w:pPr>
              <w:spacing w:after="0" w:line="240" w:lineRule="auto"/>
            </w:pPr>
            <w:r>
              <w:rPr>
                <w:b w:val="0"/>
                <w:i w:val="0"/>
                <w:sz w:val="15"/>
              </w:rPr>
              <w:t>dollar bridge from S&amp;P allocations (~$100m) to the standalone corporate cost base</w:t>
            </w:r>
          </w:p>
        </w:tc>
      </w:tr>
      <w:tr>
        <w:trPr>
          <w:cantSplit/>
        </w:trPr>
        <w:tc>
          <w:tcPr>
            <w:tcW w:type="dxa" w:w="504"/>
            <w:shd w:val="clear" w:color="auto" w:fill="D9E1F2"/>
          </w:tcPr>
          <w:p>
            <w:pPr>
              <w:spacing w:after="0" w:line="240" w:lineRule="auto"/>
            </w:pPr>
            <w:r>
              <w:rPr>
                <w:b w:val="0"/>
                <w:i w:val="0"/>
                <w:sz w:val="15"/>
              </w:rPr>
              <w:t>50</w:t>
            </w:r>
          </w:p>
        </w:tc>
        <w:tc>
          <w:tcPr>
            <w:tcW w:type="dxa" w:w="2736"/>
            <w:shd w:val="clear" w:color="auto" w:fill="D9E1F2"/>
          </w:tcPr>
          <w:p>
            <w:pPr>
              <w:spacing w:after="0" w:line="240" w:lineRule="auto"/>
            </w:pPr>
            <w:r>
              <w:rPr>
                <w:b w:val="0"/>
                <w:i w:val="0"/>
                <w:sz w:val="15"/>
              </w:rPr>
              <w:t>9 Group decomposition &amp; standalone earnings</w:t>
            </w:r>
          </w:p>
        </w:tc>
        <w:tc>
          <w:tcPr>
            <w:tcW w:type="dxa" w:w="864"/>
            <w:shd w:val="clear" w:color="auto" w:fill="D9E1F2"/>
          </w:tcPr>
          <w:p>
            <w:pPr>
              <w:spacing w:after="0" w:line="240" w:lineRule="auto"/>
              <w:jc w:val="right"/>
            </w:pPr>
            <w:r>
              <w:rPr>
                <w:b w:val="0"/>
                <w:i w:val="0"/>
                <w:sz w:val="15"/>
              </w:rPr>
              <w:t>27</w:t>
            </w:r>
          </w:p>
        </w:tc>
        <w:tc>
          <w:tcPr>
            <w:tcW w:type="dxa" w:w="5688"/>
            <w:shd w:val="clear" w:color="auto" w:fill="D9E1F2"/>
          </w:tcPr>
          <w:p>
            <w:pPr>
              <w:spacing w:after="0" w:line="240" w:lineRule="auto"/>
            </w:pPr>
            <w:r>
              <w:rPr>
                <w:b w:val="0"/>
                <w:i w:val="0"/>
                <w:sz w:val="15"/>
              </w:rPr>
              <w:t>overlap between $78m of transaction costs expensed and the ~$100m one-time guide</w:t>
            </w:r>
          </w:p>
        </w:tc>
      </w:tr>
      <w:tr>
        <w:trPr>
          <w:cantSplit/>
        </w:trPr>
        <w:tc>
          <w:tcPr>
            <w:tcW w:type="dxa" w:w="504"/>
          </w:tcPr>
          <w:p>
            <w:pPr>
              <w:spacing w:after="0" w:line="240" w:lineRule="auto"/>
            </w:pPr>
            <w:r>
              <w:rPr>
                <w:b w:val="0"/>
                <w:i w:val="0"/>
                <w:sz w:val="15"/>
              </w:rPr>
              <w:t>51</w:t>
            </w:r>
          </w:p>
        </w:tc>
        <w:tc>
          <w:tcPr>
            <w:tcW w:type="dxa" w:w="2736"/>
          </w:tcPr>
          <w:p>
            <w:pPr>
              <w:spacing w:after="0" w:line="240" w:lineRule="auto"/>
            </w:pPr>
            <w:r>
              <w:rPr>
                <w:b w:val="0"/>
                <w:i w:val="0"/>
                <w:sz w:val="15"/>
              </w:rPr>
              <w:t>9 Group decomposition &amp; standalone earnings</w:t>
            </w:r>
          </w:p>
        </w:tc>
        <w:tc>
          <w:tcPr>
            <w:tcW w:type="dxa" w:w="864"/>
          </w:tcPr>
          <w:p>
            <w:pPr>
              <w:spacing w:after="0" w:line="240" w:lineRule="auto"/>
              <w:jc w:val="right"/>
            </w:pPr>
            <w:r>
              <w:rPr>
                <w:b w:val="0"/>
                <w:i w:val="0"/>
                <w:sz w:val="15"/>
              </w:rPr>
              <w:t>28</w:t>
            </w:r>
          </w:p>
        </w:tc>
        <w:tc>
          <w:tcPr>
            <w:tcW w:type="dxa" w:w="5688"/>
          </w:tcPr>
          <w:p>
            <w:pPr>
              <w:spacing w:after="0" w:line="240" w:lineRule="auto"/>
            </w:pPr>
            <w:r>
              <w:rPr>
                <w:b w:val="0"/>
                <w:i w:val="0"/>
                <w:sz w:val="15"/>
              </w:rPr>
              <w:t>management's definition and reconciliation of “normalized GAAP net income” (first adjusted NI print due with Q3-26)</w:t>
            </w:r>
          </w:p>
        </w:tc>
      </w:tr>
      <w:tr>
        <w:trPr>
          <w:cantSplit/>
        </w:trPr>
        <w:tc>
          <w:tcPr>
            <w:tcW w:type="dxa" w:w="504"/>
            <w:shd w:val="clear" w:color="auto" w:fill="D9E1F2"/>
          </w:tcPr>
          <w:p>
            <w:pPr>
              <w:spacing w:after="0" w:line="240" w:lineRule="auto"/>
            </w:pPr>
            <w:r>
              <w:rPr>
                <w:b w:val="0"/>
                <w:i w:val="0"/>
                <w:sz w:val="15"/>
              </w:rPr>
              <w:t>52</w:t>
            </w:r>
          </w:p>
        </w:tc>
        <w:tc>
          <w:tcPr>
            <w:tcW w:type="dxa" w:w="2736"/>
            <w:shd w:val="clear" w:color="auto" w:fill="D9E1F2"/>
          </w:tcPr>
          <w:p>
            <w:pPr>
              <w:spacing w:after="0" w:line="240" w:lineRule="auto"/>
            </w:pPr>
            <w:r>
              <w:rPr>
                <w:b w:val="0"/>
                <w:i w:val="0"/>
                <w:sz w:val="15"/>
              </w:rPr>
              <w:t>10 Guidance vs execution &amp; targets timeline</w:t>
            </w:r>
          </w:p>
        </w:tc>
        <w:tc>
          <w:tcPr>
            <w:tcW w:type="dxa" w:w="864"/>
            <w:shd w:val="clear" w:color="auto" w:fill="D9E1F2"/>
          </w:tcPr>
          <w:p>
            <w:pPr>
              <w:spacing w:after="0" w:line="240" w:lineRule="auto"/>
              <w:jc w:val="right"/>
            </w:pPr>
            <w:r>
              <w:rPr>
                <w:b w:val="0"/>
                <w:i w:val="0"/>
                <w:sz w:val="15"/>
              </w:rPr>
              <w:t>30</w:t>
            </w:r>
          </w:p>
        </w:tc>
        <w:tc>
          <w:tcPr>
            <w:tcW w:type="dxa" w:w="5688"/>
            <w:shd w:val="clear" w:color="auto" w:fill="D9E1F2"/>
          </w:tcPr>
          <w:p>
            <w:pPr>
              <w:spacing w:after="0" w:line="240" w:lineRule="auto"/>
            </w:pPr>
            <w:r>
              <w:rPr>
                <w:b w:val="0"/>
                <w:i w:val="0"/>
                <w:sz w:val="15"/>
              </w:rPr>
              <w:t>Q3-26 actuals vs the implied 2H run-rate (revenue +6.3–8.0%, Adj. EBITDA margin 37.9–38.9%)</w:t>
            </w:r>
          </w:p>
        </w:tc>
      </w:tr>
      <w:tr>
        <w:trPr>
          <w:cantSplit/>
        </w:trPr>
        <w:tc>
          <w:tcPr>
            <w:tcW w:type="dxa" w:w="504"/>
          </w:tcPr>
          <w:p>
            <w:pPr>
              <w:spacing w:after="0" w:line="240" w:lineRule="auto"/>
            </w:pPr>
            <w:r>
              <w:rPr>
                <w:b w:val="0"/>
                <w:i w:val="0"/>
                <w:sz w:val="15"/>
              </w:rPr>
              <w:t>53</w:t>
            </w:r>
          </w:p>
        </w:tc>
        <w:tc>
          <w:tcPr>
            <w:tcW w:type="dxa" w:w="2736"/>
          </w:tcPr>
          <w:p>
            <w:pPr>
              <w:spacing w:after="0" w:line="240" w:lineRule="auto"/>
            </w:pPr>
            <w:r>
              <w:rPr>
                <w:b w:val="0"/>
                <w:i w:val="0"/>
                <w:sz w:val="15"/>
              </w:rPr>
              <w:t>10 Guidance vs execution &amp; targets timeline</w:t>
            </w:r>
          </w:p>
        </w:tc>
        <w:tc>
          <w:tcPr>
            <w:tcW w:type="dxa" w:w="864"/>
          </w:tcPr>
          <w:p>
            <w:pPr>
              <w:spacing w:after="0" w:line="240" w:lineRule="auto"/>
              <w:jc w:val="right"/>
            </w:pPr>
            <w:r>
              <w:rPr>
                <w:b w:val="0"/>
                <w:i w:val="0"/>
                <w:sz w:val="15"/>
              </w:rPr>
              <w:t>31</w:t>
            </w:r>
          </w:p>
        </w:tc>
        <w:tc>
          <w:tcPr>
            <w:tcW w:type="dxa" w:w="5688"/>
          </w:tcPr>
          <w:p>
            <w:pPr>
              <w:spacing w:after="0" w:line="240" w:lineRule="auto"/>
            </w:pPr>
            <w:r>
              <w:rPr>
                <w:b w:val="0"/>
                <w:i w:val="0"/>
                <w:sz w:val="15"/>
              </w:rPr>
              <w:t>FY27 guidance (promised broader scope) when issued</w:t>
            </w:r>
          </w:p>
        </w:tc>
      </w:tr>
      <w:tr>
        <w:trPr>
          <w:cantSplit/>
        </w:trPr>
        <w:tc>
          <w:tcPr>
            <w:tcW w:type="dxa" w:w="504"/>
            <w:shd w:val="clear" w:color="auto" w:fill="D9E1F2"/>
          </w:tcPr>
          <w:p>
            <w:pPr>
              <w:spacing w:after="0" w:line="240" w:lineRule="auto"/>
            </w:pPr>
            <w:r>
              <w:rPr>
                <w:b w:val="0"/>
                <w:i w:val="0"/>
                <w:sz w:val="15"/>
              </w:rPr>
              <w:t>54</w:t>
            </w:r>
          </w:p>
        </w:tc>
        <w:tc>
          <w:tcPr>
            <w:tcW w:type="dxa" w:w="2736"/>
            <w:shd w:val="clear" w:color="auto" w:fill="D9E1F2"/>
          </w:tcPr>
          <w:p>
            <w:pPr>
              <w:spacing w:after="0" w:line="240" w:lineRule="auto"/>
            </w:pPr>
            <w:r>
              <w:rPr>
                <w:b w:val="0"/>
                <w:i w:val="0"/>
                <w:sz w:val="15"/>
              </w:rPr>
              <w:t>11 Pricing</w:t>
            </w:r>
          </w:p>
        </w:tc>
        <w:tc>
          <w:tcPr>
            <w:tcW w:type="dxa" w:w="864"/>
            <w:shd w:val="clear" w:color="auto" w:fill="D9E1F2"/>
          </w:tcPr>
          <w:p>
            <w:pPr>
              <w:spacing w:after="0" w:line="240" w:lineRule="auto"/>
              <w:jc w:val="right"/>
            </w:pPr>
            <w:r>
              <w:rPr>
                <w:b w:val="0"/>
                <w:i w:val="0"/>
                <w:sz w:val="15"/>
              </w:rPr>
              <w:t>33</w:t>
            </w:r>
          </w:p>
        </w:tc>
        <w:tc>
          <w:tcPr>
            <w:tcW w:type="dxa" w:w="5688"/>
            <w:shd w:val="clear" w:color="auto" w:fill="D9E1F2"/>
          </w:tcPr>
          <w:p>
            <w:pPr>
              <w:spacing w:after="0" w:line="240" w:lineRule="auto"/>
            </w:pPr>
            <w:r>
              <w:rPr>
                <w:b w:val="0"/>
                <w:i w:val="0"/>
                <w:sz w:val="15"/>
              </w:rPr>
              <w:t>price per dealer location and share of dealers taking a price increase at last renewal</w:t>
            </w:r>
          </w:p>
        </w:tc>
      </w:tr>
      <w:tr>
        <w:trPr>
          <w:cantSplit/>
        </w:trPr>
        <w:tc>
          <w:tcPr>
            <w:tcW w:type="dxa" w:w="504"/>
          </w:tcPr>
          <w:p>
            <w:pPr>
              <w:spacing w:after="0" w:line="240" w:lineRule="auto"/>
            </w:pPr>
            <w:r>
              <w:rPr>
                <w:b w:val="0"/>
                <w:i w:val="0"/>
                <w:sz w:val="15"/>
              </w:rPr>
              <w:t>55</w:t>
            </w:r>
          </w:p>
        </w:tc>
        <w:tc>
          <w:tcPr>
            <w:tcW w:type="dxa" w:w="2736"/>
          </w:tcPr>
          <w:p>
            <w:pPr>
              <w:spacing w:after="0" w:line="240" w:lineRule="auto"/>
            </w:pPr>
            <w:r>
              <w:rPr>
                <w:b w:val="0"/>
                <w:i w:val="0"/>
                <w:sz w:val="15"/>
              </w:rPr>
              <w:t>11 Pricing</w:t>
            </w:r>
          </w:p>
        </w:tc>
        <w:tc>
          <w:tcPr>
            <w:tcW w:type="dxa" w:w="864"/>
          </w:tcPr>
          <w:p>
            <w:pPr>
              <w:spacing w:after="0" w:line="240" w:lineRule="auto"/>
              <w:jc w:val="right"/>
            </w:pPr>
            <w:r>
              <w:rPr>
                <w:b w:val="0"/>
                <w:i w:val="0"/>
                <w:sz w:val="15"/>
              </w:rPr>
              <w:t>33</w:t>
            </w:r>
          </w:p>
        </w:tc>
        <w:tc>
          <w:tcPr>
            <w:tcW w:type="dxa" w:w="5688"/>
          </w:tcPr>
          <w:p>
            <w:pPr>
              <w:spacing w:after="0" w:line="240" w:lineRule="auto"/>
            </w:pPr>
            <w:r>
              <w:rPr>
                <w:b w:val="0"/>
                <w:i w:val="0"/>
                <w:sz w:val="15"/>
              </w:rPr>
              <w:t>dealer rooftop counts by product</w:t>
            </w:r>
          </w:p>
        </w:tc>
      </w:tr>
      <w:tr>
        <w:trPr>
          <w:cantSplit/>
        </w:trPr>
        <w:tc>
          <w:tcPr>
            <w:tcW w:type="dxa" w:w="504"/>
            <w:shd w:val="clear" w:color="auto" w:fill="D9E1F2"/>
          </w:tcPr>
          <w:p>
            <w:pPr>
              <w:spacing w:after="0" w:line="240" w:lineRule="auto"/>
            </w:pPr>
            <w:r>
              <w:rPr>
                <w:b w:val="0"/>
                <w:i w:val="0"/>
                <w:sz w:val="15"/>
              </w:rPr>
              <w:t>56</w:t>
            </w:r>
          </w:p>
        </w:tc>
        <w:tc>
          <w:tcPr>
            <w:tcW w:type="dxa" w:w="2736"/>
            <w:shd w:val="clear" w:color="auto" w:fill="D9E1F2"/>
          </w:tcPr>
          <w:p>
            <w:pPr>
              <w:spacing w:after="0" w:line="240" w:lineRule="auto"/>
            </w:pPr>
            <w:r>
              <w:rPr>
                <w:b w:val="0"/>
                <w:i w:val="0"/>
                <w:sz w:val="15"/>
              </w:rPr>
              <w:t>11 Pricing</w:t>
            </w:r>
          </w:p>
        </w:tc>
        <w:tc>
          <w:tcPr>
            <w:tcW w:type="dxa" w:w="864"/>
            <w:shd w:val="clear" w:color="auto" w:fill="D9E1F2"/>
          </w:tcPr>
          <w:p>
            <w:pPr>
              <w:spacing w:after="0" w:line="240" w:lineRule="auto"/>
              <w:jc w:val="right"/>
            </w:pPr>
            <w:r>
              <w:rPr>
                <w:b w:val="0"/>
                <w:i w:val="0"/>
                <w:sz w:val="15"/>
              </w:rPr>
              <w:t>33</w:t>
            </w:r>
          </w:p>
        </w:tc>
        <w:tc>
          <w:tcPr>
            <w:tcW w:type="dxa" w:w="5688"/>
            <w:shd w:val="clear" w:color="auto" w:fill="D9E1F2"/>
          </w:tcPr>
          <w:p>
            <w:pPr>
              <w:spacing w:after="0" w:line="240" w:lineRule="auto"/>
            </w:pPr>
            <w:r>
              <w:rPr>
                <w:b w:val="0"/>
                <w:i w:val="0"/>
                <w:sz w:val="15"/>
              </w:rPr>
              <w:t>B2B price escalator terms</w:t>
            </w:r>
          </w:p>
        </w:tc>
      </w:tr>
      <w:tr>
        <w:trPr>
          <w:cantSplit/>
        </w:trPr>
        <w:tc>
          <w:tcPr>
            <w:tcW w:type="dxa" w:w="504"/>
          </w:tcPr>
          <w:p>
            <w:pPr>
              <w:spacing w:after="0" w:line="240" w:lineRule="auto"/>
            </w:pPr>
            <w:r>
              <w:rPr>
                <w:b w:val="0"/>
                <w:i w:val="0"/>
                <w:sz w:val="15"/>
              </w:rPr>
              <w:t>57</w:t>
            </w:r>
          </w:p>
        </w:tc>
        <w:tc>
          <w:tcPr>
            <w:tcW w:type="dxa" w:w="2736"/>
          </w:tcPr>
          <w:p>
            <w:pPr>
              <w:spacing w:after="0" w:line="240" w:lineRule="auto"/>
            </w:pPr>
            <w:r>
              <w:rPr>
                <w:b w:val="0"/>
                <w:i w:val="0"/>
                <w:sz w:val="15"/>
              </w:rPr>
              <w:t>11 Pricing</w:t>
            </w:r>
          </w:p>
        </w:tc>
        <w:tc>
          <w:tcPr>
            <w:tcW w:type="dxa" w:w="864"/>
          </w:tcPr>
          <w:p>
            <w:pPr>
              <w:spacing w:after="0" w:line="240" w:lineRule="auto"/>
              <w:jc w:val="right"/>
            </w:pPr>
            <w:r>
              <w:rPr>
                <w:b w:val="0"/>
                <w:i w:val="0"/>
                <w:sz w:val="15"/>
              </w:rPr>
              <w:t>33</w:t>
            </w:r>
          </w:p>
        </w:tc>
        <w:tc>
          <w:tcPr>
            <w:tcW w:type="dxa" w:w="5688"/>
          </w:tcPr>
          <w:p>
            <w:pPr>
              <w:spacing w:after="0" w:line="240" w:lineRule="auto"/>
            </w:pPr>
            <w:r>
              <w:rPr>
                <w:b w:val="0"/>
                <w:i w:val="0"/>
                <w:sz w:val="15"/>
              </w:rPr>
              <w:t>Lifetime bundle pricing and uplift</w:t>
            </w:r>
          </w:p>
        </w:tc>
      </w:tr>
      <w:tr>
        <w:trPr>
          <w:cantSplit/>
        </w:trPr>
        <w:tc>
          <w:tcPr>
            <w:tcW w:type="dxa" w:w="504"/>
            <w:shd w:val="clear" w:color="auto" w:fill="D9E1F2"/>
          </w:tcPr>
          <w:p>
            <w:pPr>
              <w:spacing w:after="0" w:line="240" w:lineRule="auto"/>
            </w:pPr>
            <w:r>
              <w:rPr>
                <w:b w:val="0"/>
                <w:i w:val="0"/>
                <w:sz w:val="15"/>
              </w:rPr>
              <w:t>58</w:t>
            </w:r>
          </w:p>
        </w:tc>
        <w:tc>
          <w:tcPr>
            <w:tcW w:type="dxa" w:w="2736"/>
            <w:shd w:val="clear" w:color="auto" w:fill="D9E1F2"/>
          </w:tcPr>
          <w:p>
            <w:pPr>
              <w:spacing w:after="0" w:line="240" w:lineRule="auto"/>
            </w:pPr>
            <w:r>
              <w:rPr>
                <w:b w:val="0"/>
                <w:i w:val="0"/>
                <w:sz w:val="15"/>
              </w:rPr>
              <w:t>11 Pricing</w:t>
            </w:r>
          </w:p>
        </w:tc>
        <w:tc>
          <w:tcPr>
            <w:tcW w:type="dxa" w:w="864"/>
            <w:shd w:val="clear" w:color="auto" w:fill="D9E1F2"/>
          </w:tcPr>
          <w:p>
            <w:pPr>
              <w:spacing w:after="0" w:line="240" w:lineRule="auto"/>
              <w:jc w:val="right"/>
            </w:pPr>
            <w:r>
              <w:rPr>
                <w:b w:val="0"/>
                <w:i w:val="0"/>
                <w:sz w:val="15"/>
              </w:rPr>
              <w:t>33</w:t>
            </w:r>
          </w:p>
        </w:tc>
        <w:tc>
          <w:tcPr>
            <w:tcW w:type="dxa" w:w="5688"/>
            <w:shd w:val="clear" w:color="auto" w:fill="D9E1F2"/>
          </w:tcPr>
          <w:p>
            <w:pPr>
              <w:spacing w:after="0" w:line="240" w:lineRule="auto"/>
            </w:pPr>
            <w:r>
              <w:rPr>
                <w:b w:val="0"/>
                <w:i w:val="0"/>
                <w:sz w:val="15"/>
              </w:rPr>
              <w:t>AI / agent monetisation pricing model and revenue</w:t>
            </w:r>
          </w:p>
        </w:tc>
      </w:tr>
      <w:tr>
        <w:trPr>
          <w:cantSplit/>
        </w:trPr>
        <w:tc>
          <w:tcPr>
            <w:tcW w:type="dxa" w:w="504"/>
          </w:tcPr>
          <w:p>
            <w:pPr>
              <w:spacing w:after="0" w:line="240" w:lineRule="auto"/>
            </w:pPr>
            <w:r>
              <w:rPr>
                <w:b w:val="0"/>
                <w:i w:val="0"/>
                <w:sz w:val="15"/>
              </w:rPr>
              <w:t>59</w:t>
            </w:r>
          </w:p>
        </w:tc>
        <w:tc>
          <w:tcPr>
            <w:tcW w:type="dxa" w:w="2736"/>
          </w:tcPr>
          <w:p>
            <w:pPr>
              <w:spacing w:after="0" w:line="240" w:lineRule="auto"/>
            </w:pPr>
            <w:r>
              <w:rPr>
                <w:b w:val="0"/>
                <w:i w:val="0"/>
                <w:sz w:val="15"/>
              </w:rPr>
              <w:t>12 Demand drivers &amp; cyclicality</w:t>
            </w:r>
          </w:p>
        </w:tc>
        <w:tc>
          <w:tcPr>
            <w:tcW w:type="dxa" w:w="864"/>
          </w:tcPr>
          <w:p>
            <w:pPr>
              <w:spacing w:after="0" w:line="240" w:lineRule="auto"/>
              <w:jc w:val="right"/>
            </w:pPr>
            <w:r>
              <w:rPr>
                <w:b w:val="0"/>
                <w:i w:val="0"/>
                <w:sz w:val="15"/>
              </w:rPr>
              <w:t>35</w:t>
            </w:r>
          </w:p>
        </w:tc>
        <w:tc>
          <w:tcPr>
            <w:tcW w:type="dxa" w:w="5688"/>
          </w:tcPr>
          <w:p>
            <w:pPr>
              <w:spacing w:after="0" w:line="240" w:lineRule="auto"/>
            </w:pPr>
            <w:r>
              <w:rPr>
                <w:b w:val="0"/>
                <w:i w:val="0"/>
                <w:sz w:val="15"/>
              </w:rPr>
              <w:t>used retail units series for elasticity test</w:t>
            </w:r>
          </w:p>
        </w:tc>
      </w:tr>
      <w:tr>
        <w:trPr>
          <w:cantSplit/>
        </w:trPr>
        <w:tc>
          <w:tcPr>
            <w:tcW w:type="dxa" w:w="504"/>
            <w:shd w:val="clear" w:color="auto" w:fill="D9E1F2"/>
          </w:tcPr>
          <w:p>
            <w:pPr>
              <w:spacing w:after="0" w:line="240" w:lineRule="auto"/>
            </w:pPr>
            <w:r>
              <w:rPr>
                <w:b w:val="0"/>
                <w:i w:val="0"/>
                <w:sz w:val="15"/>
              </w:rPr>
              <w:t>60</w:t>
            </w:r>
          </w:p>
        </w:tc>
        <w:tc>
          <w:tcPr>
            <w:tcW w:type="dxa" w:w="2736"/>
            <w:shd w:val="clear" w:color="auto" w:fill="D9E1F2"/>
          </w:tcPr>
          <w:p>
            <w:pPr>
              <w:spacing w:after="0" w:line="240" w:lineRule="auto"/>
            </w:pPr>
            <w:r>
              <w:rPr>
                <w:b w:val="0"/>
                <w:i w:val="0"/>
                <w:sz w:val="15"/>
              </w:rPr>
              <w:t>12 Demand drivers &amp; cyclicality</w:t>
            </w:r>
          </w:p>
        </w:tc>
        <w:tc>
          <w:tcPr>
            <w:tcW w:type="dxa" w:w="864"/>
            <w:shd w:val="clear" w:color="auto" w:fill="D9E1F2"/>
          </w:tcPr>
          <w:p>
            <w:pPr>
              <w:spacing w:after="0" w:line="240" w:lineRule="auto"/>
              <w:jc w:val="right"/>
            </w:pPr>
            <w:r>
              <w:rPr>
                <w:b w:val="0"/>
                <w:i w:val="0"/>
                <w:sz w:val="15"/>
              </w:rPr>
              <w:t>35</w:t>
            </w:r>
          </w:p>
        </w:tc>
        <w:tc>
          <w:tcPr>
            <w:tcW w:type="dxa" w:w="5688"/>
            <w:shd w:val="clear" w:color="auto" w:fill="D9E1F2"/>
          </w:tcPr>
          <w:p>
            <w:pPr>
              <w:spacing w:after="0" w:line="240" w:lineRule="auto"/>
            </w:pPr>
            <w:r>
              <w:rPr>
                <w:b w:val="0"/>
                <w:i w:val="0"/>
                <w:sz w:val="15"/>
              </w:rPr>
              <w:t>SAAR monthly series</w:t>
            </w:r>
          </w:p>
        </w:tc>
      </w:tr>
      <w:tr>
        <w:trPr>
          <w:cantSplit/>
        </w:trPr>
        <w:tc>
          <w:tcPr>
            <w:tcW w:type="dxa" w:w="504"/>
          </w:tcPr>
          <w:p>
            <w:pPr>
              <w:spacing w:after="0" w:line="240" w:lineRule="auto"/>
            </w:pPr>
            <w:r>
              <w:rPr>
                <w:b w:val="0"/>
                <w:i w:val="0"/>
                <w:sz w:val="15"/>
              </w:rPr>
              <w:t>61</w:t>
            </w:r>
          </w:p>
        </w:tc>
        <w:tc>
          <w:tcPr>
            <w:tcW w:type="dxa" w:w="2736"/>
          </w:tcPr>
          <w:p>
            <w:pPr>
              <w:spacing w:after="0" w:line="240" w:lineRule="auto"/>
            </w:pPr>
            <w:r>
              <w:rPr>
                <w:b w:val="0"/>
                <w:i w:val="0"/>
                <w:sz w:val="15"/>
              </w:rPr>
              <w:t>12 Demand drivers &amp; cyclicality</w:t>
            </w:r>
          </w:p>
        </w:tc>
        <w:tc>
          <w:tcPr>
            <w:tcW w:type="dxa" w:w="864"/>
          </w:tcPr>
          <w:p>
            <w:pPr>
              <w:spacing w:after="0" w:line="240" w:lineRule="auto"/>
              <w:jc w:val="right"/>
            </w:pPr>
            <w:r>
              <w:rPr>
                <w:b w:val="0"/>
                <w:i w:val="0"/>
                <w:sz w:val="15"/>
              </w:rPr>
              <w:t>35</w:t>
            </w:r>
          </w:p>
        </w:tc>
        <w:tc>
          <w:tcPr>
            <w:tcW w:type="dxa" w:w="5688"/>
          </w:tcPr>
          <w:p>
            <w:pPr>
              <w:spacing w:after="0" w:line="240" w:lineRule="auto"/>
            </w:pPr>
            <w:r>
              <w:rPr>
                <w:b w:val="0"/>
                <w:i w:val="0"/>
                <w:sz w:val="15"/>
              </w:rPr>
              <w:t>rooftop counts and buy-sell deal counts (NADA, Haig)</w:t>
            </w:r>
          </w:p>
        </w:tc>
      </w:tr>
      <w:tr>
        <w:trPr>
          <w:cantSplit/>
        </w:trPr>
        <w:tc>
          <w:tcPr>
            <w:tcW w:type="dxa" w:w="504"/>
            <w:shd w:val="clear" w:color="auto" w:fill="D9E1F2"/>
          </w:tcPr>
          <w:p>
            <w:pPr>
              <w:spacing w:after="0" w:line="240" w:lineRule="auto"/>
            </w:pPr>
            <w:r>
              <w:rPr>
                <w:b w:val="0"/>
                <w:i w:val="0"/>
                <w:sz w:val="15"/>
              </w:rPr>
              <w:t>62</w:t>
            </w:r>
          </w:p>
        </w:tc>
        <w:tc>
          <w:tcPr>
            <w:tcW w:type="dxa" w:w="2736"/>
            <w:shd w:val="clear" w:color="auto" w:fill="D9E1F2"/>
          </w:tcPr>
          <w:p>
            <w:pPr>
              <w:spacing w:after="0" w:line="240" w:lineRule="auto"/>
            </w:pPr>
            <w:r>
              <w:rPr>
                <w:b w:val="0"/>
                <w:i w:val="0"/>
                <w:sz w:val="15"/>
              </w:rPr>
              <w:t>12 Demand drivers &amp; cyclicality</w:t>
            </w:r>
          </w:p>
        </w:tc>
        <w:tc>
          <w:tcPr>
            <w:tcW w:type="dxa" w:w="864"/>
            <w:shd w:val="clear" w:color="auto" w:fill="D9E1F2"/>
          </w:tcPr>
          <w:p>
            <w:pPr>
              <w:spacing w:after="0" w:line="240" w:lineRule="auto"/>
              <w:jc w:val="right"/>
            </w:pPr>
            <w:r>
              <w:rPr>
                <w:b w:val="0"/>
                <w:i w:val="0"/>
                <w:sz w:val="15"/>
              </w:rPr>
              <w:t>35</w:t>
            </w:r>
          </w:p>
        </w:tc>
        <w:tc>
          <w:tcPr>
            <w:tcW w:type="dxa" w:w="5688"/>
            <w:shd w:val="clear" w:color="auto" w:fill="D9E1F2"/>
          </w:tcPr>
          <w:p>
            <w:pPr>
              <w:spacing w:after="0" w:line="240" w:lineRule="auto"/>
            </w:pPr>
            <w:r>
              <w:rPr>
                <w:b w:val="0"/>
                <w:i w:val="0"/>
                <w:sz w:val="15"/>
              </w:rPr>
              <w:t>NHTSA recall volumes</w:t>
            </w:r>
          </w:p>
        </w:tc>
      </w:tr>
      <w:tr>
        <w:trPr>
          <w:cantSplit/>
        </w:trPr>
        <w:tc>
          <w:tcPr>
            <w:tcW w:type="dxa" w:w="504"/>
          </w:tcPr>
          <w:p>
            <w:pPr>
              <w:spacing w:after="0" w:line="240" w:lineRule="auto"/>
            </w:pPr>
            <w:r>
              <w:rPr>
                <w:b w:val="0"/>
                <w:i w:val="0"/>
                <w:sz w:val="15"/>
              </w:rPr>
              <w:t>63</w:t>
            </w:r>
          </w:p>
        </w:tc>
        <w:tc>
          <w:tcPr>
            <w:tcW w:type="dxa" w:w="2736"/>
          </w:tcPr>
          <w:p>
            <w:pPr>
              <w:spacing w:after="0" w:line="240" w:lineRule="auto"/>
            </w:pPr>
            <w:r>
              <w:rPr>
                <w:b w:val="0"/>
                <w:i w:val="0"/>
                <w:sz w:val="15"/>
              </w:rPr>
              <w:t>12 Demand drivers &amp; cyclicality</w:t>
            </w:r>
          </w:p>
        </w:tc>
        <w:tc>
          <w:tcPr>
            <w:tcW w:type="dxa" w:w="864"/>
          </w:tcPr>
          <w:p>
            <w:pPr>
              <w:spacing w:after="0" w:line="240" w:lineRule="auto"/>
              <w:jc w:val="right"/>
            </w:pPr>
            <w:r>
              <w:rPr>
                <w:b w:val="0"/>
                <w:i w:val="0"/>
                <w:sz w:val="15"/>
              </w:rPr>
              <w:t>35</w:t>
            </w:r>
          </w:p>
        </w:tc>
        <w:tc>
          <w:tcPr>
            <w:tcW w:type="dxa" w:w="5688"/>
          </w:tcPr>
          <w:p>
            <w:pPr>
              <w:spacing w:after="0" w:line="240" w:lineRule="auto"/>
            </w:pPr>
            <w:r>
              <w:rPr>
                <w:b w:val="0"/>
                <w:i w:val="0"/>
                <w:sz w:val="15"/>
              </w:rPr>
              <w:t>VIO and average age</w:t>
            </w:r>
          </w:p>
        </w:tc>
      </w:tr>
      <w:tr>
        <w:trPr>
          <w:cantSplit/>
        </w:trPr>
        <w:tc>
          <w:tcPr>
            <w:tcW w:type="dxa" w:w="504"/>
            <w:shd w:val="clear" w:color="auto" w:fill="D9E1F2"/>
          </w:tcPr>
          <w:p>
            <w:pPr>
              <w:spacing w:after="0" w:line="240" w:lineRule="auto"/>
            </w:pPr>
            <w:r>
              <w:rPr>
                <w:b w:val="0"/>
                <w:i w:val="0"/>
                <w:sz w:val="15"/>
              </w:rPr>
              <w:t>64</w:t>
            </w:r>
          </w:p>
        </w:tc>
        <w:tc>
          <w:tcPr>
            <w:tcW w:type="dxa" w:w="2736"/>
            <w:shd w:val="clear" w:color="auto" w:fill="D9E1F2"/>
          </w:tcPr>
          <w:p>
            <w:pPr>
              <w:spacing w:after="0" w:line="240" w:lineRule="auto"/>
            </w:pPr>
            <w:r>
              <w:rPr>
                <w:b w:val="0"/>
                <w:i w:val="0"/>
                <w:sz w:val="15"/>
              </w:rPr>
              <w:t>12 Demand drivers &amp; cyclicality</w:t>
            </w:r>
          </w:p>
        </w:tc>
        <w:tc>
          <w:tcPr>
            <w:tcW w:type="dxa" w:w="864"/>
            <w:shd w:val="clear" w:color="auto" w:fill="D9E1F2"/>
          </w:tcPr>
          <w:p>
            <w:pPr>
              <w:spacing w:after="0" w:line="240" w:lineRule="auto"/>
              <w:jc w:val="right"/>
            </w:pPr>
            <w:r>
              <w:rPr>
                <w:b w:val="0"/>
                <w:i w:val="0"/>
                <w:sz w:val="15"/>
              </w:rPr>
              <w:t>35</w:t>
            </w:r>
          </w:p>
        </w:tc>
        <w:tc>
          <w:tcPr>
            <w:tcW w:type="dxa" w:w="5688"/>
            <w:shd w:val="clear" w:color="auto" w:fill="D9E1F2"/>
          </w:tcPr>
          <w:p>
            <w:pPr>
              <w:spacing w:after="0" w:line="240" w:lineRule="auto"/>
            </w:pPr>
            <w:r>
              <w:rPr>
                <w:b w:val="0"/>
                <w:i w:val="0"/>
                <w:sz w:val="15"/>
              </w:rPr>
              <w:t>G.19 rates and delinquency</w:t>
            </w:r>
          </w:p>
        </w:tc>
      </w:tr>
      <w:tr>
        <w:trPr>
          <w:cantSplit/>
        </w:trPr>
        <w:tc>
          <w:tcPr>
            <w:tcW w:type="dxa" w:w="504"/>
          </w:tcPr>
          <w:p>
            <w:pPr>
              <w:spacing w:after="0" w:line="240" w:lineRule="auto"/>
            </w:pPr>
            <w:r>
              <w:rPr>
                <w:b w:val="0"/>
                <w:i w:val="0"/>
                <w:sz w:val="15"/>
              </w:rPr>
              <w:t>65</w:t>
            </w:r>
          </w:p>
        </w:tc>
        <w:tc>
          <w:tcPr>
            <w:tcW w:type="dxa" w:w="2736"/>
          </w:tcPr>
          <w:p>
            <w:pPr>
              <w:spacing w:after="0" w:line="240" w:lineRule="auto"/>
            </w:pPr>
            <w:r>
              <w:rPr>
                <w:b w:val="0"/>
                <w:i w:val="0"/>
                <w:sz w:val="15"/>
              </w:rPr>
              <w:t>12 Demand drivers &amp; cyclicality</w:t>
            </w:r>
          </w:p>
        </w:tc>
        <w:tc>
          <w:tcPr>
            <w:tcW w:type="dxa" w:w="864"/>
          </w:tcPr>
          <w:p>
            <w:pPr>
              <w:spacing w:after="0" w:line="240" w:lineRule="auto"/>
              <w:jc w:val="right"/>
            </w:pPr>
            <w:r>
              <w:rPr>
                <w:b w:val="0"/>
                <w:i w:val="0"/>
                <w:sz w:val="15"/>
              </w:rPr>
              <w:t>35</w:t>
            </w:r>
          </w:p>
        </w:tc>
        <w:tc>
          <w:tcPr>
            <w:tcW w:type="dxa" w:w="5688"/>
          </w:tcPr>
          <w:p>
            <w:pPr>
              <w:spacing w:after="0" w:line="240" w:lineRule="auto"/>
            </w:pPr>
            <w:r>
              <w:rPr>
                <w:b w:val="0"/>
                <w:i w:val="0"/>
                <w:sz w:val="15"/>
              </w:rPr>
              <w:t>insurance shopping / CPI motor insurance</w:t>
            </w:r>
          </w:p>
        </w:tc>
      </w:tr>
      <w:tr>
        <w:trPr>
          <w:cantSplit/>
        </w:trPr>
        <w:tc>
          <w:tcPr>
            <w:tcW w:type="dxa" w:w="504"/>
            <w:shd w:val="clear" w:color="auto" w:fill="D9E1F2"/>
          </w:tcPr>
          <w:p>
            <w:pPr>
              <w:spacing w:after="0" w:line="240" w:lineRule="auto"/>
            </w:pPr>
            <w:r>
              <w:rPr>
                <w:b w:val="0"/>
                <w:i w:val="0"/>
                <w:sz w:val="15"/>
              </w:rPr>
              <w:t>66</w:t>
            </w:r>
          </w:p>
        </w:tc>
        <w:tc>
          <w:tcPr>
            <w:tcW w:type="dxa" w:w="2736"/>
            <w:shd w:val="clear" w:color="auto" w:fill="D9E1F2"/>
          </w:tcPr>
          <w:p>
            <w:pPr>
              <w:spacing w:after="0" w:line="240" w:lineRule="auto"/>
            </w:pPr>
            <w:r>
              <w:rPr>
                <w:b w:val="0"/>
                <w:i w:val="0"/>
                <w:sz w:val="15"/>
              </w:rPr>
              <w:t>12 Demand drivers &amp; cyclicality</w:t>
            </w:r>
          </w:p>
        </w:tc>
        <w:tc>
          <w:tcPr>
            <w:tcW w:type="dxa" w:w="864"/>
            <w:shd w:val="clear" w:color="auto" w:fill="D9E1F2"/>
          </w:tcPr>
          <w:p>
            <w:pPr>
              <w:spacing w:after="0" w:line="240" w:lineRule="auto"/>
              <w:jc w:val="right"/>
            </w:pPr>
            <w:r>
              <w:rPr>
                <w:b w:val="0"/>
                <w:i w:val="0"/>
                <w:sz w:val="15"/>
              </w:rPr>
              <w:t>35</w:t>
            </w:r>
          </w:p>
        </w:tc>
        <w:tc>
          <w:tcPr>
            <w:tcW w:type="dxa" w:w="5688"/>
            <w:shd w:val="clear" w:color="auto" w:fill="D9E1F2"/>
          </w:tcPr>
          <w:p>
            <w:pPr>
              <w:spacing w:after="0" w:line="240" w:lineRule="auto"/>
            </w:pPr>
            <w:r>
              <w:rPr>
                <w:b w:val="0"/>
                <w:i w:val="0"/>
                <w:sz w:val="15"/>
              </w:rPr>
              <w:t>Canada and Germany market series</w:t>
            </w:r>
          </w:p>
        </w:tc>
      </w:tr>
      <w:tr>
        <w:trPr>
          <w:cantSplit/>
        </w:trPr>
        <w:tc>
          <w:tcPr>
            <w:tcW w:type="dxa" w:w="504"/>
          </w:tcPr>
          <w:p>
            <w:pPr>
              <w:spacing w:after="0" w:line="240" w:lineRule="auto"/>
            </w:pPr>
            <w:r>
              <w:rPr>
                <w:b w:val="0"/>
                <w:i w:val="0"/>
                <w:sz w:val="15"/>
              </w:rPr>
              <w:t>67</w:t>
            </w:r>
          </w:p>
        </w:tc>
        <w:tc>
          <w:tcPr>
            <w:tcW w:type="dxa" w:w="2736"/>
          </w:tcPr>
          <w:p>
            <w:pPr>
              <w:spacing w:after="0" w:line="240" w:lineRule="auto"/>
            </w:pPr>
            <w:r>
              <w:rPr>
                <w:b w:val="0"/>
                <w:i w:val="0"/>
                <w:sz w:val="15"/>
              </w:rPr>
              <w:t>12 Demand drivers &amp; cyclicality</w:t>
            </w:r>
          </w:p>
        </w:tc>
        <w:tc>
          <w:tcPr>
            <w:tcW w:type="dxa" w:w="864"/>
          </w:tcPr>
          <w:p>
            <w:pPr>
              <w:spacing w:after="0" w:line="240" w:lineRule="auto"/>
              <w:jc w:val="right"/>
            </w:pPr>
            <w:r>
              <w:rPr>
                <w:b w:val="0"/>
                <w:i w:val="0"/>
                <w:sz w:val="15"/>
              </w:rPr>
              <w:t>36</w:t>
            </w:r>
          </w:p>
        </w:tc>
        <w:tc>
          <w:tcPr>
            <w:tcW w:type="dxa" w:w="5688"/>
          </w:tcPr>
          <w:p>
            <w:pPr>
              <w:spacing w:after="0" w:line="240" w:lineRule="auto"/>
            </w:pPr>
            <w:r>
              <w:rPr>
                <w:b w:val="0"/>
                <w:i w:val="0"/>
                <w:sz w:val="15"/>
              </w:rPr>
              <w:t>SPGI quarterly supplements to fill n/a cells in Exhibit 12.5 (Dealer / Manufacturing / Financials growth)</w:t>
            </w:r>
          </w:p>
        </w:tc>
      </w:tr>
      <w:tr>
        <w:trPr>
          <w:cantSplit/>
        </w:trPr>
        <w:tc>
          <w:tcPr>
            <w:tcW w:type="dxa" w:w="504"/>
            <w:shd w:val="clear" w:color="auto" w:fill="D9E1F2"/>
          </w:tcPr>
          <w:p>
            <w:pPr>
              <w:spacing w:after="0" w:line="240" w:lineRule="auto"/>
            </w:pPr>
            <w:r>
              <w:rPr>
                <w:b w:val="0"/>
                <w:i w:val="0"/>
                <w:sz w:val="15"/>
              </w:rPr>
              <w:t>68</w:t>
            </w:r>
          </w:p>
        </w:tc>
        <w:tc>
          <w:tcPr>
            <w:tcW w:type="dxa" w:w="2736"/>
            <w:shd w:val="clear" w:color="auto" w:fill="D9E1F2"/>
          </w:tcPr>
          <w:p>
            <w:pPr>
              <w:spacing w:after="0" w:line="240" w:lineRule="auto"/>
            </w:pPr>
            <w:r>
              <w:rPr>
                <w:b w:val="0"/>
                <w:i w:val="0"/>
                <w:sz w:val="15"/>
              </w:rPr>
              <w:t>12 Demand drivers &amp; cyclicality</w:t>
            </w:r>
          </w:p>
        </w:tc>
        <w:tc>
          <w:tcPr>
            <w:tcW w:type="dxa" w:w="864"/>
            <w:shd w:val="clear" w:color="auto" w:fill="D9E1F2"/>
          </w:tcPr>
          <w:p>
            <w:pPr>
              <w:spacing w:after="0" w:line="240" w:lineRule="auto"/>
              <w:jc w:val="right"/>
            </w:pPr>
            <w:r>
              <w:rPr>
                <w:b w:val="0"/>
                <w:i w:val="0"/>
                <w:sz w:val="15"/>
              </w:rPr>
              <w:t>36</w:t>
            </w:r>
          </w:p>
        </w:tc>
        <w:tc>
          <w:tcPr>
            <w:tcW w:type="dxa" w:w="5688"/>
            <w:shd w:val="clear" w:color="auto" w:fill="D9E1F2"/>
          </w:tcPr>
          <w:p>
            <w:pPr>
              <w:spacing w:after="0" w:line="240" w:lineRule="auto"/>
            </w:pPr>
            <w:r>
              <w:rPr>
                <w:b w:val="0"/>
                <w:i w:val="0"/>
                <w:sz w:val="15"/>
              </w:rPr>
              <w:t>2008–09 CARFAX/Polk revenue and pricing behaviour</w:t>
            </w:r>
          </w:p>
        </w:tc>
      </w:tr>
      <w:tr>
        <w:trPr>
          <w:cantSplit/>
        </w:trPr>
        <w:tc>
          <w:tcPr>
            <w:tcW w:type="dxa" w:w="504"/>
          </w:tcPr>
          <w:p>
            <w:pPr>
              <w:spacing w:after="0" w:line="240" w:lineRule="auto"/>
            </w:pPr>
            <w:r>
              <w:rPr>
                <w:b w:val="0"/>
                <w:i w:val="0"/>
                <w:sz w:val="15"/>
              </w:rPr>
              <w:t>69</w:t>
            </w:r>
          </w:p>
        </w:tc>
        <w:tc>
          <w:tcPr>
            <w:tcW w:type="dxa" w:w="2736"/>
          </w:tcPr>
          <w:p>
            <w:pPr>
              <w:spacing w:after="0" w:line="240" w:lineRule="auto"/>
            </w:pPr>
            <w:r>
              <w:rPr>
                <w:b w:val="0"/>
                <w:i w:val="0"/>
                <w:sz w:val="15"/>
              </w:rPr>
              <w:t>13 Management &amp; incentives</w:t>
            </w:r>
          </w:p>
        </w:tc>
        <w:tc>
          <w:tcPr>
            <w:tcW w:type="dxa" w:w="864"/>
          </w:tcPr>
          <w:p>
            <w:pPr>
              <w:spacing w:after="0" w:line="240" w:lineRule="auto"/>
              <w:jc w:val="right"/>
            </w:pPr>
            <w:r>
              <w:rPr>
                <w:b w:val="0"/>
                <w:i w:val="0"/>
                <w:sz w:val="15"/>
              </w:rPr>
              <w:t>39</w:t>
            </w:r>
          </w:p>
        </w:tc>
        <w:tc>
          <w:tcPr>
            <w:tcW w:type="dxa" w:w="5688"/>
          </w:tcPr>
          <w:p>
            <w:pPr>
              <w:spacing w:after="0" w:line="240" w:lineRule="auto"/>
            </w:pPr>
            <w:r>
              <w:rPr>
                <w:b w:val="0"/>
                <w:i w:val="0"/>
                <w:sz w:val="15"/>
              </w:rPr>
              <w:t>first DEF 14A (~Apr-2027): FY26 STI metrics and weights, 2027 PSU design (TSR / FCF per share), ownership guidelines</w:t>
            </w:r>
          </w:p>
        </w:tc>
      </w:tr>
      <w:tr>
        <w:trPr>
          <w:cantSplit/>
        </w:trPr>
        <w:tc>
          <w:tcPr>
            <w:tcW w:type="dxa" w:w="504"/>
            <w:shd w:val="clear" w:color="auto" w:fill="D9E1F2"/>
          </w:tcPr>
          <w:p>
            <w:pPr>
              <w:spacing w:after="0" w:line="240" w:lineRule="auto"/>
            </w:pPr>
            <w:r>
              <w:rPr>
                <w:b w:val="0"/>
                <w:i w:val="0"/>
                <w:sz w:val="15"/>
              </w:rPr>
              <w:t>70</w:t>
            </w:r>
          </w:p>
        </w:tc>
        <w:tc>
          <w:tcPr>
            <w:tcW w:type="dxa" w:w="2736"/>
            <w:shd w:val="clear" w:color="auto" w:fill="D9E1F2"/>
          </w:tcPr>
          <w:p>
            <w:pPr>
              <w:spacing w:after="0" w:line="240" w:lineRule="auto"/>
            </w:pPr>
            <w:r>
              <w:rPr>
                <w:b w:val="0"/>
                <w:i w:val="0"/>
                <w:sz w:val="15"/>
              </w:rPr>
              <w:t>13 Management &amp; incentives</w:t>
            </w:r>
          </w:p>
        </w:tc>
        <w:tc>
          <w:tcPr>
            <w:tcW w:type="dxa" w:w="864"/>
            <w:shd w:val="clear" w:color="auto" w:fill="D9E1F2"/>
          </w:tcPr>
          <w:p>
            <w:pPr>
              <w:spacing w:after="0" w:line="240" w:lineRule="auto"/>
              <w:jc w:val="right"/>
            </w:pPr>
            <w:r>
              <w:rPr>
                <w:b w:val="0"/>
                <w:i w:val="0"/>
                <w:sz w:val="15"/>
              </w:rPr>
              <w:t>39</w:t>
            </w:r>
          </w:p>
        </w:tc>
        <w:tc>
          <w:tcPr>
            <w:tcW w:type="dxa" w:w="5688"/>
            <w:shd w:val="clear" w:color="auto" w:fill="D9E1F2"/>
          </w:tcPr>
          <w:p>
            <w:pPr>
              <w:spacing w:after="0" w:line="240" w:lineRule="auto"/>
            </w:pPr>
            <w:r>
              <w:rPr>
                <w:b w:val="0"/>
                <w:i w:val="0"/>
                <w:sz w:val="15"/>
              </w:rPr>
              <w:t>beneficial-ownership share counts for directors and officers (flattened in Quartr text)</w:t>
            </w:r>
          </w:p>
        </w:tc>
      </w:tr>
      <w:tr>
        <w:trPr>
          <w:cantSplit/>
        </w:trPr>
        <w:tc>
          <w:tcPr>
            <w:tcW w:type="dxa" w:w="504"/>
          </w:tcPr>
          <w:p>
            <w:pPr>
              <w:spacing w:after="0" w:line="240" w:lineRule="auto"/>
            </w:pPr>
            <w:r>
              <w:rPr>
                <w:b w:val="0"/>
                <w:i w:val="0"/>
                <w:sz w:val="15"/>
              </w:rPr>
              <w:t>71</w:t>
            </w:r>
          </w:p>
        </w:tc>
        <w:tc>
          <w:tcPr>
            <w:tcW w:type="dxa" w:w="2736"/>
          </w:tcPr>
          <w:p>
            <w:pPr>
              <w:spacing w:after="0" w:line="240" w:lineRule="auto"/>
            </w:pPr>
            <w:r>
              <w:rPr>
                <w:b w:val="0"/>
                <w:i w:val="0"/>
                <w:sz w:val="15"/>
              </w:rPr>
              <w:t>13 Management &amp; incentives</w:t>
            </w:r>
          </w:p>
        </w:tc>
        <w:tc>
          <w:tcPr>
            <w:tcW w:type="dxa" w:w="864"/>
          </w:tcPr>
          <w:p>
            <w:pPr>
              <w:spacing w:after="0" w:line="240" w:lineRule="auto"/>
              <w:jc w:val="right"/>
            </w:pPr>
            <w:r>
              <w:rPr>
                <w:b w:val="0"/>
                <w:i w:val="0"/>
                <w:sz w:val="15"/>
              </w:rPr>
              <w:t>39</w:t>
            </w:r>
          </w:p>
        </w:tc>
        <w:tc>
          <w:tcPr>
            <w:tcW w:type="dxa" w:w="5688"/>
          </w:tcPr>
          <w:p>
            <w:pPr>
              <w:spacing w:after="0" w:line="240" w:lineRule="auto"/>
            </w:pPr>
            <w:r>
              <w:rPr>
                <w:b w:val="0"/>
                <w:i w:val="0"/>
                <w:sz w:val="15"/>
              </w:rPr>
              <w:t>any Item 5.02 8-K founder or spin grants</w:t>
            </w:r>
          </w:p>
        </w:tc>
      </w:tr>
      <w:tr>
        <w:trPr>
          <w:cantSplit/>
        </w:trPr>
        <w:tc>
          <w:tcPr>
            <w:tcW w:type="dxa" w:w="504"/>
            <w:shd w:val="clear" w:color="auto" w:fill="D9E1F2"/>
          </w:tcPr>
          <w:p>
            <w:pPr>
              <w:spacing w:after="0" w:line="240" w:lineRule="auto"/>
            </w:pPr>
            <w:r>
              <w:rPr>
                <w:b w:val="0"/>
                <w:i w:val="0"/>
                <w:sz w:val="15"/>
              </w:rPr>
              <w:t>72</w:t>
            </w:r>
          </w:p>
        </w:tc>
        <w:tc>
          <w:tcPr>
            <w:tcW w:type="dxa" w:w="2736"/>
            <w:shd w:val="clear" w:color="auto" w:fill="D9E1F2"/>
          </w:tcPr>
          <w:p>
            <w:pPr>
              <w:spacing w:after="0" w:line="240" w:lineRule="auto"/>
            </w:pPr>
            <w:r>
              <w:rPr>
                <w:b w:val="0"/>
                <w:i w:val="0"/>
                <w:sz w:val="15"/>
              </w:rPr>
              <w:t>14 Disclosure changes &amp; red flags</w:t>
            </w:r>
          </w:p>
        </w:tc>
        <w:tc>
          <w:tcPr>
            <w:tcW w:type="dxa" w:w="864"/>
            <w:shd w:val="clear" w:color="auto" w:fill="D9E1F2"/>
          </w:tcPr>
          <w:p>
            <w:pPr>
              <w:spacing w:after="0" w:line="240" w:lineRule="auto"/>
              <w:jc w:val="right"/>
            </w:pPr>
            <w:r>
              <w:rPr>
                <w:b w:val="0"/>
                <w:i w:val="0"/>
                <w:sz w:val="15"/>
              </w:rPr>
              <w:t>42</w:t>
            </w:r>
          </w:p>
        </w:tc>
        <w:tc>
          <w:tcPr>
            <w:tcW w:type="dxa" w:w="5688"/>
            <w:shd w:val="clear" w:color="auto" w:fill="D9E1F2"/>
          </w:tcPr>
          <w:p>
            <w:pPr>
              <w:spacing w:after="0" w:line="240" w:lineRule="auto"/>
            </w:pPr>
            <w:r>
              <w:rPr>
                <w:b w:val="0"/>
                <w:i w:val="0"/>
                <w:sz w:val="15"/>
              </w:rPr>
              <w:t>management confirmation of the “new business” vs “price” definitions (D4 §3)</w:t>
            </w:r>
          </w:p>
        </w:tc>
      </w:tr>
      <w:tr>
        <w:trPr>
          <w:cantSplit/>
        </w:trPr>
        <w:tc>
          <w:tcPr>
            <w:tcW w:type="dxa" w:w="504"/>
          </w:tcPr>
          <w:p>
            <w:pPr>
              <w:spacing w:after="0" w:line="240" w:lineRule="auto"/>
            </w:pPr>
            <w:r>
              <w:rPr>
                <w:b w:val="0"/>
                <w:i w:val="0"/>
                <w:sz w:val="15"/>
              </w:rPr>
              <w:t>73</w:t>
            </w:r>
          </w:p>
        </w:tc>
        <w:tc>
          <w:tcPr>
            <w:tcW w:type="dxa" w:w="2736"/>
          </w:tcPr>
          <w:p>
            <w:pPr>
              <w:spacing w:after="0" w:line="240" w:lineRule="auto"/>
            </w:pPr>
            <w:r>
              <w:rPr>
                <w:b w:val="0"/>
                <w:i w:val="0"/>
                <w:sz w:val="15"/>
              </w:rPr>
              <w:t>14 Disclosure changes &amp; red flags</w:t>
            </w:r>
          </w:p>
        </w:tc>
        <w:tc>
          <w:tcPr>
            <w:tcW w:type="dxa" w:w="864"/>
          </w:tcPr>
          <w:p>
            <w:pPr>
              <w:spacing w:after="0" w:line="240" w:lineRule="auto"/>
              <w:jc w:val="right"/>
            </w:pPr>
            <w:r>
              <w:rPr>
                <w:b w:val="0"/>
                <w:i w:val="0"/>
                <w:sz w:val="15"/>
              </w:rPr>
              <w:t>42</w:t>
            </w:r>
          </w:p>
        </w:tc>
        <w:tc>
          <w:tcPr>
            <w:tcW w:type="dxa" w:w="5688"/>
          </w:tcPr>
          <w:p>
            <w:pPr>
              <w:spacing w:after="0" w:line="240" w:lineRule="auto"/>
            </w:pPr>
            <w:r>
              <w:rPr>
                <w:b w:val="0"/>
                <w:i w:val="0"/>
                <w:sz w:val="15"/>
              </w:rPr>
              <w:t>FY25 Adj. EBITDA restated on the 6-item definition</w:t>
            </w:r>
          </w:p>
        </w:tc>
      </w:tr>
      <w:tr>
        <w:trPr>
          <w:cantSplit/>
        </w:trPr>
        <w:tc>
          <w:tcPr>
            <w:tcW w:type="dxa" w:w="504"/>
            <w:shd w:val="clear" w:color="auto" w:fill="D9E1F2"/>
          </w:tcPr>
          <w:p>
            <w:pPr>
              <w:spacing w:after="0" w:line="240" w:lineRule="auto"/>
            </w:pPr>
            <w:r>
              <w:rPr>
                <w:b w:val="0"/>
                <w:i w:val="0"/>
                <w:sz w:val="15"/>
              </w:rPr>
              <w:t>74</w:t>
            </w:r>
          </w:p>
        </w:tc>
        <w:tc>
          <w:tcPr>
            <w:tcW w:type="dxa" w:w="2736"/>
            <w:shd w:val="clear" w:color="auto" w:fill="D9E1F2"/>
          </w:tcPr>
          <w:p>
            <w:pPr>
              <w:spacing w:after="0" w:line="240" w:lineRule="auto"/>
            </w:pPr>
            <w:r>
              <w:rPr>
                <w:b w:val="0"/>
                <w:i w:val="0"/>
                <w:sz w:val="15"/>
              </w:rPr>
              <w:t>15 Pre-mortem &amp; risks</w:t>
            </w:r>
          </w:p>
        </w:tc>
        <w:tc>
          <w:tcPr>
            <w:tcW w:type="dxa" w:w="864"/>
            <w:shd w:val="clear" w:color="auto" w:fill="D9E1F2"/>
          </w:tcPr>
          <w:p>
            <w:pPr>
              <w:spacing w:after="0" w:line="240" w:lineRule="auto"/>
              <w:jc w:val="right"/>
            </w:pPr>
            <w:r>
              <w:rPr>
                <w:b w:val="0"/>
                <w:i w:val="0"/>
                <w:sz w:val="15"/>
              </w:rPr>
              <w:t>44</w:t>
            </w:r>
          </w:p>
        </w:tc>
        <w:tc>
          <w:tcPr>
            <w:tcW w:type="dxa" w:w="5688"/>
            <w:shd w:val="clear" w:color="auto" w:fill="D9E1F2"/>
          </w:tcPr>
          <w:p>
            <w:pPr>
              <w:spacing w:after="0" w:line="240" w:lineRule="auto"/>
            </w:pPr>
            <w:r>
              <w:rPr>
                <w:b w:val="0"/>
                <w:i w:val="0"/>
                <w:sz w:val="15"/>
              </w:rPr>
              <w:t>data and processing cost base (assumed ~$200–300m in D11 case 8, not disclosed)</w:t>
            </w:r>
          </w:p>
        </w:tc>
      </w:tr>
      <w:tr>
        <w:trPr>
          <w:cantSplit/>
        </w:trPr>
        <w:tc>
          <w:tcPr>
            <w:tcW w:type="dxa" w:w="504"/>
          </w:tcPr>
          <w:p>
            <w:pPr>
              <w:spacing w:after="0" w:line="240" w:lineRule="auto"/>
            </w:pPr>
            <w:r>
              <w:rPr>
                <w:b w:val="0"/>
                <w:i w:val="0"/>
                <w:sz w:val="15"/>
              </w:rPr>
              <w:t>75</w:t>
            </w:r>
          </w:p>
        </w:tc>
        <w:tc>
          <w:tcPr>
            <w:tcW w:type="dxa" w:w="2736"/>
          </w:tcPr>
          <w:p>
            <w:pPr>
              <w:spacing w:after="0" w:line="240" w:lineRule="auto"/>
            </w:pPr>
            <w:r>
              <w:rPr>
                <w:b w:val="0"/>
                <w:i w:val="0"/>
                <w:sz w:val="15"/>
              </w:rPr>
              <w:t>15 Pre-mortem &amp; risks</w:t>
            </w:r>
          </w:p>
        </w:tc>
        <w:tc>
          <w:tcPr>
            <w:tcW w:type="dxa" w:w="864"/>
          </w:tcPr>
          <w:p>
            <w:pPr>
              <w:spacing w:after="0" w:line="240" w:lineRule="auto"/>
              <w:jc w:val="right"/>
            </w:pPr>
            <w:r>
              <w:rPr>
                <w:b w:val="0"/>
                <w:i w:val="0"/>
                <w:sz w:val="15"/>
              </w:rPr>
              <w:t>44</w:t>
            </w:r>
          </w:p>
        </w:tc>
        <w:tc>
          <w:tcPr>
            <w:tcW w:type="dxa" w:w="5688"/>
          </w:tcPr>
          <w:p>
            <w:pPr>
              <w:spacing w:after="0" w:line="240" w:lineRule="auto"/>
            </w:pPr>
            <w:r>
              <w:rPr>
                <w:b w:val="0"/>
                <w:i w:val="0"/>
                <w:sz w:val="15"/>
              </w:rPr>
              <w:t>Europe start-up losses (assumed ~$10–20m a year in D11 case 11)</w:t>
            </w:r>
          </w:p>
        </w:tc>
      </w:tr>
      <w:tr>
        <w:trPr>
          <w:cantSplit/>
        </w:trPr>
        <w:tc>
          <w:tcPr>
            <w:tcW w:type="dxa" w:w="504"/>
            <w:shd w:val="clear" w:color="auto" w:fill="D9E1F2"/>
          </w:tcPr>
          <w:p>
            <w:pPr>
              <w:spacing w:after="0" w:line="240" w:lineRule="auto"/>
            </w:pPr>
            <w:r>
              <w:rPr>
                <w:b w:val="0"/>
                <w:i w:val="0"/>
                <w:sz w:val="15"/>
              </w:rPr>
              <w:t>76</w:t>
            </w:r>
          </w:p>
        </w:tc>
        <w:tc>
          <w:tcPr>
            <w:tcW w:type="dxa" w:w="2736"/>
            <w:shd w:val="clear" w:color="auto" w:fill="D9E1F2"/>
          </w:tcPr>
          <w:p>
            <w:pPr>
              <w:spacing w:after="0" w:line="240" w:lineRule="auto"/>
            </w:pPr>
            <w:r>
              <w:rPr>
                <w:b w:val="0"/>
                <w:i w:val="0"/>
                <w:sz w:val="15"/>
              </w:rPr>
              <w:t>15 Pre-mortem &amp; risks</w:t>
            </w:r>
          </w:p>
        </w:tc>
        <w:tc>
          <w:tcPr>
            <w:tcW w:type="dxa" w:w="864"/>
            <w:shd w:val="clear" w:color="auto" w:fill="D9E1F2"/>
          </w:tcPr>
          <w:p>
            <w:pPr>
              <w:spacing w:after="0" w:line="240" w:lineRule="auto"/>
              <w:jc w:val="right"/>
            </w:pPr>
            <w:r>
              <w:rPr>
                <w:b w:val="0"/>
                <w:i w:val="0"/>
                <w:sz w:val="15"/>
              </w:rPr>
              <w:t>44</w:t>
            </w:r>
          </w:p>
        </w:tc>
        <w:tc>
          <w:tcPr>
            <w:tcW w:type="dxa" w:w="5688"/>
            <w:shd w:val="clear" w:color="auto" w:fill="D9E1F2"/>
          </w:tcPr>
          <w:p>
            <w:pPr>
              <w:spacing w:after="0" w:line="240" w:lineRule="auto"/>
            </w:pPr>
            <w:r>
              <w:rPr>
                <w:b w:val="0"/>
                <w:i w:val="0"/>
                <w:sz w:val="15"/>
              </w:rPr>
              <w:t>share of CARFAX traffic arriving via search and AI answer engines</w:t>
            </w:r>
          </w:p>
        </w:tc>
      </w:tr>
      <w:tr>
        <w:trPr>
          <w:cantSplit/>
        </w:trPr>
        <w:tc>
          <w:tcPr>
            <w:tcW w:type="dxa" w:w="504"/>
          </w:tcPr>
          <w:p>
            <w:pPr>
              <w:spacing w:after="0" w:line="240" w:lineRule="auto"/>
            </w:pPr>
            <w:r>
              <w:rPr>
                <w:b w:val="0"/>
                <w:i w:val="0"/>
                <w:sz w:val="15"/>
              </w:rPr>
              <w:t>77</w:t>
            </w:r>
          </w:p>
        </w:tc>
        <w:tc>
          <w:tcPr>
            <w:tcW w:type="dxa" w:w="2736"/>
          </w:tcPr>
          <w:p>
            <w:pPr>
              <w:spacing w:after="0" w:line="240" w:lineRule="auto"/>
            </w:pPr>
            <w:r>
              <w:rPr>
                <w:b w:val="0"/>
                <w:i w:val="0"/>
                <w:sz w:val="15"/>
              </w:rPr>
              <w:t>16 Questions for management</w:t>
            </w:r>
          </w:p>
        </w:tc>
        <w:tc>
          <w:tcPr>
            <w:tcW w:type="dxa" w:w="864"/>
          </w:tcPr>
          <w:p>
            <w:pPr>
              <w:spacing w:after="0" w:line="240" w:lineRule="auto"/>
              <w:jc w:val="right"/>
            </w:pPr>
            <w:r>
              <w:rPr>
                <w:b w:val="0"/>
                <w:i w:val="0"/>
                <w:sz w:val="15"/>
              </w:rPr>
              <w:t>46</w:t>
            </w:r>
          </w:p>
        </w:tc>
        <w:tc>
          <w:tcPr>
            <w:tcW w:type="dxa" w:w="5688"/>
          </w:tcPr>
          <w:p>
            <w:pPr>
              <w:spacing w:after="0" w:line="240" w:lineRule="auto"/>
            </w:pPr>
            <w:r>
              <w:rPr>
                <w:b w:val="0"/>
                <w:i w:val="0"/>
                <w:sz w:val="15"/>
              </w:rPr>
              <w:t>management answers to primary questions Q1–Q3 (meeting notes)</w:t>
            </w:r>
          </w:p>
        </w:tc>
      </w:tr>
      <w:tr>
        <w:trPr>
          <w:cantSplit/>
        </w:trPr>
        <w:tc>
          <w:tcPr>
            <w:tcW w:type="dxa" w:w="504"/>
            <w:shd w:val="clear" w:color="auto" w:fill="D9E1F2"/>
          </w:tcPr>
          <w:p>
            <w:pPr>
              <w:spacing w:after="0" w:line="240" w:lineRule="auto"/>
            </w:pPr>
            <w:r>
              <w:rPr>
                <w:b w:val="0"/>
                <w:i w:val="0"/>
                <w:sz w:val="15"/>
              </w:rPr>
              <w:t>78</w:t>
            </w:r>
          </w:p>
        </w:tc>
        <w:tc>
          <w:tcPr>
            <w:tcW w:type="dxa" w:w="2736"/>
            <w:shd w:val="clear" w:color="auto" w:fill="D9E1F2"/>
          </w:tcPr>
          <w:p>
            <w:pPr>
              <w:spacing w:after="0" w:line="240" w:lineRule="auto"/>
            </w:pPr>
            <w:r>
              <w:rPr>
                <w:b w:val="0"/>
                <w:i w:val="0"/>
                <w:sz w:val="15"/>
              </w:rPr>
              <w:t>16 Questions for management</w:t>
            </w:r>
          </w:p>
        </w:tc>
        <w:tc>
          <w:tcPr>
            <w:tcW w:type="dxa" w:w="864"/>
            <w:shd w:val="clear" w:color="auto" w:fill="D9E1F2"/>
          </w:tcPr>
          <w:p>
            <w:pPr>
              <w:spacing w:after="0" w:line="240" w:lineRule="auto"/>
              <w:jc w:val="right"/>
            </w:pPr>
            <w:r>
              <w:rPr>
                <w:b w:val="0"/>
                <w:i w:val="0"/>
                <w:sz w:val="15"/>
              </w:rPr>
              <w:t>46</w:t>
            </w:r>
          </w:p>
        </w:tc>
        <w:tc>
          <w:tcPr>
            <w:tcW w:type="dxa" w:w="5688"/>
            <w:shd w:val="clear" w:color="auto" w:fill="D9E1F2"/>
          </w:tcPr>
          <w:p>
            <w:pPr>
              <w:spacing w:after="0" w:line="240" w:lineRule="auto"/>
            </w:pPr>
            <w:r>
              <w:rPr>
                <w:b w:val="0"/>
                <w:i w:val="0"/>
                <w:sz w:val="15"/>
              </w:rPr>
              <w:t>management answers to secondary questions 4–10</w:t>
            </w:r>
          </w:p>
        </w:tc>
      </w:tr>
      <w:tr>
        <w:trPr>
          <w:cantSplit/>
        </w:trPr>
        <w:tc>
          <w:tcPr>
            <w:tcW w:type="dxa" w:w="504"/>
          </w:tcPr>
          <w:p>
            <w:pPr>
              <w:spacing w:after="0" w:line="240" w:lineRule="auto"/>
            </w:pPr>
            <w:r>
              <w:rPr>
                <w:b w:val="0"/>
                <w:i w:val="0"/>
                <w:sz w:val="15"/>
              </w:rPr>
              <w:t>79</w:t>
            </w:r>
          </w:p>
        </w:tc>
        <w:tc>
          <w:tcPr>
            <w:tcW w:type="dxa" w:w="2736"/>
          </w:tcPr>
          <w:p>
            <w:pPr>
              <w:spacing w:after="0" w:line="240" w:lineRule="auto"/>
            </w:pPr>
            <w:r>
              <w:rPr>
                <w:b w:val="0"/>
                <w:i w:val="0"/>
                <w:sz w:val="15"/>
              </w:rPr>
              <w:t>Appendix A Source limitations &amp; verification</w:t>
            </w:r>
          </w:p>
        </w:tc>
        <w:tc>
          <w:tcPr>
            <w:tcW w:type="dxa" w:w="864"/>
          </w:tcPr>
          <w:p>
            <w:pPr>
              <w:spacing w:after="0" w:line="240" w:lineRule="auto"/>
              <w:jc w:val="right"/>
            </w:pPr>
            <w:r>
              <w:rPr>
                <w:b w:val="0"/>
                <w:i w:val="0"/>
                <w:sz w:val="15"/>
              </w:rPr>
              <w:t>48</w:t>
            </w:r>
          </w:p>
        </w:tc>
        <w:tc>
          <w:tcPr>
            <w:tcW w:type="dxa" w:w="5688"/>
          </w:tcPr>
          <w:p>
            <w:pPr>
              <w:spacing w:after="0" w:line="240" w:lineRule="auto"/>
            </w:pPr>
            <w:r>
              <w:rPr>
                <w:b w:val="0"/>
                <w:i w:val="0"/>
                <w:sz w:val="15"/>
              </w:rPr>
              <w:t>EDGAR XBRL company-facts cross-check of headline items for every period</w:t>
            </w:r>
          </w:p>
        </w:tc>
      </w:tr>
      <w:tr>
        <w:trPr>
          <w:cantSplit/>
        </w:trPr>
        <w:tc>
          <w:tcPr>
            <w:tcW w:type="dxa" w:w="504"/>
            <w:shd w:val="clear" w:color="auto" w:fill="D9E1F2"/>
          </w:tcPr>
          <w:p>
            <w:pPr>
              <w:spacing w:after="0" w:line="240" w:lineRule="auto"/>
            </w:pPr>
            <w:r>
              <w:rPr>
                <w:b w:val="0"/>
                <w:i w:val="0"/>
                <w:sz w:val="15"/>
              </w:rPr>
              <w:t>80</w:t>
            </w:r>
          </w:p>
        </w:tc>
        <w:tc>
          <w:tcPr>
            <w:tcW w:type="dxa" w:w="2736"/>
            <w:shd w:val="clear" w:color="auto" w:fill="D9E1F2"/>
          </w:tcPr>
          <w:p>
            <w:pPr>
              <w:spacing w:after="0" w:line="240" w:lineRule="auto"/>
            </w:pPr>
            <w:r>
              <w:rPr>
                <w:b w:val="0"/>
                <w:i w:val="0"/>
                <w:sz w:val="15"/>
              </w:rPr>
              <w:t>Appendix A Source limitations &amp; verification</w:t>
            </w:r>
          </w:p>
        </w:tc>
        <w:tc>
          <w:tcPr>
            <w:tcW w:type="dxa" w:w="864"/>
            <w:shd w:val="clear" w:color="auto" w:fill="D9E1F2"/>
          </w:tcPr>
          <w:p>
            <w:pPr>
              <w:spacing w:after="0" w:line="240" w:lineRule="auto"/>
              <w:jc w:val="right"/>
            </w:pPr>
            <w:r>
              <w:rPr>
                <w:b w:val="0"/>
                <w:i w:val="0"/>
                <w:sz w:val="15"/>
              </w:rPr>
              <w:t>48</w:t>
            </w:r>
          </w:p>
        </w:tc>
        <w:tc>
          <w:tcPr>
            <w:tcW w:type="dxa" w:w="5688"/>
            <w:shd w:val="clear" w:color="auto" w:fill="D9E1F2"/>
          </w:tcPr>
          <w:p>
            <w:pPr>
              <w:spacing w:after="0" w:line="240" w:lineRule="auto"/>
            </w:pPr>
            <w:r>
              <w:rPr>
                <w:b w:val="0"/>
                <w:i w:val="0"/>
                <w:sz w:val="15"/>
              </w:rPr>
              <w:t>native Form 10/A PDF: tax provision 2024/23 split, lease maturity table, Market Scan PPA liabilities (lines sum 59 vs printed 39)</w:t>
            </w:r>
          </w:p>
        </w:tc>
      </w:tr>
      <w:tr>
        <w:trPr>
          <w:cantSplit/>
        </w:trPr>
        <w:tc>
          <w:tcPr>
            <w:tcW w:type="dxa" w:w="504"/>
          </w:tcPr>
          <w:p>
            <w:pPr>
              <w:spacing w:after="0" w:line="240" w:lineRule="auto"/>
            </w:pPr>
            <w:r>
              <w:rPr>
                <w:b w:val="0"/>
                <w:i w:val="0"/>
                <w:sz w:val="15"/>
              </w:rPr>
              <w:t>81</w:t>
            </w:r>
          </w:p>
        </w:tc>
        <w:tc>
          <w:tcPr>
            <w:tcW w:type="dxa" w:w="2736"/>
          </w:tcPr>
          <w:p>
            <w:pPr>
              <w:spacing w:after="0" w:line="240" w:lineRule="auto"/>
            </w:pPr>
            <w:r>
              <w:rPr>
                <w:b w:val="0"/>
                <w:i w:val="0"/>
                <w:sz w:val="15"/>
              </w:rPr>
              <w:t>Appendix A Source limitations &amp; verification</w:t>
            </w:r>
          </w:p>
        </w:tc>
        <w:tc>
          <w:tcPr>
            <w:tcW w:type="dxa" w:w="864"/>
          </w:tcPr>
          <w:p>
            <w:pPr>
              <w:spacing w:after="0" w:line="240" w:lineRule="auto"/>
              <w:jc w:val="right"/>
            </w:pPr>
            <w:r>
              <w:rPr>
                <w:b w:val="0"/>
                <w:i w:val="0"/>
                <w:sz w:val="15"/>
              </w:rPr>
              <w:t>48</w:t>
            </w:r>
          </w:p>
        </w:tc>
        <w:tc>
          <w:tcPr>
            <w:tcW w:type="dxa" w:w="5688"/>
          </w:tcPr>
          <w:p>
            <w:pPr>
              <w:spacing w:after="0" w:line="240" w:lineRule="auto"/>
            </w:pPr>
            <w:r>
              <w:rPr>
                <w:b w:val="0"/>
                <w:i w:val="0"/>
                <w:sz w:val="15"/>
              </w:rPr>
              <w:t>Investor Day slide 91 image re-read to confirm the year mapping of organic and industry labels</w:t>
            </w:r>
          </w:p>
        </w:tc>
      </w:tr>
      <w:tr>
        <w:trPr>
          <w:cantSplit/>
        </w:trPr>
        <w:tc>
          <w:tcPr>
            <w:tcW w:type="dxa" w:w="504"/>
            <w:shd w:val="clear" w:color="auto" w:fill="D9E1F2"/>
          </w:tcPr>
          <w:p>
            <w:pPr>
              <w:spacing w:after="0" w:line="240" w:lineRule="auto"/>
            </w:pPr>
            <w:r>
              <w:rPr>
                <w:b w:val="0"/>
                <w:i w:val="0"/>
                <w:sz w:val="15"/>
              </w:rPr>
              <w:t>82</w:t>
            </w:r>
          </w:p>
        </w:tc>
        <w:tc>
          <w:tcPr>
            <w:tcW w:type="dxa" w:w="2736"/>
            <w:shd w:val="clear" w:color="auto" w:fill="D9E1F2"/>
          </w:tcPr>
          <w:p>
            <w:pPr>
              <w:spacing w:after="0" w:line="240" w:lineRule="auto"/>
            </w:pPr>
            <w:r>
              <w:rPr>
                <w:b w:val="0"/>
                <w:i w:val="0"/>
                <w:sz w:val="15"/>
              </w:rPr>
              <w:t>Appendix A Source limitations &amp; verification</w:t>
            </w:r>
          </w:p>
        </w:tc>
        <w:tc>
          <w:tcPr>
            <w:tcW w:type="dxa" w:w="864"/>
            <w:shd w:val="clear" w:color="auto" w:fill="D9E1F2"/>
          </w:tcPr>
          <w:p>
            <w:pPr>
              <w:spacing w:after="0" w:line="240" w:lineRule="auto"/>
              <w:jc w:val="right"/>
            </w:pPr>
            <w:r>
              <w:rPr>
                <w:b w:val="0"/>
                <w:i w:val="0"/>
                <w:sz w:val="15"/>
              </w:rPr>
              <w:t>48</w:t>
            </w:r>
          </w:p>
        </w:tc>
        <w:tc>
          <w:tcPr>
            <w:tcW w:type="dxa" w:w="5688"/>
            <w:shd w:val="clear" w:color="auto" w:fill="D9E1F2"/>
          </w:tcPr>
          <w:p>
            <w:pPr>
              <w:spacing w:after="0" w:line="240" w:lineRule="auto"/>
            </w:pPr>
            <w:r>
              <w:rPr>
                <w:b w:val="0"/>
                <w:i w:val="0"/>
                <w:sz w:val="15"/>
              </w:rPr>
              <w:t>PDF check of SPGI guidance slide cells mapped by position (FY23/FY24 Q3 revisions)</w:t>
            </w:r>
          </w:p>
        </w:tc>
      </w:tr>
    </w:tbl>
    <w:p>
      <w:pPr>
        <w:spacing w:after="40"/>
      </w:pPr>
    </w:p>
    <w:sectPr w:rsidR="00FC693F" w:rsidRPr="0006063C" w:rsidSect="00034616">
      <w:headerReference w:type="default" r:id="rId9"/>
      <w:footerReference w:type="default" r:id="rId10"/>
      <w:pgSz w:w="12240" w:h="15840"/>
      <w:pgMar w:top="1152" w:right="1224" w:bottom="1080"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5"/>
      </w:rPr>
      <w:t xml:space="preserve">Prepared from primary filings via Quartr; see Appendix A for source limitations.   Page </w:t>
    </w:r>
    <w:r>
      <w:rPr>
        <w:rFonts w:ascii="Arial" w:hAnsi="Arial"/>
        <w:sz w:val="15"/>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95959"/>
        <w:sz w:val="15"/>
      </w:rPr>
      <w:t>Mobility Global Inc. (NYSE: MBGL) · Initiation research document · 2026-10-06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eastAsia="Arial" w:cs="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Arial" w:hAnsi="Arial" w:eastAsia="Arial" w:cs="Arial"/>
      <w:b/>
      <w:bCs/>
      <w:i w:val="0"/>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Arial" w:hAnsi="Arial" w:eastAsia="Arial" w:cs="Arial"/>
      <w:b/>
      <w:bCs/>
      <w:i w:val="0"/>
      <w:color w:val="1F3864"/>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Arial" w:hAnsi="Arial" w:eastAsia="Arial" w:cs="Arial"/>
      <w:b/>
      <w:bCs/>
      <w:i w:val="0"/>
      <w:color w:val="1F386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eastAsia="Arial" w:cs="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eastAsia="Arial" w:cs="Arial"/>
      <w:sz w:val="19"/>
    </w:rPr>
  </w:style>
  <w:style w:type="paragraph" w:styleId="ListBullet2">
    <w:name w:val="List Bullet 2"/>
    <w:basedOn w:val="Normal"/>
    <w:uiPriority w:val="99"/>
    <w:unhideWhenUsed/>
    <w:rsid w:val="00326F90"/>
    <w:pPr>
      <w:numPr>
        <w:numId w:val="2"/>
      </w:numPr>
      <w:spacing w:after="20"/>
      <w:contextualSpacing/>
    </w:pPr>
    <w:rPr>
      <w:rFonts w:ascii="Arial" w:hAnsi="Arial" w:eastAsia="Arial" w:cs="Arial"/>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eastAsia="Arial" w:cs="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