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67266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**Versão:** 1.0</w:t>
      </w:r>
    </w:p>
    <w:p w14:paraId="749F87CC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**Data:** 29/11/2024</w:t>
      </w:r>
    </w:p>
    <w:p w14:paraId="272987A9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**Autor:** Equipe de Infraestrutura</w:t>
      </w:r>
    </w:p>
    <w:p w14:paraId="7F461D41" w14:textId="77777777" w:rsidR="00350315" w:rsidRPr="005464D8" w:rsidRDefault="00E52B59">
      <w:pPr>
        <w:pStyle w:val="Ttulo2"/>
        <w:rPr>
          <w:lang w:val="pt-BR"/>
        </w:rPr>
      </w:pPr>
      <w:r w:rsidRPr="005464D8">
        <w:rPr>
          <w:lang w:val="pt-BR"/>
        </w:rPr>
        <w:t>1. Objetivo</w:t>
      </w:r>
    </w:p>
    <w:p w14:paraId="3FDD5607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 xml:space="preserve">Este guia tem como objetivo detalhar a configuração do </w:t>
      </w:r>
      <w:proofErr w:type="spellStart"/>
      <w:r w:rsidRPr="005464D8">
        <w:rPr>
          <w:lang w:val="pt-BR"/>
        </w:rPr>
        <w:t>autoescalonamento</w:t>
      </w:r>
      <w:proofErr w:type="spellEnd"/>
      <w:r w:rsidRPr="005464D8">
        <w:rPr>
          <w:lang w:val="pt-BR"/>
        </w:rPr>
        <w:t xml:space="preserve"> de recursos no Azure e o uso de métricas para otimização da infraestrutura, garantindo escalabilidade e desempenho.</w:t>
      </w:r>
    </w:p>
    <w:p w14:paraId="293A177F" w14:textId="77777777" w:rsidR="00350315" w:rsidRPr="005464D8" w:rsidRDefault="00E52B59">
      <w:pPr>
        <w:pStyle w:val="Ttulo2"/>
        <w:rPr>
          <w:lang w:val="pt-BR"/>
        </w:rPr>
      </w:pPr>
      <w:r w:rsidRPr="005464D8">
        <w:rPr>
          <w:lang w:val="pt-BR"/>
        </w:rPr>
        <w:t xml:space="preserve">2. Configuração de </w:t>
      </w:r>
      <w:proofErr w:type="spellStart"/>
      <w:r w:rsidRPr="005464D8">
        <w:rPr>
          <w:lang w:val="pt-BR"/>
        </w:rPr>
        <w:t>Autoescalonamento</w:t>
      </w:r>
      <w:proofErr w:type="spellEnd"/>
    </w:p>
    <w:p w14:paraId="34A42B85" w14:textId="77777777" w:rsidR="00350315" w:rsidRPr="005464D8" w:rsidRDefault="00E52B59">
      <w:pPr>
        <w:pStyle w:val="Ttulo3"/>
        <w:rPr>
          <w:lang w:val="pt-BR"/>
        </w:rPr>
      </w:pPr>
      <w:r w:rsidRPr="005464D8">
        <w:rPr>
          <w:lang w:val="pt-BR"/>
        </w:rPr>
        <w:t xml:space="preserve">2.1. </w:t>
      </w:r>
      <w:proofErr w:type="spellStart"/>
      <w:r w:rsidRPr="005464D8">
        <w:rPr>
          <w:lang w:val="pt-BR"/>
        </w:rPr>
        <w:t>Autoescalonamento</w:t>
      </w:r>
      <w:proofErr w:type="spellEnd"/>
      <w:r w:rsidRPr="005464D8">
        <w:rPr>
          <w:lang w:val="pt-BR"/>
        </w:rPr>
        <w:t xml:space="preserve"> para </w:t>
      </w:r>
      <w:proofErr w:type="spellStart"/>
      <w:r w:rsidRPr="005464D8">
        <w:rPr>
          <w:lang w:val="pt-BR"/>
        </w:rPr>
        <w:t>VMs</w:t>
      </w:r>
      <w:proofErr w:type="spellEnd"/>
    </w:p>
    <w:p w14:paraId="192652A1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**Cenário:** Uma aplicação crítica possui picos de demanda em horários comerciais (9h às 18h).</w:t>
      </w:r>
    </w:p>
    <w:p w14:paraId="6E3C9EA3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1. **Acesso ao Azure Portal:**</w:t>
      </w:r>
      <w:r w:rsidRPr="005464D8">
        <w:rPr>
          <w:lang w:val="pt-BR"/>
        </w:rPr>
        <w:br/>
        <w:t xml:space="preserve">   - Navegue até **Máquinas Virtuais**.</w:t>
      </w:r>
      <w:r w:rsidRPr="005464D8">
        <w:rPr>
          <w:lang w:val="pt-BR"/>
        </w:rPr>
        <w:br/>
        <w:t xml:space="preserve">   - Selecione o grupo de escalonamento associado (Ex.: *VM-</w:t>
      </w:r>
      <w:proofErr w:type="spellStart"/>
      <w:r w:rsidRPr="005464D8">
        <w:rPr>
          <w:lang w:val="pt-BR"/>
        </w:rPr>
        <w:t>Group</w:t>
      </w:r>
      <w:proofErr w:type="spellEnd"/>
      <w:r w:rsidRPr="005464D8">
        <w:rPr>
          <w:lang w:val="pt-BR"/>
        </w:rPr>
        <w:t>-</w:t>
      </w:r>
      <w:proofErr w:type="spellStart"/>
      <w:r w:rsidRPr="005464D8">
        <w:rPr>
          <w:lang w:val="pt-BR"/>
        </w:rPr>
        <w:t>AppProd</w:t>
      </w:r>
      <w:proofErr w:type="spellEnd"/>
      <w:r w:rsidRPr="005464D8">
        <w:rPr>
          <w:lang w:val="pt-BR"/>
        </w:rPr>
        <w:t>*).</w:t>
      </w:r>
    </w:p>
    <w:p w14:paraId="269EBD3E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2. **Definir Regras de Escalonamento:**</w:t>
      </w:r>
      <w:r w:rsidRPr="005464D8">
        <w:rPr>
          <w:lang w:val="pt-BR"/>
        </w:rPr>
        <w:br/>
        <w:t xml:space="preserve">   - No menu lateral, clique em **Configuração de </w:t>
      </w:r>
      <w:proofErr w:type="spellStart"/>
      <w:r w:rsidRPr="005464D8">
        <w:rPr>
          <w:lang w:val="pt-BR"/>
        </w:rPr>
        <w:t>Autoescalonamento</w:t>
      </w:r>
      <w:proofErr w:type="spellEnd"/>
      <w:r w:rsidRPr="005464D8">
        <w:rPr>
          <w:lang w:val="pt-BR"/>
        </w:rPr>
        <w:t>**.</w:t>
      </w:r>
      <w:r w:rsidRPr="005464D8">
        <w:rPr>
          <w:lang w:val="pt-BR"/>
        </w:rPr>
        <w:br/>
        <w:t xml:space="preserve">   - Adicione uma nova regra:</w:t>
      </w:r>
      <w:r w:rsidRPr="005464D8">
        <w:rPr>
          <w:lang w:val="pt-BR"/>
        </w:rPr>
        <w:br/>
        <w:t xml:space="preserve">     - **Métrica:** Utilização de CPU.</w:t>
      </w:r>
      <w:r w:rsidRPr="005464D8">
        <w:rPr>
          <w:lang w:val="pt-BR"/>
        </w:rPr>
        <w:br/>
        <w:t xml:space="preserve">     - **Condição:** Maior que 70%.</w:t>
      </w:r>
      <w:r w:rsidRPr="005464D8">
        <w:rPr>
          <w:lang w:val="pt-BR"/>
        </w:rPr>
        <w:br/>
        <w:t xml:space="preserve">     - **Ação:** Adicionar 1 instância.</w:t>
      </w:r>
      <w:r w:rsidRPr="005464D8">
        <w:rPr>
          <w:lang w:val="pt-BR"/>
        </w:rPr>
        <w:br/>
        <w:t xml:space="preserve">     - **Limite Máximo:** 10 instâncias.</w:t>
      </w:r>
      <w:r w:rsidRPr="005464D8">
        <w:rPr>
          <w:lang w:val="pt-BR"/>
        </w:rPr>
        <w:br/>
        <w:t xml:space="preserve">     - **Limite Mínimo:** 2 instâncias.</w:t>
      </w:r>
      <w:r w:rsidRPr="005464D8">
        <w:rPr>
          <w:lang w:val="pt-BR"/>
        </w:rPr>
        <w:br/>
        <w:t xml:space="preserve">   - Crie uma regra adicional para escalonamento para baixo:</w:t>
      </w:r>
      <w:r w:rsidRPr="005464D8">
        <w:rPr>
          <w:lang w:val="pt-BR"/>
        </w:rPr>
        <w:br/>
        <w:t xml:space="preserve">     - **Métrica:** Utilização de CPU.</w:t>
      </w:r>
      <w:r w:rsidRPr="005464D8">
        <w:rPr>
          <w:lang w:val="pt-BR"/>
        </w:rPr>
        <w:br/>
        <w:t xml:space="preserve">     - **Condição:** Menor que 30%.</w:t>
      </w:r>
      <w:r w:rsidRPr="005464D8">
        <w:rPr>
          <w:lang w:val="pt-BR"/>
        </w:rPr>
        <w:br/>
        <w:t xml:space="preserve">     - **Ação:** Remover 1 instância.</w:t>
      </w:r>
    </w:p>
    <w:p w14:paraId="32CEA7E6" w14:textId="77777777" w:rsidR="00350315" w:rsidRPr="005464D8" w:rsidRDefault="00E52B59">
      <w:pPr>
        <w:pStyle w:val="Ttulo3"/>
        <w:rPr>
          <w:lang w:val="pt-BR"/>
        </w:rPr>
      </w:pPr>
      <w:r w:rsidRPr="005464D8">
        <w:rPr>
          <w:lang w:val="pt-BR"/>
        </w:rPr>
        <w:t xml:space="preserve">2.2. </w:t>
      </w:r>
      <w:proofErr w:type="spellStart"/>
      <w:r w:rsidRPr="005464D8">
        <w:rPr>
          <w:lang w:val="pt-BR"/>
        </w:rPr>
        <w:t>Autoescalonamento</w:t>
      </w:r>
      <w:proofErr w:type="spellEnd"/>
      <w:r w:rsidRPr="005464D8">
        <w:rPr>
          <w:lang w:val="pt-BR"/>
        </w:rPr>
        <w:t xml:space="preserve"> para Bancos de Dados</w:t>
      </w:r>
    </w:p>
    <w:p w14:paraId="3D0BFB1F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**Cenário:** O banco SQL precisa de alta disponibilidade durante o período de relatórios mensais (dia 1 ao dia 5).</w:t>
      </w:r>
    </w:p>
    <w:p w14:paraId="0FADA291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1. Acesse **Serviços de Banco de Dados SQL**.</w:t>
      </w:r>
      <w:r w:rsidRPr="005464D8">
        <w:rPr>
          <w:lang w:val="pt-BR"/>
        </w:rPr>
        <w:br/>
        <w:t>2. Selecione o banco (Ex.: *DB-Financeiro*).</w:t>
      </w:r>
      <w:r w:rsidRPr="005464D8">
        <w:rPr>
          <w:lang w:val="pt-BR"/>
        </w:rPr>
        <w:br/>
        <w:t>3. Ative o escalonamento dinâmico em **Camadas de Desempenho**:</w:t>
      </w:r>
      <w:r w:rsidRPr="005464D8">
        <w:rPr>
          <w:lang w:val="pt-BR"/>
        </w:rPr>
        <w:br/>
        <w:t xml:space="preserve">   - Escalamento vertical automático entre **Standard S3** e **Premium P1**.</w:t>
      </w:r>
    </w:p>
    <w:p w14:paraId="13424109" w14:textId="77777777" w:rsidR="00350315" w:rsidRPr="005464D8" w:rsidRDefault="00E52B59">
      <w:pPr>
        <w:pStyle w:val="Ttulo2"/>
        <w:rPr>
          <w:lang w:val="pt-BR"/>
        </w:rPr>
      </w:pPr>
      <w:r w:rsidRPr="005464D8">
        <w:rPr>
          <w:lang w:val="pt-BR"/>
        </w:rPr>
        <w:lastRenderedPageBreak/>
        <w:t>3. Uso de Métricas do Azure Monitor</w:t>
      </w:r>
    </w:p>
    <w:p w14:paraId="6FC5BE20" w14:textId="77777777" w:rsidR="00350315" w:rsidRPr="005464D8" w:rsidRDefault="00E52B59">
      <w:pPr>
        <w:pStyle w:val="Ttulo3"/>
        <w:rPr>
          <w:lang w:val="pt-BR"/>
        </w:rPr>
      </w:pPr>
      <w:r w:rsidRPr="005464D8">
        <w:rPr>
          <w:lang w:val="pt-BR"/>
        </w:rPr>
        <w:t>3.1. Configuração de Métricas e Alertas</w:t>
      </w:r>
    </w:p>
    <w:p w14:paraId="101BB2E3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1. Acesse **Azure Monitor**.</w:t>
      </w:r>
      <w:r w:rsidRPr="005464D8">
        <w:rPr>
          <w:lang w:val="pt-BR"/>
        </w:rPr>
        <w:br/>
        <w:t>2. Configure um **Gráfico de Métricas** para monitorar:</w:t>
      </w:r>
      <w:r w:rsidRPr="005464D8">
        <w:rPr>
          <w:lang w:val="pt-BR"/>
        </w:rPr>
        <w:br/>
        <w:t xml:space="preserve">   - **CPU média (%):** Acompanhar uso de CPU das </w:t>
      </w:r>
      <w:proofErr w:type="spellStart"/>
      <w:r w:rsidRPr="005464D8">
        <w:rPr>
          <w:lang w:val="pt-BR"/>
        </w:rPr>
        <w:t>VMs</w:t>
      </w:r>
      <w:proofErr w:type="spellEnd"/>
      <w:r w:rsidRPr="005464D8">
        <w:rPr>
          <w:lang w:val="pt-BR"/>
        </w:rPr>
        <w:t xml:space="preserve"> (Ex.: *VM-</w:t>
      </w:r>
      <w:proofErr w:type="spellStart"/>
      <w:r w:rsidRPr="005464D8">
        <w:rPr>
          <w:lang w:val="pt-BR"/>
        </w:rPr>
        <w:t>Group</w:t>
      </w:r>
      <w:proofErr w:type="spellEnd"/>
      <w:r w:rsidRPr="005464D8">
        <w:rPr>
          <w:lang w:val="pt-BR"/>
        </w:rPr>
        <w:t>-</w:t>
      </w:r>
      <w:proofErr w:type="spellStart"/>
      <w:r w:rsidRPr="005464D8">
        <w:rPr>
          <w:lang w:val="pt-BR"/>
        </w:rPr>
        <w:t>AppProd</w:t>
      </w:r>
      <w:proofErr w:type="spellEnd"/>
      <w:r w:rsidRPr="005464D8">
        <w:rPr>
          <w:lang w:val="pt-BR"/>
        </w:rPr>
        <w:t>*).</w:t>
      </w:r>
      <w:r w:rsidRPr="005464D8">
        <w:rPr>
          <w:lang w:val="pt-BR"/>
        </w:rPr>
        <w:br/>
        <w:t xml:space="preserve">   - **Leitura/Gravação IOPS:** Monitorar o desempenho do banco (Ex.: *DB-Financeiro*).</w:t>
      </w:r>
      <w:r w:rsidRPr="005464D8">
        <w:rPr>
          <w:lang w:val="pt-BR"/>
        </w:rPr>
        <w:br/>
        <w:t>3. Adicione alertas baseados em métricas críticas:</w:t>
      </w:r>
      <w:r w:rsidRPr="005464D8">
        <w:rPr>
          <w:lang w:val="pt-BR"/>
        </w:rPr>
        <w:br/>
        <w:t xml:space="preserve">   - **Alerta:** CPU acima de 85% por 5 minutos.</w:t>
      </w:r>
      <w:r w:rsidRPr="005464D8">
        <w:rPr>
          <w:lang w:val="pt-BR"/>
        </w:rPr>
        <w:br/>
        <w:t xml:space="preserve">     - **Ação:** Notificar via e-mail (equipe.infra@empresa.com).</w:t>
      </w:r>
      <w:r w:rsidRPr="005464D8">
        <w:rPr>
          <w:lang w:val="pt-BR"/>
        </w:rPr>
        <w:br/>
        <w:t xml:space="preserve">   - **Alerta:** IOPS acima de 2000.</w:t>
      </w:r>
      <w:r w:rsidRPr="005464D8">
        <w:rPr>
          <w:lang w:val="pt-BR"/>
        </w:rPr>
        <w:br/>
        <w:t xml:space="preserve">     - **Ação:** Criar uma tarefa de escalonamento imediato.</w:t>
      </w:r>
    </w:p>
    <w:p w14:paraId="11AA5941" w14:textId="77777777" w:rsidR="00350315" w:rsidRPr="005464D8" w:rsidRDefault="00E52B59">
      <w:pPr>
        <w:pStyle w:val="Ttulo2"/>
        <w:rPr>
          <w:lang w:val="pt-BR"/>
        </w:rPr>
      </w:pPr>
      <w:r w:rsidRPr="005464D8">
        <w:rPr>
          <w:lang w:val="pt-BR"/>
        </w:rPr>
        <w:t>4. Boas Práticas</w:t>
      </w:r>
    </w:p>
    <w:p w14:paraId="4F2EBB39" w14:textId="77777777" w:rsidR="00350315" w:rsidRPr="005464D8" w:rsidRDefault="00E52B59">
      <w:pPr>
        <w:rPr>
          <w:lang w:val="pt-BR"/>
        </w:rPr>
      </w:pPr>
      <w:r w:rsidRPr="005464D8">
        <w:rPr>
          <w:lang w:val="pt-BR"/>
        </w:rPr>
        <w:t>1. Sempre valide as configurações em um ambiente de testes antes de aplicar em produção.</w:t>
      </w:r>
      <w:r w:rsidRPr="005464D8">
        <w:rPr>
          <w:lang w:val="pt-BR"/>
        </w:rPr>
        <w:br/>
        <w:t>2. Utilize **</w:t>
      </w:r>
      <w:proofErr w:type="spellStart"/>
      <w:r w:rsidRPr="005464D8">
        <w:rPr>
          <w:lang w:val="pt-BR"/>
        </w:rPr>
        <w:t>Runbooks</w:t>
      </w:r>
      <w:proofErr w:type="spellEnd"/>
      <w:r w:rsidRPr="005464D8">
        <w:rPr>
          <w:lang w:val="pt-BR"/>
        </w:rPr>
        <w:t>** no Azure Automation para automatizar respostas a alertas.</w:t>
      </w:r>
      <w:r w:rsidRPr="005464D8">
        <w:rPr>
          <w:lang w:val="pt-BR"/>
        </w:rPr>
        <w:br/>
        <w:t>3. Realize auditorias trimestrais para verificar a eficiência das políticas configuradas.</w:t>
      </w:r>
    </w:p>
    <w:p w14:paraId="4ED164C7" w14:textId="77777777" w:rsidR="00350315" w:rsidRPr="005464D8" w:rsidRDefault="00E52B59">
      <w:pPr>
        <w:pStyle w:val="Ttulo2"/>
        <w:rPr>
          <w:lang w:val="pt-BR"/>
        </w:rPr>
      </w:pPr>
      <w:r w:rsidRPr="005464D8">
        <w:rPr>
          <w:lang w:val="pt-BR"/>
        </w:rPr>
        <w:t>5. Evidências</w:t>
      </w:r>
    </w:p>
    <w:p w14:paraId="521415C9" w14:textId="5BA38A4A" w:rsidR="00350315" w:rsidRDefault="00E52B59">
      <w:pPr>
        <w:pStyle w:val="Ttulo3"/>
        <w:rPr>
          <w:lang w:val="pt-BR"/>
        </w:rPr>
      </w:pPr>
      <w:r w:rsidRPr="005464D8">
        <w:rPr>
          <w:lang w:val="pt-BR"/>
        </w:rPr>
        <w:t xml:space="preserve">5.1. Configuração de </w:t>
      </w:r>
      <w:proofErr w:type="spellStart"/>
      <w:r w:rsidRPr="005464D8">
        <w:rPr>
          <w:lang w:val="pt-BR"/>
        </w:rPr>
        <w:t>Autoescalonamento</w:t>
      </w:r>
      <w:proofErr w:type="spellEnd"/>
      <w:r w:rsidRPr="005464D8">
        <w:rPr>
          <w:lang w:val="pt-BR"/>
        </w:rPr>
        <w:t xml:space="preserve"> para </w:t>
      </w:r>
      <w:proofErr w:type="spellStart"/>
      <w:r w:rsidRPr="005464D8">
        <w:rPr>
          <w:lang w:val="pt-BR"/>
        </w:rPr>
        <w:t>VMs</w:t>
      </w:r>
      <w:proofErr w:type="spellEnd"/>
    </w:p>
    <w:p w14:paraId="60BD625C" w14:textId="5C733D56" w:rsidR="005464D8" w:rsidRDefault="005464D8" w:rsidP="005464D8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D24245F" wp14:editId="305BF639">
            <wp:extent cx="3742893" cy="1447800"/>
            <wp:effectExtent l="0" t="0" r="0" b="0"/>
            <wp:docPr id="10921173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17315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481" cy="14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640" w14:textId="77777777" w:rsidR="00E52B59" w:rsidRDefault="005464D8" w:rsidP="00E52B59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A27DE08" wp14:editId="3A8880B2">
            <wp:extent cx="2337362" cy="4361730"/>
            <wp:effectExtent l="0" t="0" r="6350" b="1270"/>
            <wp:docPr id="1098967184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7184" name="Imagem 2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980" cy="44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4BF8" w14:textId="22147585" w:rsidR="00350315" w:rsidRDefault="00E52B59" w:rsidP="00E52B59">
      <w:pPr>
        <w:pStyle w:val="Ttulo3"/>
        <w:rPr>
          <w:lang w:val="pt-BR"/>
        </w:rPr>
      </w:pPr>
      <w:r w:rsidRPr="005464D8">
        <w:rPr>
          <w:lang w:val="pt-BR"/>
        </w:rPr>
        <w:lastRenderedPageBreak/>
        <w:t>5.2. Painel do Azure Monitor</w:t>
      </w:r>
    </w:p>
    <w:p w14:paraId="7080EFD7" w14:textId="06373674" w:rsidR="005464D8" w:rsidRPr="005464D8" w:rsidRDefault="005464D8" w:rsidP="005464D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30A575" wp14:editId="52CA00E6">
            <wp:extent cx="5486400" cy="3612515"/>
            <wp:effectExtent l="0" t="0" r="0" b="6985"/>
            <wp:docPr id="835856305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6305" name="Imagem 3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75E" w14:textId="77777777" w:rsidR="005464D8" w:rsidRPr="005464D8" w:rsidRDefault="005464D8" w:rsidP="005464D8">
      <w:pPr>
        <w:rPr>
          <w:lang w:val="pt-BR"/>
        </w:rPr>
      </w:pPr>
    </w:p>
    <w:sectPr w:rsidR="005464D8" w:rsidRPr="005464D8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8FA22" w14:textId="77777777" w:rsidR="00575A2B" w:rsidRDefault="00575A2B" w:rsidP="00575A2B">
      <w:pPr>
        <w:spacing w:after="0" w:line="240" w:lineRule="auto"/>
      </w:pPr>
      <w:r>
        <w:separator/>
      </w:r>
    </w:p>
  </w:endnote>
  <w:endnote w:type="continuationSeparator" w:id="0">
    <w:p w14:paraId="4D26EFDE" w14:textId="77777777" w:rsidR="00575A2B" w:rsidRDefault="00575A2B" w:rsidP="0057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B2CC0" w14:textId="77777777" w:rsidR="00551C9A" w:rsidRDefault="00551C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FDE8E" w14:textId="77777777" w:rsidR="00551C9A" w:rsidRDefault="00551C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0E6CC" w14:textId="77777777" w:rsidR="00551C9A" w:rsidRDefault="00551C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0459F" w14:textId="77777777" w:rsidR="00575A2B" w:rsidRDefault="00575A2B" w:rsidP="00575A2B">
      <w:pPr>
        <w:spacing w:after="0" w:line="240" w:lineRule="auto"/>
      </w:pPr>
      <w:r>
        <w:separator/>
      </w:r>
    </w:p>
  </w:footnote>
  <w:footnote w:type="continuationSeparator" w:id="0">
    <w:p w14:paraId="677F159A" w14:textId="77777777" w:rsidR="00575A2B" w:rsidRDefault="00575A2B" w:rsidP="0057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C6D16" w14:textId="77777777" w:rsidR="00551C9A" w:rsidRDefault="00551C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77381" w14:textId="182B94DD" w:rsidR="00575A2B" w:rsidRDefault="00935085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2940A6E3" wp14:editId="57DC6169">
          <wp:simplePos x="0" y="0"/>
          <wp:positionH relativeFrom="column">
            <wp:posOffset>-1143000</wp:posOffset>
          </wp:positionH>
          <wp:positionV relativeFrom="paragraph">
            <wp:posOffset>-428625</wp:posOffset>
          </wp:positionV>
          <wp:extent cx="896620" cy="889000"/>
          <wp:effectExtent l="0" t="0" r="0" b="6350"/>
          <wp:wrapThrough wrapText="bothSides">
            <wp:wrapPolygon edited="0">
              <wp:start x="0" y="0"/>
              <wp:lineTo x="0" y="21291"/>
              <wp:lineTo x="21110" y="21291"/>
              <wp:lineTo x="21110" y="0"/>
              <wp:lineTo x="0" y="0"/>
            </wp:wrapPolygon>
          </wp:wrapThrough>
          <wp:docPr id="484912270" name="Imagem 2" descr="Logotipo&#10;&#10;Descrição gerada automa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912270" name="Imagem 2" descr="Logotipo&#10;&#10;Descrição gerada automa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6620" cy="88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1C9A">
      <w:rPr>
        <w:noProof/>
      </w:rPr>
      <mc:AlternateContent>
        <mc:Choice Requires="wps">
          <w:drawing>
            <wp:anchor distT="0" distB="0" distL="118745" distR="118745" simplePos="0" relativeHeight="251656704" behindDoc="1" locked="0" layoutInCell="1" allowOverlap="0" wp14:anchorId="791C1F00" wp14:editId="5AFA9490">
              <wp:simplePos x="0" y="0"/>
              <wp:positionH relativeFrom="margin">
                <wp:posOffset>-228600</wp:posOffset>
              </wp:positionH>
              <wp:positionV relativeFrom="page">
                <wp:posOffset>19050</wp:posOffset>
              </wp:positionV>
              <wp:extent cx="6858000" cy="898525"/>
              <wp:effectExtent l="0" t="0" r="0" b="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8985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2C1306" w14:textId="77777777" w:rsidR="00551C9A" w:rsidRPr="00551C9A" w:rsidRDefault="00551C9A" w:rsidP="00551C9A">
                          <w:pPr>
                            <w:pStyle w:val="Ttulo1"/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 w:rsidRPr="00551C9A">
                            <w:rPr>
                              <w:color w:val="FFFFFF" w:themeColor="background1"/>
                              <w:lang w:val="pt-BR"/>
                            </w:rPr>
                            <w:t>Guia de Configuração e Melhores Práticas</w:t>
                          </w:r>
                        </w:p>
                        <w:p w14:paraId="36942DC3" w14:textId="2BFAB630" w:rsidR="00575A2B" w:rsidRPr="00551C9A" w:rsidRDefault="00575A2B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1C1F00" id="Retângulo 186" o:spid="_x0000_s1026" style="position:absolute;margin-left:-18pt;margin-top:1.5pt;width:540pt;height:70.75pt;z-index:-25165977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" o:allowoverlap="f" fillcolor="#4f81bd [3204]" stroked="f" strokeweight="2pt">
              <v:textbox>
                <w:txbxContent>
                  <w:p w14:paraId="4C2C1306" w14:textId="77777777" w:rsidR="00551C9A" w:rsidRPr="00551C9A" w:rsidRDefault="00551C9A" w:rsidP="00551C9A">
                    <w:pPr>
                      <w:pStyle w:val="Ttulo1"/>
                      <w:jc w:val="center"/>
                      <w:rPr>
                        <w:color w:val="FFFFFF" w:themeColor="background1"/>
                        <w:lang w:val="pt-BR"/>
                      </w:rPr>
                    </w:pPr>
                    <w:r w:rsidRPr="00551C9A">
                      <w:rPr>
                        <w:color w:val="FFFFFF" w:themeColor="background1"/>
                        <w:lang w:val="pt-BR"/>
                      </w:rPr>
                      <w:t>Guia de Configuração e Melhores Práticas</w:t>
                    </w:r>
                  </w:p>
                  <w:p w14:paraId="36942DC3" w14:textId="2BFAB630" w:rsidR="00575A2B" w:rsidRPr="00551C9A" w:rsidRDefault="00575A2B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pt-BR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7236" w14:textId="77777777" w:rsidR="00551C9A" w:rsidRDefault="00551C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004569">
    <w:abstractNumId w:val="8"/>
  </w:num>
  <w:num w:numId="2" w16cid:durableId="1266301540">
    <w:abstractNumId w:val="6"/>
  </w:num>
  <w:num w:numId="3" w16cid:durableId="835803728">
    <w:abstractNumId w:val="5"/>
  </w:num>
  <w:num w:numId="4" w16cid:durableId="1735353965">
    <w:abstractNumId w:val="4"/>
  </w:num>
  <w:num w:numId="5" w16cid:durableId="656350142">
    <w:abstractNumId w:val="7"/>
  </w:num>
  <w:num w:numId="6" w16cid:durableId="1689136693">
    <w:abstractNumId w:val="3"/>
  </w:num>
  <w:num w:numId="7" w16cid:durableId="17240627">
    <w:abstractNumId w:val="2"/>
  </w:num>
  <w:num w:numId="8" w16cid:durableId="535847164">
    <w:abstractNumId w:val="1"/>
  </w:num>
  <w:num w:numId="9" w16cid:durableId="134081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315"/>
    <w:rsid w:val="00395CA0"/>
    <w:rsid w:val="005464D8"/>
    <w:rsid w:val="00551C9A"/>
    <w:rsid w:val="00575A2B"/>
    <w:rsid w:val="006F0735"/>
    <w:rsid w:val="00935085"/>
    <w:rsid w:val="00AA1D8D"/>
    <w:rsid w:val="00B214F7"/>
    <w:rsid w:val="00B47730"/>
    <w:rsid w:val="00CB0664"/>
    <w:rsid w:val="00E52B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F99848"/>
  <w14:defaultImageDpi w14:val="300"/>
  <w15:docId w15:val="{BDAB5A3C-0CC6-476B-8AB8-9E011165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Bessegato</cp:lastModifiedBy>
  <cp:revision>7</cp:revision>
  <dcterms:created xsi:type="dcterms:W3CDTF">2013-12-23T23:15:00Z</dcterms:created>
  <dcterms:modified xsi:type="dcterms:W3CDTF">2024-12-02T20:44:00Z</dcterms:modified>
  <cp:category/>
</cp:coreProperties>
</file>