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Inter" w:cs="Inter" w:eastAsia="Inter" w:hAnsi="Inter"/>
          <w:b/>
          <w:bCs/>
          <w:color w:val="C8102E"/>
          <w:sz w:val="16"/>
          <w:szCs w:val="16"/>
        </w:rPr>
        <w:t xml:space="preserve">NOTA DE PRENSA — WORKING BACKWARDS</w:t>
      </w:r>
    </w:p>
    <w:p>
      <w:pPr>
        <w:pBdr>
          <w:bottom w:val="single" w:color="C8102E" w:sz="6" w:space="1"/>
        </w:pBdr>
        <w:spacing w:after="200"/>
      </w:pPr>
    </w:p>
    <w:p>
      <w:pPr>
        <w:spacing w:after="40"/>
      </w:pPr>
      <w:r>
        <w:rPr>
          <w:rFonts w:ascii="Inter" w:cs="Inter" w:eastAsia="Inter" w:hAnsi="Inter"/>
          <w:b/>
          <w:bCs/>
          <w:color w:val="003DA5"/>
          <w:sz w:val="18"/>
          <w:szCs w:val="18"/>
        </w:rPr>
        <w:t xml:space="preserve">Pan American Energy — Transformación Digital</w:t>
      </w:r>
    </w:p>
    <w:p>
      <w:pPr>
        <w:spacing w:after="40"/>
      </w:pPr>
      <w:r>
        <w:rPr>
          <w:rFonts w:ascii="Inter" w:cs="Inter" w:eastAsia="Inter" w:hAnsi="Inter"/>
          <w:color w:val="666666"/>
          <w:sz w:val="18"/>
          <w:szCs w:val="18"/>
        </w:rPr>
        <w:t xml:space="preserve">Dimensión: Producción  |  UG: Upstream — Área Norte  |  Abril 2026</w:t>
      </w:r>
    </w:p>
    <w:p>
      <w:pPr>
        <w:spacing w:after="200"/>
      </w:pPr>
      <w:r>
        <w:rPr>
          <w:rFonts w:ascii="Inter" w:cs="Inter" w:eastAsia="Inter" w:hAnsi="Inter"/>
          <w:i/>
          <w:iCs/>
          <w:color w:val="666666"/>
          <w:sz w:val="16"/>
          <w:szCs w:val="16"/>
        </w:rPr>
        <w:t xml:space="preserve">Formulario F1 — Propuesta  |  v1.0</w:t>
      </w:r>
    </w:p>
    <w:p>
      <w:pPr>
        <w:spacing w:after="200"/>
      </w:pPr>
      <w:r>
        <w:rPr>
          <w:rFonts w:ascii="Inter" w:cs="Inter" w:eastAsia="Inter" w:hAnsi="Inter"/>
          <w:b/>
          <w:bCs/>
          <w:color w:val="1A1A2E"/>
          <w:sz w:val="48"/>
          <w:szCs w:val="48"/>
        </w:rPr>
        <w:t xml:space="preserve">Optimización Predictiva de Pozos Maduros</w:t>
      </w:r>
    </w:p>
    <w:p>
      <w:pPr>
        <w:pBdr>
          <w:left w:val="single" w:color="003DA5" w:sz="8" w:space="8"/>
        </w:pBdr>
        <w:spacing w:after="300"/>
        <w:ind w:left="200"/>
      </w:pPr>
      <w:r>
        <w:rPr>
          <w:rFonts w:ascii="Inter" w:cs="Inter" w:eastAsia="Inter" w:hAnsi="Inter"/>
          <w:i/>
          <w:iCs/>
          <w:color w:val="2D2D2D"/>
          <w:sz w:val="24"/>
          <w:szCs w:val="24"/>
        </w:rPr>
        <w:t xml:space="preserve">Reducción del 60% en intervenciones no planificadas y aumento de producción de +8.000 m³/año en pozos maduros del Área Norte.</w:t>
      </w:r>
    </w:p>
    <w:p>
      <w:pPr>
        <w:spacing w:after="60"/>
      </w:pPr>
      <w:r>
        <w:rPr>
          <w:rFonts w:ascii="Inter" w:cs="Inter" w:eastAsia="Inter" w:hAnsi="Inter"/>
          <w:b/>
          <w:bCs/>
          <w:color w:val="C8102E"/>
          <w:sz w:val="28"/>
          <w:szCs w:val="28"/>
        </w:rPr>
        <w:t xml:space="preserve">EL DESAFÍO</w:t>
      </w:r>
    </w:p>
    <w:p>
      <w:pPr>
        <w:spacing w:after="200" w:line="360"/>
      </w:pPr>
      <w:r>
        <w:rPr>
          <w:rFonts w:ascii="Inter" w:cs="Inter" w:eastAsia="Inter" w:hAnsi="Inter"/>
          <w:color w:val="2D2D2D"/>
          <w:sz w:val="22"/>
          <w:szCs w:val="22"/>
        </w:rPr>
        <w:t xml:space="preserve">Los pozos maduros del Área Norte venían sufriendo una pérdida progresiva de producción por falta de monitoreo predictivo, con un 62% de intervenciones de mantenimiento no planificadas que generaban costos operativos elevados y tiempos de inactividad evitables.</w:t>
      </w:r>
    </w:p>
    <w:p>
      <w:pPr>
        <w:spacing w:after="60"/>
      </w:pPr>
      <w:r>
        <w:rPr>
          <w:rFonts w:ascii="Inter" w:cs="Inter" w:eastAsia="Inter" w:hAnsi="Inter"/>
          <w:b/>
          <w:bCs/>
          <w:color w:val="003DA5"/>
          <w:sz w:val="28"/>
          <w:szCs w:val="28"/>
        </w:rPr>
        <w:t xml:space="preserve">LA SOLUCIÓN</w:t>
      </w:r>
    </w:p>
    <w:p>
      <w:pPr>
        <w:spacing w:after="120" w:line="360"/>
      </w:pPr>
      <w:r>
        <w:rPr>
          <w:rFonts w:ascii="Inter" w:cs="Inter" w:eastAsia="Inter" w:hAnsi="Inter"/>
          <w:color w:val="2D2D2D"/>
          <w:sz w:val="22"/>
          <w:szCs w:val="22"/>
        </w:rPr>
        <w:t xml:space="preserve">Para los ingenieros de producción y supervisores de campo quienes necesitan anticipar fallas y optimizar la extracción en pozos maduros del Área Norte, el Sistema de Optimización Predictiva es una plataforma de monitoreo inteligente que permite reducir intervenciones no planificadas y maximizar la producción mediante modelos de machine learning aplicados a datos de sensores de fondo de pozo.</w:t>
      </w:r>
    </w:p>
    <w:p>
      <w:pPr>
        <w:spacing w:after="200" w:line="360"/>
      </w:pPr>
      <w:r>
        <w:rPr>
          <w:rFonts w:ascii="Inter" w:cs="Inter" w:eastAsia="Inter" w:hAnsi="Inter"/>
          <w:color w:val="2D2D2D"/>
          <w:sz w:val="22"/>
          <w:szCs w:val="22"/>
        </w:rPr>
        <w:t xml:space="preserve">El sistema ingesta datos de sensores ESP (presión, temperatura, vibración, amperaje) cada 15 minutos, aplica modelos de ML entrenados con datos históricos de 3 años, y genera alertas tempranas con 72hs de anticipación junto con recomendaciones de ajuste de parámetros operativos.</w:t>
      </w:r>
    </w:p>
    <w:p>
      <w:pPr>
        <w:spacing w:after="60"/>
      </w:pPr>
      <w:r>
        <w:rPr>
          <w:rFonts w:ascii="Inter" w:cs="Inter" w:eastAsia="Inter" w:hAnsi="Inter"/>
          <w:b/>
          <w:bCs/>
          <w:color w:val="00843D"/>
          <w:sz w:val="28"/>
          <w:szCs w:val="28"/>
        </w:rPr>
        <w:t xml:space="preserve">IMPACTO ESPERADO</w:t>
      </w:r>
    </w:p>
    <w:p>
      <w:pPr>
        <w:pStyle w:val="ListParagraph"/>
        <w:numPr>
          <w:ilvl w:val="0"/>
          <w:numId w:val="2"/>
        </w:numPr>
        <w:spacing w:after="80"/>
      </w:pPr>
      <w:r>
        <w:rPr>
          <w:rFonts w:ascii="Inter" w:cs="Inter" w:eastAsia="Inter" w:hAnsi="Inter"/>
          <w:color w:val="2D2D2D"/>
          <w:sz w:val="22"/>
          <w:szCs w:val="22"/>
        </w:rPr>
        <w:t xml:space="preserve">Aumento del MTBF de 145 a 220 días en bombeo electrosumergible</w:t>
      </w:r>
    </w:p>
    <w:p>
      <w:pPr>
        <w:pStyle w:val="ListParagraph"/>
        <w:numPr>
          <w:ilvl w:val="0"/>
          <w:numId w:val="2"/>
        </w:numPr>
        <w:spacing w:after="80"/>
      </w:pPr>
      <w:r>
        <w:rPr>
          <w:rFonts w:ascii="Inter" w:cs="Inter" w:eastAsia="Inter" w:hAnsi="Inter"/>
          <w:color w:val="2D2D2D"/>
          <w:sz w:val="22"/>
          <w:szCs w:val="22"/>
        </w:rPr>
        <w:t xml:space="preserve">Reducción de intervenciones no planificadas del 62% al 25%</w:t>
      </w:r>
    </w:p>
    <w:p>
      <w:pPr>
        <w:pStyle w:val="ListParagraph"/>
        <w:numPr>
          <w:ilvl w:val="0"/>
          <w:numId w:val="2"/>
        </w:numPr>
        <w:spacing w:after="80"/>
      </w:pPr>
      <w:r>
        <w:rPr>
          <w:rFonts w:ascii="Inter" w:cs="Inter" w:eastAsia="Inter" w:hAnsi="Inter"/>
          <w:color w:val="2D2D2D"/>
          <w:sz w:val="22"/>
          <w:szCs w:val="22"/>
        </w:rPr>
        <w:t xml:space="preserve">Producción incremental de +8.000 m³/año</w:t>
      </w:r>
    </w:p>
    <w:p>
      <w:pPr>
        <w:pStyle w:val="ListParagraph"/>
        <w:numPr>
          <w:ilvl w:val="0"/>
          <w:numId w:val="2"/>
        </w:numPr>
        <w:spacing w:after="80"/>
      </w:pPr>
      <w:r>
        <w:rPr>
          <w:rFonts w:ascii="Inter" w:cs="Inter" w:eastAsia="Inter" w:hAnsi="Inter"/>
          <w:color w:val="2D2D2D"/>
          <w:sz w:val="22"/>
          <w:szCs w:val="22"/>
        </w:rPr>
        <w:t xml:space="preserve">Reducción de OPEX de mantenimiento de USD 85K a USD 55K por pozo/año</w:t>
      </w:r>
    </w:p>
    <w:p>
      <w:pPr>
        <w:pStyle w:val="ListParagraph"/>
        <w:numPr>
          <w:ilvl w:val="0"/>
          <w:numId w:val="2"/>
        </w:numPr>
        <w:spacing w:after="80"/>
      </w:pPr>
      <w:r>
        <w:rPr>
          <w:rFonts w:ascii="Inter" w:cs="Inter" w:eastAsia="Inter" w:hAnsi="Inter"/>
          <w:color w:val="2D2D2D"/>
          <w:sz w:val="22"/>
          <w:szCs w:val="22"/>
        </w:rPr>
        <w:t xml:space="preserve">Reducción del consumo energético por optimización de frecuencia de variadores</w:t>
      </w:r>
    </w:p>
    <w:p>
      <w:pPr>
        <w:spacing w:after="120"/>
      </w:pPr>
    </w:p>
    <w:p>
      <w:pPr>
        <w:spacing w:after="60"/>
      </w:pPr>
      <w:r>
        <w:rPr>
          <w:rFonts w:ascii="Inter" w:cs="Inter" w:eastAsia="Inter" w:hAnsi="Inter"/>
          <w:b/>
          <w:bCs/>
          <w:color w:val="003DA5"/>
          <w:sz w:val="28"/>
          <w:szCs w:val="28"/>
        </w:rPr>
        <w:t xml:space="preserve">ALCANCE</w:t>
      </w:r>
    </w:p>
    <w:p>
      <w:pPr>
        <w:spacing w:after="200" w:line="360"/>
      </w:pPr>
      <w:r>
        <w:rPr>
          <w:rFonts w:ascii="Inter" w:cs="Inter" w:eastAsia="Inter" w:hAnsi="Inter"/>
          <w:color w:val="2D2D2D"/>
          <w:sz w:val="22"/>
          <w:szCs w:val="22"/>
        </w:rPr>
        <w:t xml:space="preserve">50 pozos maduros con ESP del Área Norte (Cerro Dragón). Con potencial de expansión a 300+ pozos en Área Norte y Sur, y replicable a otros métodos de extracción.</w:t>
      </w:r>
    </w:p>
    <w:p>
      <w:pPr>
        <w:spacing w:after="60"/>
      </w:pPr>
      <w:r>
        <w:rPr>
          <w:rFonts w:ascii="Inter" w:cs="Inter" w:eastAsia="Inter" w:hAnsi="Inter"/>
          <w:b/>
          <w:bCs/>
          <w:color w:val="00843D"/>
          <w:sz w:val="28"/>
          <w:szCs w:val="28"/>
        </w:rPr>
        <w:t xml:space="preserve">CORRIENTES DE VALOR IMPACTADAS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r>
              <w:rPr>
                <w:rFonts w:ascii="Inter" w:cs="Inter" w:eastAsia="Inter" w:hAnsi="Inter"/>
                <w:b/>
                <w:bCs/>
                <w:color w:val="FFFFFF"/>
                <w:sz w:val="20"/>
                <w:szCs w:val="20"/>
              </w:rPr>
              <w:t xml:space="preserve">Corriente de valor</w:t>
            </w:r>
          </w:p>
        </w:tc>
        <w:tc>
          <w:tcPr>
            <w:tcW w:type="dxa" w:w="3360"/>
            <w:tcBorders>
              <w:top w:val="single" w:color="CCCCCC" w:sz="1"/>
              <w:left w:val="single" w:color="CCCCCC" w:sz="1"/>
              <w:bottom w:val="single" w:color="CCCCCC" w:sz="1"/>
              <w:right w:val="single" w:color="CCCCCC" w:sz="1"/>
            </w:tcBorders>
            <w:shd w:fill="003DA5" w:val="clear"/>
            <w:tcMar>
              <w:top w:type="dxa" w:w="60"/>
              <w:left w:type="dxa" w:w="120"/>
              <w:bottom w:type="dxa" w:w="60"/>
              <w:right w:type="dxa" w:w="120"/>
            </w:tcMar>
          </w:tcPr>
          <w:p>
            <w:pPr>
              <w:jc w:val="center"/>
            </w:pPr>
            <w:r>
              <w:rPr>
                <w:rFonts w:ascii="Inter" w:cs="Inter" w:eastAsia="Inter" w:hAnsi="Inter"/>
                <w:b/>
                <w:bCs/>
                <w:color w:val="FFFFFF"/>
                <w:sz w:val="20"/>
                <w:szCs w:val="20"/>
              </w:rPr>
              <w:t xml:space="preserve">Impacto esperado</w:t>
            </w:r>
          </w:p>
        </w:tc>
      </w:tr>
      <w:tr>
        <w:tc>
          <w:tcPr>
            <w:tcW w:type="dxa" w:w="6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Inter" w:cs="Inter" w:eastAsia="Inter" w:hAnsi="Inter"/>
                <w:color w:val="2D2D2D"/>
                <w:sz w:val="20"/>
                <w:szCs w:val="20"/>
              </w:rPr>
              <w:t xml:space="preserve">PRODUCCIÓN (m³)</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Inter" w:cs="Inter" w:eastAsia="Inter" w:hAnsi="Inter"/>
                <w:b/>
                <w:bCs/>
                <w:color w:val="00843D"/>
                <w:sz w:val="20"/>
                <w:szCs w:val="20"/>
              </w:rPr>
              <w:t xml:space="preserve">Con impacto</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Inter" w:cs="Inter" w:eastAsia="Inter" w:hAnsi="Inter"/>
                <w:color w:val="2D2D2D"/>
                <w:sz w:val="20"/>
                <w:szCs w:val="20"/>
              </w:rPr>
              <w:t xml:space="preserve">OPEX (M USD)</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Inter" w:cs="Inter" w:eastAsia="Inter" w:hAnsi="Inter"/>
                <w:b/>
                <w:bCs/>
                <w:color w:val="00843D"/>
                <w:sz w:val="20"/>
                <w:szCs w:val="20"/>
              </w:rPr>
              <w:t xml:space="preserve">Con impacto</w:t>
            </w:r>
          </w:p>
        </w:tc>
      </w:tr>
      <w:tr>
        <w:tc>
          <w:tcPr>
            <w:tcW w:type="dxa" w:w="6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Inter" w:cs="Inter" w:eastAsia="Inter" w:hAnsi="Inter"/>
                <w:color w:val="2D2D2D"/>
                <w:sz w:val="20"/>
                <w:szCs w:val="20"/>
              </w:rPr>
              <w:t xml:space="preserve">PRODUCTIVIDAD (HH)</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Inter" w:cs="Inter" w:eastAsia="Inter" w:hAnsi="Inter"/>
                <w:b/>
                <w:bCs/>
                <w:color w:val="00843D"/>
                <w:sz w:val="20"/>
                <w:szCs w:val="20"/>
              </w:rPr>
              <w:t xml:space="preserve">Con impacto</w:t>
            </w:r>
          </w:p>
        </w:tc>
      </w:tr>
      <w:tr>
        <w:tc>
          <w:tcPr>
            <w:tcW w:type="dxa" w:w="6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Inter" w:cs="Inter" w:eastAsia="Inter" w:hAnsi="Inter"/>
                <w:color w:val="2D2D2D"/>
                <w:sz w:val="20"/>
                <w:szCs w:val="20"/>
              </w:rPr>
              <w:t xml:space="preserve">EXP. AL RIESGO (%)</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Inter" w:cs="Inter" w:eastAsia="Inter" w:hAnsi="Inter"/>
                <w:b/>
                <w:bCs/>
                <w:color w:val="00843D"/>
                <w:sz w:val="20"/>
                <w:szCs w:val="20"/>
              </w:rPr>
              <w:t xml:space="preserve">Con impacto</w:t>
            </w:r>
          </w:p>
        </w:tc>
      </w:tr>
      <w:tr>
        <w:tc>
          <w:tcPr>
            <w:tcW w:type="dxa" w:w="6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Inter" w:cs="Inter" w:eastAsia="Inter" w:hAnsi="Inter"/>
                <w:color w:val="2D2D2D"/>
                <w:sz w:val="20"/>
                <w:szCs w:val="20"/>
              </w:rPr>
              <w:t xml:space="preserve">CONS. ENERGÍA (MW)</w:t>
            </w:r>
          </w:p>
        </w:tc>
        <w:tc>
          <w:tcPr>
            <w:tcW w:type="dxa" w:w="3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pPr>
              <w:jc w:val="center"/>
            </w:pPr>
            <w:r>
              <w:rPr>
                <w:rFonts w:ascii="Inter" w:cs="Inter" w:eastAsia="Inter" w:hAnsi="Inter"/>
                <w:b/>
                <w:bCs/>
                <w:color w:val="00843D"/>
                <w:sz w:val="20"/>
                <w:szCs w:val="20"/>
              </w:rPr>
              <w:t xml:space="preserve">Con impacto</w:t>
            </w:r>
          </w:p>
        </w:tc>
      </w:tr>
    </w:tbl>
    <w:p>
      <w:pPr>
        <w:spacing w:after="200"/>
      </w:pPr>
    </w:p>
    <w:p>
      <w:pPr>
        <w:spacing w:after="60"/>
      </w:pPr>
      <w:r>
        <w:rPr>
          <w:rFonts w:ascii="Inter" w:cs="Inter" w:eastAsia="Inter" w:hAnsi="Inter"/>
          <w:b/>
          <w:bCs/>
          <w:color w:val="C8102E"/>
          <w:sz w:val="28"/>
          <w:szCs w:val="28"/>
        </w:rPr>
        <w:t xml:space="preserve">PALABRAS DEL SPONSOR</w:t>
      </w:r>
    </w:p>
    <w:p>
      <w:pPr>
        <w:pBdr>
          <w:left w:val="single" w:color="C8102E" w:sz="8" w:space="8"/>
        </w:pBdr>
        <w:spacing w:after="80" w:line="360"/>
        <w:ind w:left="200"/>
      </w:pPr>
      <w:r>
        <w:rPr>
          <w:rFonts w:ascii="Inter" w:cs="Inter" w:eastAsia="Inter" w:hAnsi="Inter"/>
          <w:i/>
          <w:iCs/>
          <w:color w:val="2D2D2D"/>
          <w:sz w:val="22"/>
          <w:szCs w:val="22"/>
        </w:rPr>
        <w:t xml:space="preserve">"Esta iniciativa representa un paso fundamental en nuestra estrategia de eficiencia operativa. Al pasar de un modelo de mantenimiento reactivo a uno predictivo, no solo reducimos costos sino que maximizamos el valor de nuestros activos maduros."</w:t>
      </w:r>
    </w:p>
    <w:p>
      <w:pPr>
        <w:spacing w:after="200"/>
        <w:ind w:left="200"/>
      </w:pPr>
      <w:r>
        <w:rPr>
          <w:rFonts w:ascii="Inter" w:cs="Inter" w:eastAsia="Inter" w:hAnsi="Inter"/>
          <w:b/>
          <w:bCs/>
          <w:color w:val="666666"/>
          <w:sz w:val="20"/>
          <w:szCs w:val="20"/>
        </w:rPr>
        <w:t xml:space="preserve">— Ricardo Méndez, VP Upstream</w:t>
      </w:r>
    </w:p>
    <w:p>
      <w:pPr>
        <w:spacing w:after="60"/>
      </w:pPr>
      <w:r>
        <w:rPr>
          <w:rFonts w:ascii="Inter" w:cs="Inter" w:eastAsia="Inter" w:hAnsi="Inter"/>
          <w:b/>
          <w:bCs/>
          <w:color w:val="003DA5"/>
          <w:sz w:val="28"/>
          <w:szCs w:val="28"/>
        </w:rPr>
        <w:t xml:space="preserve">PRÓXIMOS HITOS</w:t>
      </w:r>
    </w:p>
    <w:p>
      <w:pPr>
        <w:pStyle w:val="ListParagraph"/>
        <w:numPr>
          <w:ilvl w:val="0"/>
          <w:numId w:val="2"/>
        </w:numPr>
        <w:spacing w:after="80"/>
      </w:pPr>
      <w:r>
        <w:rPr>
          <w:rFonts w:ascii="Inter" w:cs="Inter" w:eastAsia="Inter" w:hAnsi="Inter"/>
          <w:b/>
          <w:bCs/>
          <w:color w:val="003DA5"/>
          <w:sz w:val="22"/>
          <w:szCs w:val="22"/>
        </w:rPr>
        <w:t xml:space="preserve">Jun 2026: </w:t>
      </w:r>
      <w:r>
        <w:rPr>
          <w:rFonts w:ascii="Inter" w:cs="Inter" w:eastAsia="Inter" w:hAnsi="Inter"/>
          <w:color w:val="2D2D2D"/>
          <w:sz w:val="22"/>
          <w:szCs w:val="22"/>
        </w:rPr>
        <w:t xml:space="preserve">Kick-off y relevamiento de datos</w:t>
      </w:r>
    </w:p>
    <w:p>
      <w:pPr>
        <w:pStyle w:val="ListParagraph"/>
        <w:numPr>
          <w:ilvl w:val="0"/>
          <w:numId w:val="2"/>
        </w:numPr>
        <w:spacing w:after="80"/>
      </w:pPr>
      <w:r>
        <w:rPr>
          <w:rFonts w:ascii="Inter" w:cs="Inter" w:eastAsia="Inter" w:hAnsi="Inter"/>
          <w:b/>
          <w:bCs/>
          <w:color w:val="003DA5"/>
          <w:sz w:val="22"/>
          <w:szCs w:val="22"/>
        </w:rPr>
        <w:t xml:space="preserve">Sep 2026: </w:t>
      </w:r>
      <w:r>
        <w:rPr>
          <w:rFonts w:ascii="Inter" w:cs="Inter" w:eastAsia="Inter" w:hAnsi="Inter"/>
          <w:color w:val="2D2D2D"/>
          <w:sz w:val="22"/>
          <w:szCs w:val="22"/>
        </w:rPr>
        <w:t xml:space="preserve">MVP — Modelo predictivo para 10 pozos piloto</w:t>
      </w:r>
    </w:p>
    <w:p>
      <w:pPr>
        <w:pStyle w:val="ListParagraph"/>
        <w:numPr>
          <w:ilvl w:val="0"/>
          <w:numId w:val="2"/>
        </w:numPr>
        <w:spacing w:after="80"/>
      </w:pPr>
      <w:r>
        <w:rPr>
          <w:rFonts w:ascii="Inter" w:cs="Inter" w:eastAsia="Inter" w:hAnsi="Inter"/>
          <w:b/>
          <w:bCs/>
          <w:color w:val="003DA5"/>
          <w:sz w:val="22"/>
          <w:szCs w:val="22"/>
        </w:rPr>
        <w:t xml:space="preserve">Feb 2027: </w:t>
      </w:r>
      <w:r>
        <w:rPr>
          <w:rFonts w:ascii="Inter" w:cs="Inter" w:eastAsia="Inter" w:hAnsi="Inter"/>
          <w:color w:val="2D2D2D"/>
          <w:sz w:val="22"/>
          <w:szCs w:val="22"/>
        </w:rPr>
        <w:t xml:space="preserve">Rollout a 50 pozos Área Norte</w:t>
      </w:r>
    </w:p>
    <w:p>
      <w:pPr>
        <w:spacing w:after="200"/>
      </w:pPr>
    </w:p>
    <w:p>
      <w:pPr>
        <w:pBdr>
          <w:top w:val="single" w:color="CCCCCC" w:sz="2" w:space="4"/>
        </w:pBdr>
        <w:spacing w:after="80" w:before="200"/>
      </w:pPr>
      <w:r>
        <w:rPr>
          <w:rFonts w:ascii="Inter" w:cs="Inter" w:eastAsia="Inter" w:hAnsi="Inter"/>
          <w:b/>
          <w:bCs/>
          <w:color w:val="666666"/>
          <w:sz w:val="16"/>
          <w:szCs w:val="16"/>
        </w:rPr>
        <w:t xml:space="preserve">CONTACTO</w:t>
      </w:r>
    </w:p>
    <w:p>
      <w:pPr>
        <w:spacing w:after="40"/>
      </w:pPr>
      <w:r>
        <w:rPr>
          <w:rFonts w:ascii="Inter" w:cs="Inter" w:eastAsia="Inter" w:hAnsi="Inter"/>
          <w:b/>
          <w:bCs/>
          <w:color w:val="2D2D2D"/>
          <w:sz w:val="20"/>
          <w:szCs w:val="20"/>
        </w:rPr>
        <w:t xml:space="preserve">Promotor: </w:t>
      </w:r>
      <w:r>
        <w:rPr>
          <w:rFonts w:ascii="Inter" w:cs="Inter" w:eastAsia="Inter" w:hAnsi="Inter"/>
          <w:color w:val="666666"/>
          <w:sz w:val="20"/>
          <w:szCs w:val="20"/>
        </w:rPr>
        <w:t xml:space="preserve">Alejandro Torres — Gte. Producción Norte</w:t>
      </w:r>
    </w:p>
    <w:p>
      <w:pPr>
        <w:spacing w:after="40"/>
      </w:pPr>
      <w:r>
        <w:rPr>
          <w:rFonts w:ascii="Inter" w:cs="Inter" w:eastAsia="Inter" w:hAnsi="Inter"/>
          <w:b/>
          <w:bCs/>
          <w:color w:val="2D2D2D"/>
          <w:sz w:val="20"/>
          <w:szCs w:val="20"/>
        </w:rPr>
        <w:t xml:space="preserve">Sponsor: </w:t>
      </w:r>
      <w:r>
        <w:rPr>
          <w:rFonts w:ascii="Inter" w:cs="Inter" w:eastAsia="Inter" w:hAnsi="Inter"/>
          <w:color w:val="666666"/>
          <w:sz w:val="20"/>
          <w:szCs w:val="20"/>
        </w:rPr>
        <w:t xml:space="preserve">Ricardo Méndez — VP Upstream</w:t>
      </w:r>
    </w:p>
    <w:p>
      <w:pPr>
        <w:spacing w:after="100"/>
      </w:pPr>
    </w:p>
    <w:p>
      <w:pPr>
        <w:spacing w:after="40"/>
      </w:pPr>
      <w:r>
        <w:rPr>
          <w:rFonts w:ascii="Inter" w:cs="Inter" w:eastAsia="Inter" w:hAnsi="Inter"/>
          <w:i/>
          <w:iCs/>
          <w:color w:val="666666"/>
          <w:sz w:val="16"/>
          <w:szCs w:val="16"/>
        </w:rPr>
        <w:t xml:space="preserve">Este documento es un ejercicio de Working Backwards: describe el resultado esperado de la iniciativa como si ya se hubiera implementado. No constituye un compromiso de ejecución ni un comunicado oficial. Su propósito es alinear la visión del equipo y facilitar la toma de decisiones en el proceso de aprobación.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tabs>
    </w:pPr>
    <w:r>
      <w:rPr>
        <w:rFonts w:ascii="Inter" w:cs="Inter" w:eastAsia="Inter" w:hAnsi="Inter"/>
        <w:color w:val="666666"/>
        <w:sz w:val="14"/>
        <w:szCs w:val="14"/>
      </w:rPr>
      <w:t xml:space="preserve">Plataforma de Gestión de Portfolio — Transformación Digital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Inter" w:cs="Inter" w:eastAsia="Inter" w:hAnsi="Inter"/>
        <w:i/>
        <w:iCs/>
        <w:color w:val="666666"/>
        <w:sz w:val="14"/>
        <w:szCs w:val="14"/>
      </w:rPr>
      <w:t xml:space="preserve">Pan American Energy — Confidencial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2026-04-21T21:34:52.272Z</dcterms:created>
  <dcterms:modified xsi:type="dcterms:W3CDTF">2026-04-21T21:34:52.273Z</dcterms:modified>
</cp:coreProperties>
</file>

<file path=docProps/custom.xml><?xml version="1.0" encoding="utf-8"?>
<Properties xmlns="http://schemas.openxmlformats.org/officeDocument/2006/custom-properties" xmlns:vt="http://schemas.openxmlformats.org/officeDocument/2006/docPropsVTypes"/>
</file>