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182b6ad65a58a9a157c84232dc1de947a9ab396"/>
      <w:r>
        <w:t xml:space="preserve">Informe de Vigilancia — Turismo Experiencial de Bienestar y Naturaleza (v3, consolidado)</w:t>
      </w:r>
      <w:bookmarkEnd w:id="20"/>
    </w:p>
    <w:p>
      <w:pPr>
        <w:pStyle w:val="FirstParagraph"/>
      </w:pPr>
      <w:r>
        <w:t xml:space="preserve">Unidad de Turismo, Comfenalco Antioquia. Foco: Hotel Hacienda Balandú (Jardín), Hotel y Centro de Convenciones Recinto Quirama (El Carmen de Viboral), Hostería y Camping Los Farallones (La Pintada), agencia de viajes de Comfenalco. Excluye parques ecológicos (Piedras Blancas, Los Salados, Mario Aramburo).</w:t>
      </w:r>
    </w:p>
    <w:p>
      <w:pPr>
        <w:pStyle w:val="BodyText"/>
      </w:pPr>
      <w:r>
        <w:t xml:space="preserve">Fecha de consolidación: 26 de julio de 2026.</w:t>
      </w:r>
      <w:r>
        <w:t xml:space="preserve"> </w:t>
      </w:r>
      <w:r>
        <w:t xml:space="preserve">Versión que reemplaza como documento de trabajo principal a:</w:t>
      </w:r>
      <w:r>
        <w:t xml:space="preserve"> </w:t>
      </w:r>
      <w:r>
        <w:t xml:space="preserve">“</w:t>
      </w:r>
      <w:r>
        <w:t xml:space="preserve">Brief de Vigilancia v1</w:t>
      </w:r>
      <w:r>
        <w:t xml:space="preserve">”</w:t>
      </w:r>
      <w:r>
        <w:t xml:space="preserve">,</w:t>
      </w:r>
      <w:r>
        <w:t xml:space="preserve"> </w:t>
      </w:r>
      <w:r>
        <w:t xml:space="preserve">“</w:t>
      </w:r>
      <w:r>
        <w:t xml:space="preserve">Informe de Vigilancia v1</w:t>
      </w:r>
      <w:r>
        <w:t xml:space="preserve">”</w:t>
      </w:r>
      <w:r>
        <w:t xml:space="preserve">,</w:t>
      </w:r>
      <w:r>
        <w:t xml:space="preserve"> </w:t>
      </w:r>
      <w:r>
        <w:t xml:space="preserve">“</w:t>
      </w:r>
      <w:r>
        <w:t xml:space="preserve">Brief KIT-KIQ v2</w:t>
      </w:r>
      <w:r>
        <w:t xml:space="preserve">”</w:t>
      </w:r>
      <w:r>
        <w:t xml:space="preserve"> </w:t>
      </w:r>
      <w:r>
        <w:t xml:space="preserve">y el</w:t>
      </w:r>
      <w:r>
        <w:t xml:space="preserve"> </w:t>
      </w:r>
      <w:r>
        <w:t xml:space="preserve">“</w:t>
      </w:r>
      <w:r>
        <w:t xml:space="preserve">Material de trabajo</w:t>
      </w:r>
      <w:r>
        <w:t xml:space="preserve">”</w:t>
      </w:r>
      <w:r>
        <w:t xml:space="preserve"> </w:t>
      </w:r>
      <w:r>
        <w:t xml:space="preserve">de Codex. Los cuatro se conservan en la carpeta por trazabilidad, pero para avanzar en decisiones de negocio debe usarse esta versión.</w:t>
      </w:r>
    </w:p>
    <w:p>
      <w:pPr>
        <w:pStyle w:val="Heading2"/>
      </w:pPr>
      <w:bookmarkStart w:id="21" w:name="nota-de-procedencia-y-verificación"/>
      <w:r>
        <w:t xml:space="preserve">0. Nota de procedencia y verificación</w:t>
      </w:r>
      <w:bookmarkEnd w:id="21"/>
    </w:p>
    <w:p>
      <w:pPr>
        <w:pStyle w:val="FirstParagraph"/>
      </w:pPr>
      <w:r>
        <w:t xml:space="preserve">Este documento combina tres fuentes de trabajo: la investigación web ejecutada directamente en este hilo, el brief y material de trabajo elaborados por Codex, y una verificación cruzada de las afirmaciones más determinantes de ambos. La verificación cruzada confirmó como exactas (no infladas ni inventadas): la valoración de mercado del Global Wellness Institute (USD 651.000 millones en 2022, crecimiento proyectado de 16,6% anual a 2027), las cifras del reporte</w:t>
      </w:r>
      <w:r>
        <w:t xml:space="preserve"> </w:t>
      </w:r>
      <w:r>
        <w:t xml:space="preserve">“</w:t>
      </w:r>
      <w:r>
        <w:t xml:space="preserve">Hushed Hobbies</w:t>
      </w:r>
      <w:r>
        <w:t xml:space="preserve">”</w:t>
      </w:r>
      <w:r>
        <w:t xml:space="preserve"> </w:t>
      </w:r>
      <w:r>
        <w:t xml:space="preserve">de Booking.com 2026 (43% viajaría por conexión con naturaleza, 25% busca hobbies tranquilos, 57% avistamiento de insectos, 73% pesca/aves, 69% forrajeo de alimentos locales), y las fichas técnicas de Balandú y Quirama tomadas directamente del sitio oficial de Comfenalco Antioquia (24 habitaciones en Balandú, 2 suites con jacuzzi, lago, huerta, granja, 19°C; 56 habitaciones en Quirama, capilla, jacuzzis, sauna, turco, 16°C).</w:t>
      </w:r>
    </w:p>
    <w:p>
      <w:pPr>
        <w:pStyle w:val="BodyText"/>
      </w:pPr>
      <w:r>
        <w:t xml:space="preserve">No se verificó de forma independiente el resto de las citas de la matriz de casos comparables (eco-lodges de Colombia y Costa Rica), los papers académicos citados (Buckley et al., Guardini et al.), ni los reportes de Booking Holdings 2024/2025 y GSTC. Esas referencias deben tratarse como material de apoyo razonablemente confiable por la calidad de las fuentes primarias citadas, pero no como verificado dato por dato en este ejercicio.</w:t>
      </w:r>
    </w:p>
    <w:p>
      <w:pPr>
        <w:pStyle w:val="BodyText"/>
      </w:pPr>
      <w:r>
        <w:t xml:space="preserve">Este informe distingue explícitamente tres tipos de contenido: hecho verificado (con fuente y, cuando aplica, nota de verificación cruzada), inferencia razonable (marcada como tal) y propuesta/opinión de producto (secciones 7 en adelante, que son diseño estratégico, no hallazgo de vigilancia).</w:t>
      </w:r>
    </w:p>
    <w:p>
      <w:r>
        <w:pict>
          <v:rect style="width:0;height:1.5pt" o:hralign="center" o:hrstd="t" o:hr="t"/>
        </w:pict>
      </w:r>
    </w:p>
    <w:p>
      <w:pPr>
        <w:pStyle w:val="Heading2"/>
      </w:pPr>
      <w:bookmarkStart w:id="22" w:name="resumen-ejecutivo"/>
      <w:r>
        <w:t xml:space="preserve">1. Resumen ejecutivo</w:t>
      </w:r>
      <w:bookmarkEnd w:id="22"/>
    </w:p>
    <w:p>
      <w:pPr>
        <w:pStyle w:val="FirstParagraph"/>
      </w:pPr>
      <w:r>
        <w:t xml:space="preserve">El turismo de bienestar es uno de los segmentos de más rápido crecimiento de la industria de viajes: el mercado global pasó de USD 651.000 millones en 2022 a una proyección de USD 1,4 billones en 2027 (Global Wellness Institute, 2023), y estimaciones más recientes lo ubican entre USD 990.000 millones y más de USD 2 billones hacia 2035 según la firma consultada (Grand View Research, 2026; Precedence Research, 2025). En Colombia, entre 68% y 80% de los turistas encuestados en distintos medios se declara interesado en experiencias de bienestar y prioriza alojamiento en contacto con la naturaleza (Procolombia, 2025; El Espectador, 2025). El viajero de 2026 busca específicamente naturaleza tranquila y sensorial: 43% viajaría para sentirse más cerca de la naturaleza, 69% se interesaría por hospedarse donde pueda forrajear alimentos locales, y 57%-73% por avistamiento de aves e insectos (Booking.com, 2025b, verificado).</w:t>
      </w:r>
    </w:p>
    <w:p>
      <w:pPr>
        <w:pStyle w:val="BodyText"/>
      </w:pPr>
      <w:r>
        <w:t xml:space="preserve">En el segmento de cajas de compensación familiar la demanda es alta y creciente (más de 620.000 personas en 2024, proyección de superar 700.000 en 2025; Comfama con más de 400 planes activos), y al menos un competidor directo, Colsubsidio, ya posiciona su marca hotelera bajo el eje</w:t>
      </w:r>
      <w:r>
        <w:t xml:space="preserve"> </w:t>
      </w:r>
      <w:r>
        <w:t xml:space="preserve">“</w:t>
      </w:r>
      <w:r>
        <w:t xml:space="preserve">descanso, naturaleza y bienestar</w:t>
      </w:r>
      <w:r>
        <w:t xml:space="preserve">”</w:t>
      </w:r>
      <w:r>
        <w:t xml:space="preserve"> </w:t>
      </w:r>
      <w:r>
        <w:t xml:space="preserve">(La República, 2025; Hoteles Colsubsidio, s.f.). Comfenalco ya cuenta con activos físicos relevantes para bienestar en sus tres sedes (zonas húmedas, huerta, granja, lago, jardines, camping), verificados directamente en su sitio oficial. La brecha no es de infraestructura sino de arquitectura de producto y comunicación: hoy se vende alojamiento y amenidades; el mercado está comprando resultado emocional (descanso, reconexión, energía).</w:t>
      </w:r>
    </w:p>
    <w:p>
      <w:pPr>
        <w:pStyle w:val="BodyText"/>
      </w:pPr>
      <w:r>
        <w:t xml:space="preserve">El punto crítico que ningún reporte externo resuelve, y que sigue abierto tras esta segunda vuelta de investigación, es la brecha de ingreso: la demanda global de bienestar está documentada mayoritariamente sobre el viajero de alto poder adquisitivo, mientras el afiliado real de Comfenalco se concentra en categorías A y B. Nadie ha medido públicamente si ese afiliado paga por bienestar diferenciado frente a recreación tradicional. Cualquier decisión de inversión debe partir de validar esto con datos internos, no con la literatura de mercado global.</w:t>
      </w:r>
    </w:p>
    <w:p>
      <w:r>
        <w:pict>
          <v:rect style="width:0;height:1.5pt" o:hralign="center" o:hrstd="t" o:hr="t"/>
        </w:pict>
      </w:r>
    </w:p>
    <w:p>
      <w:pPr>
        <w:pStyle w:val="Heading2"/>
      </w:pPr>
      <w:bookmarkStart w:id="23" w:name="análisis-por-preguntas-de-vigilancia-kiq"/>
      <w:r>
        <w:t xml:space="preserve">2. Análisis por preguntas de vigilancia (KIQ)</w:t>
      </w:r>
      <w:bookmarkEnd w:id="23"/>
    </w:p>
    <w:p>
      <w:pPr>
        <w:pStyle w:val="Heading3"/>
      </w:pPr>
      <w:bookmarkStart w:id="24" w:name="X3f1a0cff2a6520800438e2227fadf48059c32ff"/>
      <w:r>
        <w:t xml:space="preserve">KIQ 1 — ¿Qué servicios y actividades de bienestar buscan hoy los viajeros en hoteles vacacionales y de naturaleza en Colombia y Latinoamérica?</w:t>
      </w:r>
      <w:bookmarkEnd w:id="24"/>
    </w:p>
    <w:p>
      <w:pPr>
        <w:pStyle w:val="FirstParagraph"/>
      </w:pPr>
      <w:r>
        <w:t xml:space="preserve">El bienestar se está desplazando de</w:t>
      </w:r>
      <w:r>
        <w:t xml:space="preserve"> </w:t>
      </w:r>
      <w:r>
        <w:t xml:space="preserve">“</w:t>
      </w:r>
      <w:r>
        <w:t xml:space="preserve">spa puntual</w:t>
      </w:r>
      <w:r>
        <w:t xml:space="preserve">”</w:t>
      </w:r>
      <w:r>
        <w:t xml:space="preserve"> </w:t>
      </w:r>
      <w:r>
        <w:t xml:space="preserve">a recuperación integral: descanso mental, desconexión digital, sueño, movimiento suave y alimentación consciente, más que masajes o jacuzzi aislados (Global Wellness Institute, 2024, 2025). En naturaleza específicamente, la evidencia verificada de Booking.com (2025b) muestra que la motivación no requiere infraestructura sofisticada: caminatas de observación, forrajeo, contacto sensorial con el entorno. En Colombia, 68%-80% de los turistas prioriza bienestar y naturaleza según la fuente consultada, con actividades típicas de yoga, spa, termales y alimentación saludable (Procolombia, 2025; BluRadio, 2025). La familia entra a esta categoría no como lujo individual sino como aprendizaje y enriquecimiento compartido (Global Wellness Institute, 2024), lo que encaja mejor con el modelo de caja de compensación que el wellness individual premium.</w:t>
      </w:r>
    </w:p>
    <w:p>
      <w:pPr>
        <w:pStyle w:val="BodyText"/>
      </w:pPr>
      <w:r>
        <w:t xml:space="preserve">En cajas de compensación colombianas, hay volumen de uso documentado (620.000 personas en 2024, proyección 700.000+ en 2025) pero ningún estudio público mide qué proporción de ese volumen busca específicamente bienestar/naturaleza frente a recreación tradicional tipo parque acuático (La República, 2025). Esto sigue siendo DATO NO DISPONIBLE y es la validación interna más urgente antes de invertir.</w:t>
      </w:r>
    </w:p>
    <w:p>
      <w:pPr>
        <w:pStyle w:val="Heading3"/>
      </w:pPr>
      <w:bookmarkStart w:id="25" w:name="Xecc4b254678dc02885de379d395d7bfa352cca7"/>
      <w:r>
        <w:t xml:space="preserve">KIQ 2 — ¿Cómo están empaquetando y comunicando hoteles y agencias de viaje comparables sus experiencias de bienestar y naturaleza?</w:t>
      </w:r>
      <w:bookmarkEnd w:id="25"/>
    </w:p>
    <w:p>
      <w:pPr>
        <w:pStyle w:val="FirstParagraph"/>
      </w:pPr>
      <w:r>
        <w:t xml:space="preserve">Dentro del propio sector de cajas de compensación, Comfama opera más de 400 planes turísticos activos y la red</w:t>
      </w:r>
      <w:r>
        <w:t xml:space="preserve"> </w:t>
      </w:r>
      <w:r>
        <w:t xml:space="preserve">“</w:t>
      </w:r>
      <w:r>
        <w:t xml:space="preserve">Cajas sin Fronteras</w:t>
      </w:r>
      <w:r>
        <w:t xml:space="preserve">”</w:t>
      </w:r>
      <w:r>
        <w:t xml:space="preserve">; Colsubsidio ya comunica su oferta hotelera bajo el eje explícito de bienestar; Cafam mantiene el modelo de recreación masiva más grande de la región (Cafam Melgar) sin diferenciarse aún en bienestar (La República, 2025; Hoteles Colsubsidio, s.f.). Fuera del sector, hoteles boutique en Cartagena y Santander, y eco-lodges y termales en Antioquia, Quindío, Risaralda y Costa Rica, venden una narrativa compacta de reconexión, descanso y naturaleza, no un inventario de amenidades (casos referenciados por Codex: Selva Minca, Bio Habitat, San Vicente, Termales Santa Rosa, Bosko, Cannua, Sazagua, Hacienda Bambusa, Samasati, Nayara, Pacuare, Nicuesa Lodge; citas no verificadas de forma independiente en este ejercicio). Estos últimos son referentes de posicionamiento premium con precio y operación distintos al modelo Comfenalco: útiles como inspiración de lenguaje y empaquetamiento, no como benchmark de costo.</w:t>
      </w:r>
    </w:p>
    <w:p>
      <w:pPr>
        <w:pStyle w:val="BodyText"/>
      </w:pPr>
      <w:r>
        <w:t xml:space="preserve">Verificado directamente en el sitio de Comfenalco: Balandú ya tiene lago, huerta y granja; Quirama tiene jardines, clima frío y cultura cerámica local; ambos con zonas húmedas (jacuzzi, sauna, turco). Es decir, la infraestructura de bienestar existe parcialmente en las tres sedes; lo que falta es una narrativa y programación que la organice como experiencia, no como lista de servicios.</w:t>
      </w:r>
    </w:p>
    <w:p>
      <w:pPr>
        <w:pStyle w:val="BodyText"/>
      </w:pPr>
      <w:r>
        <w:t xml:space="preserve">No se encontraron casos publicados de agencias de viaje colombianas empaquetando bienestar/naturaleza específicamente para el segmento de afiliados de cajas de compensación, más allá de la oferta directa de las propias cajas. Esto es tanto un vacío de información como una posible oportunidad de ser el primero en documentarlo.</w:t>
      </w:r>
    </w:p>
    <w:p>
      <w:pPr>
        <w:pStyle w:val="Heading3"/>
      </w:pPr>
      <w:bookmarkStart w:id="26" w:name="Xac360ec3fd3e8eefbe3a5462b42435b47627a60"/>
      <w:r>
        <w:t xml:space="preserve">KIQ 3 — ¿Qué certificaciones o sellos de bienestar/sostenibilidad están valorando los viajeros al elegir un hotel o paquete turístico?</w:t>
      </w:r>
      <w:bookmarkEnd w:id="26"/>
    </w:p>
    <w:p>
      <w:pPr>
        <w:pStyle w:val="FirstParagraph"/>
      </w:pPr>
      <w:r>
        <w:t xml:space="preserve">A nivel global, Booking.com documenta que cerca de la mitad de los viajeros encuentra más atractivo un alojamiento con certificación de sostenibilidad, con volumen creciente de propiedades certificadas y de noches reservadas bajo ese criterio (Booking.com, 2025a; Booking Holdings, 2024-2025). También hay evidencia de fatiga ante el discurso climático genérico: una parte relevante de los viajeros considera importante la sostenibilidad pero no la usa como criterio primario de reserva, y otra parte declara cansancio del tema (Booking.com, 2024). La lectura estratégica no es</w:t>
      </w:r>
      <w:r>
        <w:t xml:space="preserve"> </w:t>
      </w:r>
      <w:r>
        <w:t xml:space="preserve">“</w:t>
      </w:r>
      <w:r>
        <w:t xml:space="preserve">hablar más de sostenibilidad</w:t>
      </w:r>
      <w:r>
        <w:t xml:space="preserve">”</w:t>
      </w:r>
      <w:r>
        <w:t xml:space="preserve"> </w:t>
      </w:r>
      <w:r>
        <w:t xml:space="preserve">sino mostrar evidencia concreta y verificable.</w:t>
      </w:r>
    </w:p>
    <w:p>
      <w:pPr>
        <w:pStyle w:val="BodyText"/>
      </w:pPr>
      <w:r>
        <w:t xml:space="preserve">En Colombia, el marco de referencia es la Norma Técnica Sectorial NTS-TS 002 (alojamiento) y NTS-TS 003 (agencias de viajes), de obligatoriedad progresiva desde la Ley 1558 de 2012, con vínculo al Sello Ambiental Colombiano en su nivel alto (MinCIT, 2014, 2018; Fontur, 2020). A nivel internacional, GSTC es el marco de referencia más reconocido, aunque de mayor exigencia y costo. Sigue sin haber evidencia pública de que Balandú, Quirama o Los Farallones cuenten hoy con NTS-TS 002/003, Sello Ambiental Colombiano, Biosphere o Rainforest Alliance. Esto debe verificarse internamente antes de usarlo como argumento comercial, y es más urgente que perseguir una certificación internacional costosa sin haber auditado primero el cumplimiento normativo local.</w:t>
      </w:r>
    </w:p>
    <w:p>
      <w:r>
        <w:pict>
          <v:rect style="width:0;height:1.5pt" o:hralign="center" o:hrstd="t" o:hr="t"/>
        </w:pict>
      </w:r>
    </w:p>
    <w:p>
      <w:pPr>
        <w:pStyle w:val="Heading2"/>
      </w:pPr>
      <w:bookmarkStart w:id="27" w:name="X8dcd4d41a4df0eabfe608389b6af87bead0c38d"/>
      <w:r>
        <w:t xml:space="preserve">3. Fichas verificadas de las sedes (fuente: sitio oficial de Comfenalco Antioquia)</w:t>
      </w:r>
      <w:bookmarkEnd w:id="27"/>
    </w:p>
    <w:p>
      <w:pPr>
        <w:pStyle w:val="FirstParagraph"/>
      </w:pPr>
      <w:r>
        <w:rPr>
          <w:b/>
        </w:rPr>
        <w:t xml:space="preserve">Hotel Hacienda Balandú (Jardín, 19°C promedio).</w:t>
      </w:r>
      <w:r>
        <w:t xml:space="preserve"> </w:t>
      </w:r>
      <w:r>
        <w:t xml:space="preserve">24 habitaciones (2 suites con jacuzzi, 22 estándar), restaurante y bar, auditorio, zona húmeda con piscina climatizada, jacuzzi, sauna y turco, cancha de voleibol y microfútbol, sala de juegos, lago con peces ornamentales, huerta y granja. Pueblo patrimonio de Colombia.</w:t>
      </w:r>
    </w:p>
    <w:p>
      <w:pPr>
        <w:pStyle w:val="BodyText"/>
      </w:pPr>
      <w:r>
        <w:rPr>
          <w:b/>
        </w:rPr>
        <w:t xml:space="preserve">Hotel y Centro de Convenciones Recinto Quirama (El Carmen de Viboral, 16°C promedio).</w:t>
      </w:r>
      <w:r>
        <w:t xml:space="preserve"> </w:t>
      </w:r>
      <w:r>
        <w:t xml:space="preserve">56 habitaciones, múltiples salas de eventos, restaurante, zonas verdes y jardines, zonas húmedas (jacuzzis, turco, sauna), capilla. Entorno de cultura cerámica artesanal.</w:t>
      </w:r>
    </w:p>
    <w:p>
      <w:pPr>
        <w:pStyle w:val="BodyText"/>
      </w:pPr>
      <w:r>
        <w:rPr>
          <w:b/>
        </w:rPr>
        <w:t xml:space="preserve">Hostería y Camping Los Farallones (La Pintada, clima cálido).</w:t>
      </w:r>
      <w:r>
        <w:t xml:space="preserve"> </w:t>
      </w:r>
      <w:r>
        <w:t xml:space="preserve">No verificado directamente en esta ronda con la misma profundidad que las dos sedes anteriores; según el material de Codex (no verificado de forma independiente aquí), cuenta con piscinas, jacuzzi, sauna, turco, solarium, gimnasio, zonas de camping con carpas, toboganes y paquetes de pasadía.</w:t>
      </w:r>
    </w:p>
    <w:p>
      <w:pPr>
        <w:pStyle w:val="BodyText"/>
      </w:pPr>
      <w:r>
        <w:t xml:space="preserve">Esta base fáctica es la más sólida del ejercicio completo: no depende de reportes de mercado ni de comparables externos, sino de lo que Comfenalco ya publica sobre sí mismo. Cualquier propuesta de producto debería partir de aquí antes que de los casos comparables internacionales.</w:t>
      </w:r>
    </w:p>
    <w:p>
      <w:r>
        <w:pict>
          <v:rect style="width:0;height:1.5pt" o:hralign="center" o:hrstd="t" o:hr="t"/>
        </w:pict>
      </w:r>
    </w:p>
    <w:p>
      <w:pPr>
        <w:pStyle w:val="Heading2"/>
      </w:pPr>
      <w:bookmarkStart w:id="28" w:name="matriz-comparativa-transversal"/>
      <w:r>
        <w:t xml:space="preserve">4. Matriz comparativa transversal</w:t>
      </w:r>
      <w:bookmarkEnd w:id="28"/>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Referente</w:t>
            </w:r>
          </w:p>
        </w:tc>
        <w:tc>
          <w:tcPr>
            <w:tcBorders>
              <w:bottom w:val="single"/>
            </w:tcBorders>
            <w:vAlign w:val="bottom"/>
          </w:tcPr>
          <w:p>
            <w:pPr>
              <w:pStyle w:val="Compact"/>
              <w:jc w:val="left"/>
            </w:pPr>
            <w:r>
              <w:t xml:space="preserve">Tipo</w:t>
            </w:r>
          </w:p>
        </w:tc>
        <w:tc>
          <w:tcPr>
            <w:tcBorders>
              <w:bottom w:val="single"/>
            </w:tcBorders>
            <w:vAlign w:val="bottom"/>
          </w:tcPr>
          <w:p>
            <w:pPr>
              <w:pStyle w:val="Compact"/>
              <w:jc w:val="left"/>
            </w:pPr>
            <w:r>
              <w:t xml:space="preserve">Propuesta de bienestar/naturaleza</w:t>
            </w:r>
          </w:p>
        </w:tc>
        <w:tc>
          <w:tcPr>
            <w:tcBorders>
              <w:bottom w:val="single"/>
            </w:tcBorders>
            <w:vAlign w:val="bottom"/>
          </w:tcPr>
          <w:p>
            <w:pPr>
              <w:pStyle w:val="Compact"/>
              <w:jc w:val="left"/>
            </w:pPr>
            <w:r>
              <w:t xml:space="preserve">Relevancia para Comfenalco</w:t>
            </w:r>
          </w:p>
        </w:tc>
        <w:tc>
          <w:tcPr>
            <w:tcBorders>
              <w:bottom w:val="single"/>
            </w:tcBorders>
            <w:vAlign w:val="bottom"/>
          </w:tcPr>
          <w:p>
            <w:pPr>
              <w:pStyle w:val="Compact"/>
              <w:jc w:val="left"/>
            </w:pPr>
            <w:r>
              <w:t xml:space="preserve">Verificación</w:t>
            </w:r>
          </w:p>
        </w:tc>
      </w:tr>
      <w:tr>
        <w:tc>
          <w:p>
            <w:pPr>
              <w:pStyle w:val="Compact"/>
              <w:jc w:val="left"/>
            </w:pPr>
            <w:r>
              <w:t xml:space="preserve">Comfama</w:t>
            </w:r>
          </w:p>
        </w:tc>
        <w:tc>
          <w:p>
            <w:pPr>
              <w:pStyle w:val="Compact"/>
              <w:jc w:val="left"/>
            </w:pPr>
            <w:r>
              <w:t xml:space="preserve">Caja de compensación</w:t>
            </w:r>
          </w:p>
        </w:tc>
        <w:tc>
          <w:p>
            <w:pPr>
              <w:pStyle w:val="Compact"/>
              <w:jc w:val="left"/>
            </w:pPr>
            <w:r>
              <w:t xml:space="preserve">+400 planes turísticos activos, red</w:t>
            </w:r>
            <w:r>
              <w:t xml:space="preserve"> </w:t>
            </w:r>
            <w:r>
              <w:t xml:space="preserve">“</w:t>
            </w:r>
            <w:r>
              <w:t xml:space="preserve">Cajas sin Fronteras</w:t>
            </w:r>
            <w:r>
              <w:t xml:space="preserve">”</w:t>
            </w:r>
          </w:p>
        </w:tc>
        <w:tc>
          <w:p>
            <w:pPr>
              <w:pStyle w:val="Compact"/>
              <w:jc w:val="left"/>
            </w:pPr>
            <w:r>
              <w:t xml:space="preserve">Alta: mismo modelo de negocio y segmento de afiliado</w:t>
            </w:r>
          </w:p>
        </w:tc>
        <w:tc>
          <w:p>
            <w:pPr>
              <w:pStyle w:val="Compact"/>
              <w:jc w:val="left"/>
            </w:pPr>
            <w:r>
              <w:t xml:space="preserve">Fuente de prensa (La República), no verificada de forma independiente</w:t>
            </w:r>
          </w:p>
        </w:tc>
      </w:tr>
      <w:tr>
        <w:tc>
          <w:p>
            <w:pPr>
              <w:pStyle w:val="Compact"/>
              <w:jc w:val="left"/>
            </w:pPr>
            <w:r>
              <w:t xml:space="preserve">Colsubsidio</w:t>
            </w:r>
          </w:p>
        </w:tc>
        <w:tc>
          <w:p>
            <w:pPr>
              <w:pStyle w:val="Compact"/>
              <w:jc w:val="left"/>
            </w:pPr>
            <w:r>
              <w:t xml:space="preserve">Caja de compensación</w:t>
            </w:r>
          </w:p>
        </w:tc>
        <w:tc>
          <w:p>
            <w:pPr>
              <w:pStyle w:val="Compact"/>
              <w:jc w:val="left"/>
            </w:pPr>
            <w:r>
              <w:t xml:space="preserve">Marca hotelera posicionada en</w:t>
            </w:r>
            <w:r>
              <w:t xml:space="preserve"> </w:t>
            </w:r>
            <w:r>
              <w:t xml:space="preserve">“</w:t>
            </w:r>
            <w:r>
              <w:t xml:space="preserve">descanso, naturaleza y bienestar</w:t>
            </w:r>
            <w:r>
              <w:t xml:space="preserve">”</w:t>
            </w:r>
          </w:p>
        </w:tc>
        <w:tc>
          <w:p>
            <w:pPr>
              <w:pStyle w:val="Compact"/>
              <w:jc w:val="left"/>
            </w:pPr>
            <w:r>
              <w:t xml:space="preserve">Alta: competidor directo con bienestar como eje de marca</w:t>
            </w:r>
          </w:p>
        </w:tc>
        <w:tc>
          <w:p>
            <w:pPr>
              <w:pStyle w:val="Compact"/>
              <w:jc w:val="left"/>
            </w:pPr>
            <w:r>
              <w:t xml:space="preserve">Sitio propio de Colsubsidio, no verificado en esta ronda</w:t>
            </w:r>
          </w:p>
        </w:tc>
      </w:tr>
      <w:tr>
        <w:tc>
          <w:p>
            <w:pPr>
              <w:pStyle w:val="Compact"/>
              <w:jc w:val="left"/>
            </w:pPr>
            <w:r>
              <w:t xml:space="preserve">Cafam (Melgar)</w:t>
            </w:r>
          </w:p>
        </w:tc>
        <w:tc>
          <w:p>
            <w:pPr>
              <w:pStyle w:val="Compact"/>
              <w:jc w:val="left"/>
            </w:pPr>
            <w:r>
              <w:t xml:space="preserve">Caja de compensación</w:t>
            </w:r>
          </w:p>
        </w:tc>
        <w:tc>
          <w:p>
            <w:pPr>
              <w:pStyle w:val="Compact"/>
              <w:jc w:val="left"/>
            </w:pPr>
            <w:r>
              <w:t xml:space="preserve">Recreación masiva a gran escala</w:t>
            </w:r>
          </w:p>
        </w:tc>
        <w:tc>
          <w:p>
            <w:pPr>
              <w:pStyle w:val="Compact"/>
              <w:jc w:val="left"/>
            </w:pPr>
            <w:r>
              <w:t xml:space="preserve">Media: referente de volumen, no de bienestar diferenciado</w:t>
            </w:r>
          </w:p>
        </w:tc>
        <w:tc>
          <w:p>
            <w:pPr>
              <w:pStyle w:val="Compact"/>
              <w:jc w:val="left"/>
            </w:pPr>
            <w:r>
              <w:t xml:space="preserve">Fuente de prensa, no verificada</w:t>
            </w:r>
          </w:p>
        </w:tc>
      </w:tr>
      <w:tr>
        <w:tc>
          <w:p>
            <w:pPr>
              <w:pStyle w:val="Compact"/>
              <w:jc w:val="left"/>
            </w:pPr>
            <w:r>
              <w:t xml:space="preserve">Hoteles boutique Cartagena/Santander y eco-lodges Colombia/Costa Rica</w:t>
            </w:r>
          </w:p>
        </w:tc>
        <w:tc>
          <w:p>
            <w:pPr>
              <w:pStyle w:val="Compact"/>
              <w:jc w:val="left"/>
            </w:pPr>
            <w:r>
              <w:t xml:space="preserve">Hotelería premium independiente</w:t>
            </w:r>
          </w:p>
        </w:tc>
        <w:tc>
          <w:p>
            <w:pPr>
              <w:pStyle w:val="Compact"/>
              <w:jc w:val="left"/>
            </w:pPr>
            <w:r>
              <w:t xml:space="preserve">Spa, termalismo, forest bathing, gastronomía local</w:t>
            </w:r>
          </w:p>
        </w:tc>
        <w:tc>
          <w:p>
            <w:pPr>
              <w:pStyle w:val="Compact"/>
              <w:jc w:val="left"/>
            </w:pPr>
            <w:r>
              <w:t xml:space="preserve">Baja-media: inspiración de narrativa, no de precio ni operación</w:t>
            </w:r>
          </w:p>
        </w:tc>
        <w:tc>
          <w:p>
            <w:pPr>
              <w:pStyle w:val="Compact"/>
              <w:jc w:val="left"/>
            </w:pPr>
            <w:r>
              <w:t xml:space="preserve">Citas de Codex, no verificadas de forma independiente</w:t>
            </w:r>
          </w:p>
        </w:tc>
      </w:tr>
      <w:tr>
        <w:tc>
          <w:p>
            <w:pPr>
              <w:pStyle w:val="Compact"/>
              <w:jc w:val="left"/>
            </w:pPr>
            <w:r>
              <w:t xml:space="preserve">Booking.com / certificaciones globales</w:t>
            </w:r>
          </w:p>
        </w:tc>
        <w:tc>
          <w:p>
            <w:pPr>
              <w:pStyle w:val="Compact"/>
              <w:jc w:val="left"/>
            </w:pPr>
            <w:r>
              <w:t xml:space="preserve">Plataforma de distribución</w:t>
            </w:r>
          </w:p>
        </w:tc>
        <w:tc>
          <w:p>
            <w:pPr>
              <w:pStyle w:val="Compact"/>
              <w:jc w:val="left"/>
            </w:pPr>
            <w:r>
              <w:t xml:space="preserve">Certificación de sostenibilidad como filtro de reserva</w:t>
            </w:r>
          </w:p>
        </w:tc>
        <w:tc>
          <w:p>
            <w:pPr>
              <w:pStyle w:val="Compact"/>
              <w:jc w:val="left"/>
            </w:pPr>
            <w:r>
              <w:t xml:space="preserve">Media: referencia de expectativa del viajero</w:t>
            </w:r>
          </w:p>
        </w:tc>
        <w:tc>
          <w:p>
            <w:pPr>
              <w:pStyle w:val="Compact"/>
              <w:jc w:val="left"/>
            </w:pPr>
            <w:r>
              <w:t xml:space="preserve">Verificado (comunicado oficial)</w:t>
            </w:r>
          </w:p>
        </w:tc>
      </w:tr>
    </w:tbl>
    <w:p>
      <w:r>
        <w:pict>
          <v:rect style="width:0;height:1.5pt" o:hralign="center" o:hrstd="t" o:hr="t"/>
        </w:pict>
      </w:r>
    </w:p>
    <w:p>
      <w:pPr>
        <w:pStyle w:val="Heading2"/>
      </w:pPr>
      <w:bookmarkStart w:id="29" w:name="patrones-detectados"/>
      <w:r>
        <w:t xml:space="preserve">5. Patrones detectados</w:t>
      </w:r>
      <w:bookmarkEnd w:id="29"/>
    </w:p>
    <w:p>
      <w:pPr>
        <w:pStyle w:val="FirstParagraph"/>
      </w:pPr>
      <w:r>
        <w:t xml:space="preserve">Coinciden múltiples fuentes independientes en que el bienestar y la naturaleza ya son un criterio de decisión mayoritario, no un nicho, tanto a nivel global (Booking.com, GWI) como en Colombia (Procolombia, El Espectador, BluRadio). También coincide que la certificación de sostenibilidad influye en la reserva, pero que el discurso genérico sobre sostenibilidad genera fatiga si no se acompaña de evidencia concreta.</w:t>
      </w:r>
    </w:p>
    <w:p>
      <w:pPr>
        <w:pStyle w:val="Heading2"/>
      </w:pPr>
      <w:bookmarkStart w:id="30" w:name="diferencias-notables"/>
      <w:r>
        <w:t xml:space="preserve">6. Diferencias notables</w:t>
      </w:r>
      <w:bookmarkEnd w:id="30"/>
    </w:p>
    <w:p>
      <w:pPr>
        <w:pStyle w:val="FirstParagraph"/>
      </w:pPr>
      <w:r>
        <w:t xml:space="preserve">La brecha de ingreso entre el viajero de bienestar documentado en los reportes globales (perfil de alto poder adquisitivo) y el afiliado real de Comfenalco (mayoritariamente categorías A y B) sigue siendo el punto de mayor tensión estratégica y el menos resuelto por evidencia externa. Ningún reporte consultado, ni en esta ronda ni en la anterior, mide directamente la disposición de pago de un afiliado de caja de compensación colombiana por bienestar diferenciado.</w:t>
      </w:r>
    </w:p>
    <w:p>
      <w:r>
        <w:pict>
          <v:rect style="width:0;height:1.5pt" o:hralign="center" o:hrstd="t" o:hr="t"/>
        </w:pict>
      </w:r>
    </w:p>
    <w:p>
      <w:pPr>
        <w:pStyle w:val="Heading2"/>
      </w:pPr>
      <w:bookmarkStart w:id="31" w:name="Xa5df44b6e56fc2f239f72bd83b19ccaa6a35193"/>
      <w:r>
        <w:t xml:space="preserve">7. Propuesta estratégica derivada de la vigilancia (diseño de producto, no hallazgo)</w:t>
      </w:r>
      <w:bookmarkEnd w:id="31"/>
    </w:p>
    <w:p>
      <w:pPr>
        <w:pStyle w:val="FirstParagraph"/>
      </w:pPr>
      <w:r>
        <w:t xml:space="preserve">Todo lo que sigue en esta sección es propuesta e hipótesis de trabajo, construida por interpretación de los hallazgos anteriores más las fichas reales de las sedes. No es evidencia externa verificada; es la lectura estratégica que se desprende de ella, y debe tratarse como tal.</w:t>
      </w:r>
    </w:p>
    <w:p>
      <w:pPr>
        <w:pStyle w:val="Heading3"/>
      </w:pPr>
      <w:bookmarkStart w:id="32" w:name="implicaciones-para-propuesta-de-valor"/>
      <w:r>
        <w:t xml:space="preserve">7.1 Implicaciones para propuesta de valor</w:t>
      </w:r>
      <w:bookmarkEnd w:id="32"/>
    </w:p>
    <w:p>
      <w:pPr>
        <w:pStyle w:val="FirstParagraph"/>
      </w:pPr>
      <w:r>
        <w:t xml:space="preserve">Pasar de comunicar</w:t>
      </w:r>
      <w:r>
        <w:t xml:space="preserve"> </w:t>
      </w:r>
      <w:r>
        <w:t xml:space="preserve">“</w:t>
      </w:r>
      <w:r>
        <w:t xml:space="preserve">hospedaje con zonas húmedas</w:t>
      </w:r>
      <w:r>
        <w:t xml:space="preserve">”</w:t>
      </w:r>
      <w:r>
        <w:t xml:space="preserve"> </w:t>
      </w:r>
      <w:r>
        <w:t xml:space="preserve">a comunicar el resultado emocional: descanso, reconexión, energía. Una posible arquitectura, sujeta a validación de marca y legal interna, sería una marca paraguas de tipo</w:t>
      </w:r>
      <w:r>
        <w:t xml:space="preserve"> </w:t>
      </w:r>
      <w:r>
        <w:t xml:space="preserve">“</w:t>
      </w:r>
      <w:r>
        <w:t xml:space="preserve">Pausa Natural</w:t>
      </w:r>
      <w:r>
        <w:t xml:space="preserve">”</w:t>
      </w:r>
      <w:r>
        <w:t xml:space="preserve"> </w:t>
      </w:r>
      <w:r>
        <w:t xml:space="preserve">con una versión por sede: bienestar rural familiar en Balandú (huerta, granja, lago), calma y cultura en Quirama (jardines, cerámica, clima frío), y agua/movimiento en Farallones (piscinas, camping suave). Esto evita que las tres sedes vendan la misma experiencia y compitan entre sí por el mismo cliente.</w:t>
      </w:r>
    </w:p>
    <w:p>
      <w:pPr>
        <w:pStyle w:val="Heading3"/>
      </w:pPr>
      <w:bookmarkStart w:id="33" w:name="implicaciones-para-journey-map"/>
      <w:r>
        <w:t xml:space="preserve">7.2 Implicaciones para journey map</w:t>
      </w:r>
      <w:bookmarkEnd w:id="33"/>
    </w:p>
    <w:p>
      <w:pPr>
        <w:pStyle w:val="FirstParagraph"/>
      </w:pPr>
      <w:r>
        <w:t xml:space="preserve">Antes de reservar, el cliente debería entender en segundos qué resultado obtiene, para quién es el paquete, qué incluye, nivel de actividad, duración y precio por categoría de afiliación. A la llegada, un gesto simple de inicio (agenda opcional, nivel de intensidad). Durante la estancia, una experiencia guiada memorable combinada con tiempo libre sin programación. Al salir, un cierre con recomendación de hábito o invitación a otra sede.</w:t>
      </w:r>
    </w:p>
    <w:p>
      <w:pPr>
        <w:pStyle w:val="Heading3"/>
      </w:pPr>
      <w:bookmarkStart w:id="34" w:name="implicaciones-para-modelo-de-negocio"/>
      <w:r>
        <w:t xml:space="preserve">7.3 Implicaciones para modelo de negocio</w:t>
      </w:r>
      <w:bookmarkEnd w:id="34"/>
    </w:p>
    <w:p>
      <w:pPr>
        <w:pStyle w:val="FirstParagraph"/>
      </w:pPr>
      <w:r>
        <w:t xml:space="preserve">Las fuentes de valor más plausibles son ocupación incremental en temporada baja, add-ons de microexperiencias de 60-120 minutos (caminata de amanecer, huerta y cocina local, observación de aves, ritual de agua), pasadías, paquetes corporativos de pausa no clínica, y la agencia de viajes como empaquetadora de rutas internas entre las tres sedes. Los indicadores mínimos de validación deberían ser ocupación incremental por paquete, ingreso adicional por huésped, tasa de compra de add-ons, NPS del paquete y porcentaje de proveedores locales.</w:t>
      </w:r>
    </w:p>
    <w:p>
      <w:pPr>
        <w:pStyle w:val="Heading3"/>
      </w:pPr>
      <w:bookmarkStart w:id="35" w:name="piloto-propuesto-marco-h1h2h3"/>
      <w:r>
        <w:t xml:space="preserve">7.4 Piloto propuesto (marco H1/H2/H3)</w:t>
      </w:r>
      <w:bookmarkEnd w:id="35"/>
    </w:p>
    <w:p>
      <w:pPr>
        <w:pStyle w:val="FirstParagraph"/>
      </w:pPr>
      <w:r>
        <w:rPr>
          <w:b/>
        </w:rPr>
        <w:t xml:space="preserve">Horizonte 1 (corto plazo, 8 semanas).</w:t>
      </w:r>
      <w:r>
        <w:t xml:space="preserve"> </w:t>
      </w:r>
      <w:r>
        <w:t xml:space="preserve">Piloto de tres versiones de fin de semana, una por sede, con componentes mínimos ya disponibles en la infraestructura actual (caminata suave, huerta/granja en Balandú; jardines y sauna/turco en Quirama; piscinas y camping en Farallones), sin inversión estructural. Medir ocupación incremental, NPS y tasa de recompra antes de escalar.</w:t>
      </w:r>
    </w:p>
    <w:p>
      <w:pPr>
        <w:pStyle w:val="BodyText"/>
      </w:pPr>
      <w:r>
        <w:rPr>
          <w:b/>
        </w:rPr>
        <w:t xml:space="preserve">Horizonte 2 (mediano plazo).</w:t>
      </w:r>
      <w:r>
        <w:t xml:space="preserve"> </w:t>
      </w:r>
      <w:r>
        <w:t xml:space="preserve">Auditar el estado real de NTS-TS 002 por hotel y NTS-TS 003 en la agencia de viajes, y convertir el cumplimiento en evidencia visible para el cliente (ficha de confianza por sede: agua, energía, residuos, proveedores locales).</w:t>
      </w:r>
    </w:p>
    <w:p>
      <w:pPr>
        <w:pStyle w:val="BodyText"/>
      </w:pPr>
      <w:r>
        <w:rPr>
          <w:b/>
        </w:rPr>
        <w:t xml:space="preserve">Horizonte 3 (largo plazo).</w:t>
      </w:r>
      <w:r>
        <w:t xml:space="preserve"> </w:t>
      </w:r>
      <w:r>
        <w:t xml:space="preserve">Si el piloto valida ocupación y NPS, desarrollar con la agencia de viajes un producto propio de bienestar y naturaleza para el segmento de cajas de compensación, documentado como caso pionero dado que no hay evidencia pública de que otra agencia colombiana lo haya hecho ya para este segmento específico.</w:t>
      </w:r>
    </w:p>
    <w:p>
      <w:pPr>
        <w:pStyle w:val="Heading3"/>
      </w:pPr>
      <w:bookmarkStart w:id="36" w:name="lo-que-no-se-recomienda-todavía"/>
      <w:r>
        <w:t xml:space="preserve">7.5 Lo que no se recomienda todavía</w:t>
      </w:r>
      <w:bookmarkEnd w:id="36"/>
    </w:p>
    <w:p>
      <w:pPr>
        <w:pStyle w:val="FirstParagraph"/>
      </w:pPr>
      <w:r>
        <w:t xml:space="preserve">Invertir en wellness médico o de longevidad, prometer terapia o sanación sin protocolos y profesionales certificados, crear retiros espirituales intensivos, perseguir certificaciones internacionales costosas (GSTC) antes de auditar el cumplimiento normativo local (NTS-TS), o lanzar una campaña de marca mayor antes de validar compra y operación con el piloto.</w:t>
      </w:r>
    </w:p>
    <w:p>
      <w:r>
        <w:pict>
          <v:rect style="width:0;height:1.5pt" o:hralign="center" o:hrstd="t" o:hr="t"/>
        </w:pict>
      </w:r>
    </w:p>
    <w:p>
      <w:pPr>
        <w:pStyle w:val="Heading2"/>
      </w:pPr>
      <w:bookmarkStart w:id="37" w:name="X1ebf569b62e16a7c01b79a8a53b1353770406f3"/>
      <w:r>
        <w:t xml:space="preserve">8. Cinco fuerzas de Porter (microentorno, aplicadas al KIT)</w:t>
      </w:r>
      <w:bookmarkEnd w:id="37"/>
    </w:p>
    <w:p>
      <w:pPr>
        <w:pStyle w:val="FirstParagraph"/>
      </w:pPr>
      <w:r>
        <w:t xml:space="preserve">Rivalidad entre competidores: alta y creciente dentro del propio sector de cajas de compensación (Comfama, Cafam, Colsubsidio ya invierten en esta línea), además de la oferta hotelera boutique y de eco-lodges regionales.</w:t>
      </w:r>
      <w:r>
        <w:t xml:space="preserve"> </w:t>
      </w:r>
      <w:r>
        <w:t xml:space="preserve">Poder de negociación de los clientes (afiliados): medio-alto, porque el afiliado tiene alternativas dentro de la red de 24 cajas (</w:t>
      </w:r>
      <w:r>
        <w:t xml:space="preserve">“</w:t>
      </w:r>
      <w:r>
        <w:t xml:space="preserve">Cajas sin Fronteras</w:t>
      </w:r>
      <w:r>
        <w:t xml:space="preserve">”</w:t>
      </w:r>
      <w:r>
        <w:t xml:space="preserve">) y puede comparar tarifas de categoría entre cajas.</w:t>
      </w:r>
      <w:r>
        <w:t xml:space="preserve"> </w:t>
      </w:r>
      <w:r>
        <w:t xml:space="preserve">Poder de negociación de proveedores: sin evidencia directa en las fuentes consultadas (DATO NO DISPONIBLE); es razonable inferir relevancia de proveedores de servicios de spa/bienestar, guías locales y certificadoras, pero no está verificado.</w:t>
      </w:r>
      <w:r>
        <w:t xml:space="preserve"> </w:t>
      </w:r>
      <w:r>
        <w:t xml:space="preserve">Amenaza de nuevos entrantes: media, dado que hoteles boutique y operadores de bienestar no cautivos de cajas de compensación pueden captar al mismo viajero si el precio y la experiencia son atractivos.</w:t>
      </w:r>
      <w:r>
        <w:t xml:space="preserve"> </w:t>
      </w:r>
      <w:r>
        <w:t xml:space="preserve">Amenaza de sustitutos: media-alta, por la oferta de recreación tradicional (parques acuáticos, piscinas) que sigue siendo la más consolidada dentro de las propias cajas de compensación y que compite por el mismo presupuesto del afiliado.</w:t>
      </w:r>
    </w:p>
    <w:p>
      <w:pPr>
        <w:pStyle w:val="Heading2"/>
      </w:pPr>
      <w:bookmarkStart w:id="38" w:name="pestel-macroentorno-aplicado-al-kit"/>
      <w:r>
        <w:t xml:space="preserve">9. PESTEL (macroentorno, aplicado al KIT)</w:t>
      </w:r>
      <w:bookmarkEnd w:id="38"/>
    </w:p>
    <w:p>
      <w:pPr>
        <w:pStyle w:val="FirstParagraph"/>
      </w:pPr>
      <w:r>
        <w:t xml:space="preserve">Político-legal: obligatoriedad progresiva de la NTS-TS 002/003 desde la Ley 1558 de 2012 y disponibilidad del Sello Ambiental Colombiano.</w:t>
      </w:r>
      <w:r>
        <w:t xml:space="preserve"> </w:t>
      </w:r>
      <w:r>
        <w:t xml:space="preserve">Económico: crecimiento proyectado de doble dígito del mercado global de bienestar y del ecoturismo/turismo de bienestar en Colombia (8%-14% anual según fuente de prensa, no verificado de forma independiente).</w:t>
      </w:r>
      <w:r>
        <w:t xml:space="preserve"> </w:t>
      </w:r>
      <w:r>
        <w:t xml:space="preserve">Social: interés mayoritario del viajero colombiano en bienestar y naturaleza, con brecha de acceso por nivel de ingreso documentada a nivel global y no resuelta para el caso colombiano de cajas de compensación.</w:t>
      </w:r>
      <w:r>
        <w:t xml:space="preserve"> </w:t>
      </w:r>
      <w:r>
        <w:t xml:space="preserve">Tecnológico: sin evidencia directa sobre adopción tecnológica específica en el segmento de bienestar de cajas de compensación (DATO NO DISPONIBLE).</w:t>
      </w:r>
      <w:r>
        <w:t xml:space="preserve"> </w:t>
      </w:r>
      <w:r>
        <w:t xml:space="preserve">Ambiental: relevancia creciente de certificaciones (NTS-TS, Sello Ambiental Colombiano, GSTC) como respuesta a la demanda de sostenibilidad del viajero.</w:t>
      </w:r>
      <w:r>
        <w:t xml:space="preserve"> </w:t>
      </w:r>
      <w:r>
        <w:t xml:space="preserve">Legal: marco de Ley 300 de 1996 y Ley 1558 de 2012 sobre normalización técnica sectorial en turismo sostenible en Colombia.</w:t>
      </w:r>
    </w:p>
    <w:p>
      <w:r>
        <w:pict>
          <v:rect style="width:0;height:1.5pt" o:hralign="center" o:hrstd="t" o:hr="t"/>
        </w:pict>
      </w:r>
    </w:p>
    <w:p>
      <w:pPr>
        <w:pStyle w:val="Heading2"/>
      </w:pPr>
      <w:bookmarkStart w:id="39" w:name="insights-críticos"/>
      <w:r>
        <w:t xml:space="preserve">10. Insights críticos</w:t>
      </w:r>
      <w:bookmarkEnd w:id="39"/>
    </w:p>
    <w:p>
      <w:pPr>
        <w:numPr>
          <w:ilvl w:val="0"/>
          <w:numId w:val="1001"/>
        </w:numPr>
        <w:pStyle w:val="Compact"/>
      </w:pPr>
      <w:r>
        <w:t xml:space="preserve">El bienestar dejó de ser un producto adicional y se volvió un criterio de decisión de compra mayoritario, según múltiples fuentes independientes verificadas.</w:t>
      </w:r>
    </w:p>
    <w:p>
      <w:pPr>
        <w:numPr>
          <w:ilvl w:val="0"/>
          <w:numId w:val="1001"/>
        </w:numPr>
        <w:pStyle w:val="Compact"/>
      </w:pPr>
      <w:r>
        <w:t xml:space="preserve">La brecha de ingreso entre el discurso global de bienestar y el perfil real del afiliado de caja de compensación sigue sin resolverse con evidencia externa; solo datos internos de Comfenalco pueden cerrarla.</w:t>
      </w:r>
    </w:p>
    <w:p>
      <w:pPr>
        <w:numPr>
          <w:ilvl w:val="0"/>
          <w:numId w:val="1001"/>
        </w:numPr>
        <w:pStyle w:val="Compact"/>
      </w:pPr>
      <w:r>
        <w:t xml:space="preserve">Colsubsidio ya compite explícitamente en este terreno dentro del propio sector de cajas de compensación, reduciendo la ventana de diferenciación disponible.</w:t>
      </w:r>
    </w:p>
    <w:p>
      <w:pPr>
        <w:numPr>
          <w:ilvl w:val="0"/>
          <w:numId w:val="1001"/>
        </w:numPr>
        <w:pStyle w:val="Compact"/>
      </w:pPr>
      <w:r>
        <w:t xml:space="preserve">La infraestructura de bienestar en las tres sedes de Comfenalco ya existe (verificado directamente en su sitio oficial); la brecha es de arquitectura de producto y comunicación, no de inversión en activos físicos.</w:t>
      </w:r>
    </w:p>
    <w:p>
      <w:pPr>
        <w:numPr>
          <w:ilvl w:val="0"/>
          <w:numId w:val="1001"/>
        </w:numPr>
        <w:pStyle w:val="Compact"/>
      </w:pPr>
      <w:r>
        <w:t xml:space="preserve">No existe evidencia pública de que otra agencia de viajes colombiana empaquete bienestar/naturaleza específicamente para el segmento de cajas de compensación, lo que representa tanto un vacío de información como una oportunidad de ser el primero en documentarlo.</w:t>
      </w:r>
    </w:p>
    <w:p>
      <w:pPr>
        <w:pStyle w:val="Heading2"/>
      </w:pPr>
      <w:bookmarkStart w:id="40" w:name="preguntas-problema"/>
      <w:r>
        <w:t xml:space="preserve">11. Preguntas problema</w:t>
      </w:r>
      <w:bookmarkEnd w:id="40"/>
    </w:p>
    <w:p>
      <w:pPr>
        <w:pStyle w:val="FirstParagraph"/>
      </w:pPr>
      <w:r>
        <w:t xml:space="preserve">¿Qué proporción real de los afiliados A/B/C de Comfenalco estaría dispuesta a pagar un adicional por bienestar frente a la oferta recreativa tradicional? No respondido por ninguna fuente externa; requiere validación con datos internos.</w:t>
      </w:r>
    </w:p>
    <w:p>
      <w:pPr>
        <w:pStyle w:val="BodyText"/>
      </w:pPr>
      <w:r>
        <w:t xml:space="preserve">¿Cuál es el estado real de cumplimiento de NTS-TS 002 en cada hotel y de NTS-TS 003 en la agencia de viajes? No hay evidencia pública; requiere auditoría interna antes de cualquier comunicación comercial sobre sostenibilidad.</w:t>
      </w:r>
    </w:p>
    <w:p>
      <w:pPr>
        <w:pStyle w:val="BodyText"/>
      </w:pPr>
      <w:r>
        <w:t xml:space="preserve">¿Existe capacidad instalada (personal, guías, aliados locales) para sostener microexperiencias de bienestar sin descuidar la operación recreativa tradicional que hoy sostiene el volumen de visitantes?</w:t>
      </w:r>
    </w:p>
    <w:p>
      <w:pPr>
        <w:pStyle w:val="Heading2"/>
      </w:pPr>
      <w:bookmarkStart w:id="41" w:name="necesidades-de-información-interna"/>
      <w:r>
        <w:t xml:space="preserve">12. Necesidades de información interna</w:t>
      </w:r>
      <w:bookmarkEnd w:id="41"/>
    </w:p>
    <w:p>
      <w:pPr>
        <w:pStyle w:val="FirstParagraph"/>
      </w:pPr>
      <w:r>
        <w:t xml:space="preserve">Ocupación por sede, temporada, tipo de plan y categoría de afiliación. Ingreso promedio por huésped y margen por paquete. Satisfacción o NPS histórico segmentado por motivación de viaje. Estado real de NTS-TS 002/003 por sede y por la agencia. Inventario de proveedores y guías locales por sede. Capacidad operativa del personal para sostener programación de bienestar.</w:t>
      </w:r>
    </w:p>
    <w:p>
      <w:pPr>
        <w:pStyle w:val="Heading2"/>
      </w:pPr>
      <w:bookmarkStart w:id="42" w:name="X65ec53aa696c34f27f9ce56aecbff68f129c3cd"/>
      <w:r>
        <w:t xml:space="preserve">13. Riesgos, limitaciones y vacíos de información</w:t>
      </w:r>
      <w:bookmarkEnd w:id="42"/>
    </w:p>
    <w:p>
      <w:pPr>
        <w:pStyle w:val="FirstParagraph"/>
      </w:pPr>
      <w:r>
        <w:t xml:space="preserve">La verificación cruzada de esta ronda cubrió una muestra de las afirmaciones más determinantes (mercado global GWI, estadísticas de Booking.com 2026, fichas de Balandú y Quirama), todas confirmadas exactas. No se verificó de forma independiente el resto de las citas de la matriz de casos comparables, los papers académicos, ni los reportes de Booking Holdings y GSTC; deben tratarse como material de apoyo razonable, no como dato confirmado. Persisten los mismos vacíos de información interna señalados en las versiones anteriores: disposición de pago del afiliado por bienestar, estado real de certificación, margen operativo y NPS histórico. La sección 7 de este documento es propuesta de diseño de producto, no hallazgo de vigilancia, y debe presentarse como tal ante cualquier audiencia interna.</w:t>
      </w:r>
    </w:p>
    <w:p>
      <w:r>
        <w:pict>
          <v:rect style="width:0;height:1.5pt" o:hralign="center" o:hrstd="t" o:hr="t"/>
        </w:pict>
      </w:r>
    </w:p>
    <w:p>
      <w:pPr>
        <w:pStyle w:val="Heading2"/>
      </w:pPr>
      <w:bookmarkStart w:id="43" w:name="bibliografía"/>
      <w:r>
        <w:t xml:space="preserve">14. Bibliografía</w:t>
      </w:r>
      <w:bookmarkEnd w:id="43"/>
    </w:p>
    <w:p>
      <w:pPr>
        <w:pStyle w:val="FirstParagraph"/>
      </w:pPr>
      <w:r>
        <w:rPr>
          <w:b/>
        </w:rPr>
        <w:t xml:space="preserve">Fuentes externas de vigilancia (verificadas de forma cruzada en esta ronda):</w:t>
      </w:r>
    </w:p>
    <w:p>
      <w:pPr>
        <w:pStyle w:val="BodyText"/>
      </w:pPr>
      <w:r>
        <w:t xml:space="preserve">Global Wellness Institute. (2023).</w:t>
      </w:r>
      <w:r>
        <w:t xml:space="preserve"> </w:t>
      </w:r>
      <w:r>
        <w:rPr>
          <w:i/>
        </w:rPr>
        <w:t xml:space="preserve">Wellness Tourism Will Cross the $1 Trillion Mark in 2024</w:t>
      </w:r>
      <w:r>
        <w:t xml:space="preserve">. https://globalwellnessinstitute.org/global-wellness-institute-blog/2023/11/28/wellness-tourism-will-cross-the-1-trillion-mark-in-2024/</w:t>
      </w:r>
    </w:p>
    <w:p>
      <w:pPr>
        <w:pStyle w:val="BodyText"/>
      </w:pPr>
      <w:r>
        <w:t xml:space="preserve">Booking.com. (2025b).</w:t>
      </w:r>
      <w:r>
        <w:t xml:space="preserve"> </w:t>
      </w:r>
      <w:r>
        <w:rPr>
          <w:i/>
        </w:rPr>
        <w:t xml:space="preserve">The Era of YOU: Booking.com Predicts the Top Trends Defining Travel in 2026</w:t>
      </w:r>
      <w:r>
        <w:t xml:space="preserve">. https://news.booking.com/the-era-of-you-bookingcom-predicts-the-top-trends-defining-travel-in-2026-with-individuality-taking-center-stage/</w:t>
      </w:r>
    </w:p>
    <w:p>
      <w:pPr>
        <w:pStyle w:val="BodyText"/>
      </w:pPr>
      <w:r>
        <w:t xml:space="preserve">Comfenalco Antioquia. (2026a).</w:t>
      </w:r>
      <w:r>
        <w:t xml:space="preserve"> </w:t>
      </w:r>
      <w:r>
        <w:rPr>
          <w:i/>
        </w:rPr>
        <w:t xml:space="preserve">Hotel Hacienda Balandú</w:t>
      </w:r>
      <w:r>
        <w:t xml:space="preserve">. https://www.comfenalcoantioquia.com.co/personas/sedes/hotel-hacienda-balandu</w:t>
      </w:r>
    </w:p>
    <w:p>
      <w:pPr>
        <w:pStyle w:val="BodyText"/>
      </w:pPr>
      <w:r>
        <w:t xml:space="preserve">Comfenalco Antioquia. (2026b).</w:t>
      </w:r>
      <w:r>
        <w:t xml:space="preserve"> </w:t>
      </w:r>
      <w:r>
        <w:rPr>
          <w:i/>
        </w:rPr>
        <w:t xml:space="preserve">Hotel y Centro de Convenciones Recinto Quirama</w:t>
      </w:r>
      <w:r>
        <w:t xml:space="preserve">. https://www.comfenalcoantioquia.com.co/personas/sedes/hotel-recinto-quirama</w:t>
      </w:r>
    </w:p>
    <w:p>
      <w:pPr>
        <w:pStyle w:val="BodyText"/>
      </w:pPr>
      <w:r>
        <w:rPr>
          <w:b/>
        </w:rPr>
        <w:t xml:space="preserve">Fuentes externas de vigilancia (citadas por Codex o en la ronda anterior, no verificadas de forma independiente en este ejercicio):</w:t>
      </w:r>
    </w:p>
    <w:p>
      <w:pPr>
        <w:pStyle w:val="BodyText"/>
      </w:pPr>
      <w:r>
        <w:t xml:space="preserve">Global Wellness Institute. (2024, 2025).</w:t>
      </w:r>
      <w:r>
        <w:t xml:space="preserve"> </w:t>
      </w:r>
      <w:r>
        <w:rPr>
          <w:i/>
        </w:rPr>
        <w:t xml:space="preserve">Wellness Tourism Initiative Trends</w:t>
      </w:r>
      <w:r>
        <w:t xml:space="preserve">. https://globalwellnessinstitute.org/</w:t>
      </w:r>
    </w:p>
    <w:p>
      <w:pPr>
        <w:pStyle w:val="BodyText"/>
      </w:pPr>
      <w:r>
        <w:t xml:space="preserve">Booking.com. (2024, 2025a).</w:t>
      </w:r>
      <w:r>
        <w:t xml:space="preserve"> </w:t>
      </w:r>
      <w:r>
        <w:rPr>
          <w:i/>
        </w:rPr>
        <w:t xml:space="preserve">Sustainable Travel Report</w:t>
      </w:r>
      <w:r>
        <w:t xml:space="preserve">. https://news.booking.com/</w:t>
      </w:r>
    </w:p>
    <w:p>
      <w:pPr>
        <w:pStyle w:val="BodyText"/>
      </w:pPr>
      <w:r>
        <w:t xml:space="preserve">Booking Holdings. (2024, 2025).</w:t>
      </w:r>
      <w:r>
        <w:t xml:space="preserve"> </w:t>
      </w:r>
      <w:r>
        <w:rPr>
          <w:i/>
        </w:rPr>
        <w:t xml:space="preserve">Sustainability Reports</w:t>
      </w:r>
      <w:r>
        <w:t xml:space="preserve">. https://www.bookingholdings.com/</w:t>
      </w:r>
    </w:p>
    <w:p>
      <w:pPr>
        <w:pStyle w:val="BodyText"/>
      </w:pPr>
      <w:r>
        <w:t xml:space="preserve">GSTC. (2026).</w:t>
      </w:r>
      <w:r>
        <w:t xml:space="preserve"> </w:t>
      </w:r>
      <w:r>
        <w:rPr>
          <w:i/>
        </w:rPr>
        <w:t xml:space="preserve">Certification y Hotel Standard</w:t>
      </w:r>
      <w:r>
        <w:t xml:space="preserve">. https://www.gstc.org/</w:t>
      </w:r>
    </w:p>
    <w:p>
      <w:pPr>
        <w:pStyle w:val="BodyText"/>
      </w:pPr>
      <w:r>
        <w:t xml:space="preserve">MinCIT. (2014, 2018, 2026).</w:t>
      </w:r>
      <w:r>
        <w:t xml:space="preserve"> </w:t>
      </w:r>
      <w:r>
        <w:rPr>
          <w:i/>
        </w:rPr>
        <w:t xml:space="preserve">Normas Técnicas Sectoriales NTS-TS 002 y 003</w:t>
      </w:r>
      <w:r>
        <w:t xml:space="preserve">. https://www.mincit.gov.co/</w:t>
      </w:r>
    </w:p>
    <w:p>
      <w:pPr>
        <w:pStyle w:val="BodyText"/>
      </w:pPr>
      <w:r>
        <w:t xml:space="preserve">Fontur. (2020).</w:t>
      </w:r>
      <w:r>
        <w:t xml:space="preserve"> </w:t>
      </w:r>
      <w:r>
        <w:rPr>
          <w:i/>
        </w:rPr>
        <w:t xml:space="preserve">Norma Técnica Sectorial Colombiana NTS-TS 002</w:t>
      </w:r>
      <w:r>
        <w:t xml:space="preserve">. https://fontur.com.co/sites/default/files/2020-11/NTS_TS002.pdf</w:t>
      </w:r>
    </w:p>
    <w:p>
      <w:pPr>
        <w:pStyle w:val="BodyText"/>
      </w:pPr>
      <w:r>
        <w:t xml:space="preserve">Procolombia. (2025).</w:t>
      </w:r>
      <w:r>
        <w:t xml:space="preserve"> </w:t>
      </w:r>
      <w:r>
        <w:rPr>
          <w:i/>
        </w:rPr>
        <w:t xml:space="preserve">Cinco tendencias que marcarán el turismo en Colombia en 2026</w:t>
      </w:r>
      <w:r>
        <w:t xml:space="preserve">. https://procolombia.co/sala-de-prensa/noticias/cinco-tendencias-que-marcaran-el-turismo-en-colombia-en-2026</w:t>
      </w:r>
    </w:p>
    <w:p>
      <w:pPr>
        <w:pStyle w:val="BodyText"/>
      </w:pPr>
      <w:r>
        <w:t xml:space="preserve">La República. (2025).</w:t>
      </w:r>
      <w:r>
        <w:t xml:space="preserve"> </w:t>
      </w:r>
      <w:r>
        <w:rPr>
          <w:i/>
        </w:rPr>
        <w:t xml:space="preserve">El turismo y el bienestar ganan fuerza con aportes de las cajas</w:t>
      </w:r>
      <w:r>
        <w:t xml:space="preserve">. https://www.larepublica.co/especiales/los-aportes-de-las-cajas-de-compensacion/el-turismo-y-el-bienestar-ganan-fuerza-con-aportes-de-las-cajas-4254819</w:t>
      </w:r>
    </w:p>
    <w:p>
      <w:pPr>
        <w:pStyle w:val="BodyText"/>
      </w:pPr>
      <w:r>
        <w:t xml:space="preserve">Hoteles Colsubsidio. (s.f.).</w:t>
      </w:r>
      <w:r>
        <w:t xml:space="preserve"> </w:t>
      </w:r>
      <w:r>
        <w:rPr>
          <w:i/>
        </w:rPr>
        <w:t xml:space="preserve">Descanso, naturaleza y bienestar</w:t>
      </w:r>
      <w:r>
        <w:t xml:space="preserve">. https://www.hotelescolsubsidio.com/</w:t>
      </w:r>
    </w:p>
    <w:p>
      <w:pPr>
        <w:pStyle w:val="BodyText"/>
      </w:pPr>
      <w:r>
        <w:t xml:space="preserve">Buckley, R., Westaway, D., &amp; Brough, P. (2022).</w:t>
      </w:r>
      <w:r>
        <w:t xml:space="preserve"> </w:t>
      </w:r>
      <w:r>
        <w:rPr>
          <w:i/>
        </w:rPr>
        <w:t xml:space="preserve">Tourism as a Tool in Nature-Based Mental Health</w:t>
      </w:r>
      <w:r>
        <w:t xml:space="preserve">. International Journal of Environmental Research and Public Health. https://pmc.ncbi.nlm.nih.gov/articles/PMC9602562/</w:t>
      </w:r>
    </w:p>
    <w:p>
      <w:pPr>
        <w:pStyle w:val="BodyText"/>
      </w:pPr>
      <w:r>
        <w:t xml:space="preserve">Guardini, B. et al. (2023).</w:t>
      </w:r>
      <w:r>
        <w:t xml:space="preserve"> </w:t>
      </w:r>
      <w:r>
        <w:rPr>
          <w:i/>
        </w:rPr>
        <w:t xml:space="preserve">A Three-Day Forest-Bathing Retreat Enhances Positive Affect, Vitality, Optimism, and Gratitude</w:t>
      </w:r>
      <w:r>
        <w:t xml:space="preserve">. Forests. https://www.mdpi.com/1999-4907/14/7/1423</w:t>
      </w:r>
    </w:p>
    <w:p>
      <w:pPr>
        <w:pStyle w:val="BodyText"/>
      </w:pPr>
      <w:r>
        <w:t xml:space="preserve">Matriz completa de casos comparables (Selva Minca, Bio Habitat, San Vicente, Termales Santa Rosa, Bosko, Cannua, Sazagua, Hacienda Bambusa, Samasati, Nayara, Pacuare, Nicuesa Lodge): ver bibliografía completa en</w:t>
      </w:r>
      <w:r>
        <w:t xml:space="preserve"> </w:t>
      </w:r>
      <w:r>
        <w:t xml:space="preserve">“</w:t>
      </w:r>
      <w:r>
        <w:t xml:space="preserve">Material de trabajo - Informe ejecutivo turismo bienestar Comfenalco - 2026-07-26.md</w:t>
      </w:r>
      <w:r>
        <w:t xml:space="preserve">”</w:t>
      </w:r>
      <w:r>
        <w:t xml:space="preserve">, no reproducida aquí por no haber sido verificada de forma independiente.</w:t>
      </w:r>
    </w:p>
    <w:p>
      <w:pPr>
        <w:pStyle w:val="BodyText"/>
      </w:pPr>
      <w:r>
        <w:rPr>
          <w:b/>
        </w:rPr>
        <w:t xml:space="preserve">Fuentes internas (fichas propias de Comfenalco, no vigilancia externa):</w:t>
      </w:r>
    </w:p>
    <w:p>
      <w:pPr>
        <w:pStyle w:val="BodyText"/>
      </w:pPr>
      <w:r>
        <w:t xml:space="preserve">Comfenalco Antioquia. (2026c, 2026d).</w:t>
      </w:r>
      <w:r>
        <w:t xml:space="preserve"> </w:t>
      </w:r>
      <w:r>
        <w:rPr>
          <w:i/>
        </w:rPr>
        <w:t xml:space="preserve">Hostería Los Farallones</w:t>
      </w:r>
      <w:r>
        <w:t xml:space="preserve"> </w:t>
      </w:r>
      <w:r>
        <w:t xml:space="preserve">y</w:t>
      </w:r>
      <w:r>
        <w:t xml:space="preserve"> </w:t>
      </w:r>
      <w:r>
        <w:rPr>
          <w:i/>
        </w:rPr>
        <w:t xml:space="preserve">Camping Los Farallones</w:t>
      </w:r>
      <w:r>
        <w:t xml:space="preserve">. https://www.comfenalcoantioquia.com.co/personas/sedes/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000000"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000000"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000000"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000000"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000000"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000000"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000000"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000000"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000000"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000000"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000000"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000000"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2026-07-26T19:41:26Z</dcterms:created>
  <dcterms:modified xsi:type="dcterms:W3CDTF">2026-07-26T19:41:26Z</dcterms:modified>
</cp:coreProperties>
</file>

<file path=docProps/custom.xml><?xml version="1.0" encoding="utf-8"?>
<Properties xmlns="http://schemas.openxmlformats.org/officeDocument/2006/custom-properties" xmlns:vt="http://schemas.openxmlformats.org/officeDocument/2006/docPropsVTypes"/>
</file>