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Benchmarking y tendencias de turismo social</w:t>
      </w:r>
    </w:p>
    <w:p>
      <w:pPr>
        <w:spacing w:after="300"/>
      </w:pPr>
      <w:r>
        <w:rPr>
          <w:i/>
          <w:iCs/>
          <w:color w:val="B08628"/>
          <w:sz w:val="22"/>
          <w:szCs w:val="22"/>
        </w:rPr>
        <w:t xml:space="preserve">Otras cajas de compensación, tendencias globales y marco legal · Comfenalco Antioquia, Unidad de Turismo</w:t>
      </w:r>
    </w:p>
    <w:p>
      <w:pPr>
        <w:pStyle w:val="Heading1"/>
        <w:pBdr>
          <w:bottom w:val="single" w:color="B08628" w:sz="6" w:space="4"/>
        </w:pBdr>
        <w:spacing w:after="160" w:before="320"/>
      </w:pPr>
      <w:r>
        <w:rPr>
          <w:b/>
          <w:bCs/>
          <w:color w:val="1F3B57"/>
          <w:sz w:val="30"/>
          <w:szCs w:val="30"/>
        </w:rPr>
        <w:t xml:space="preserve">Descripción</w:t>
      </w:r>
    </w:p>
    <w:p>
      <w:pPr>
        <w:spacing w:after="180" w:line="300"/>
      </w:pPr>
      <w:r>
        <w:rPr>
          <w:color w:val="444444"/>
          <w:sz w:val="22"/>
          <w:szCs w:val="22"/>
        </w:rPr>
        <w:t xml:space="preserve">Este documento revisa qué están haciendo otras cajas de compensación en Colombia con sus hoteles y parques, qué tendencias están moviendo al turismo a nivel global, y qué permite y qué limita la ley colombiana a una caja de compensación en este negocio. La idea es que el plan de oferta focalizada y el calendario de actividades no se construyan solo con datos internos, sino con lo que ya está probado afuera.</w:t>
      </w:r>
    </w:p>
    <w:p>
      <w:pPr>
        <w:pStyle w:val="Heading1"/>
        <w:pBdr>
          <w:bottom w:val="single" w:color="B08628" w:sz="6" w:space="4"/>
        </w:pBdr>
        <w:spacing w:after="160" w:before="320"/>
      </w:pPr>
      <w:r>
        <w:rPr>
          <w:b/>
          <w:bCs/>
          <w:color w:val="1F3B57"/>
          <w:sz w:val="30"/>
          <w:szCs w:val="30"/>
        </w:rPr>
        <w:t xml:space="preserve">Cajas de compensación en Colombia: qué están haciendo</w:t>
      </w:r>
    </w:p>
    <w:p>
      <w:pPr>
        <w:spacing w:after="180" w:line="300"/>
      </w:pPr>
      <w:r>
        <w:rPr>
          <w:color w:val="444444"/>
          <w:sz w:val="22"/>
          <w:szCs w:val="22"/>
        </w:rPr>
        <w:t xml:space="preserve">Todas manejan una lógica parecida: hoteles y centros propios o en convenio, tarifa diferenciada según la categoría del afiliado, y acuerdos entre cajas para que un afiliado de una use los servicios de otra pagando la tarifa de su categoría de origen. Las diferencias están en qué tan lejos ha llegado cada una con su propuesta de valor.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84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Caja</w:t>
            </w:r>
          </w:p>
        </w:tc>
        <w:tc>
          <w:tcPr>
            <w:tcW w:type="dxa" w:w="4300"/>
            <w:shd w:fill="1F3B57" w:val="clear"/>
            <w:tcMar>
              <w:top w:type="dxa" w:w="80"/>
              <w:left w:type="dxa" w:w="100"/>
              <w:bottom w:type="dxa" w:w="80"/>
              <w:right w:type="dxa" w:w="100"/>
            </w:tcMar>
            <w:vAlign w:val="center"/>
          </w:tcPr>
          <w:p>
            <w:r>
              <w:rPr>
                <w:b/>
                <w:bCs/>
                <w:color w:val="FFFFFF"/>
                <w:sz w:val="19"/>
                <w:szCs w:val="19"/>
              </w:rPr>
              <w:t xml:space="preserve">Qué está haciendo</w:t>
            </w:r>
          </w:p>
        </w:tc>
        <w:tc>
          <w:tcPr>
            <w:tcW w:type="dxa" w:w="3840"/>
            <w:shd w:fill="1F3B57" w:val="clear"/>
            <w:tcMar>
              <w:top w:type="dxa" w:w="80"/>
              <w:left w:type="dxa" w:w="100"/>
              <w:bottom w:type="dxa" w:w="80"/>
              <w:right w:type="dxa" w:w="100"/>
            </w:tcMar>
            <w:vAlign w:val="center"/>
          </w:tcPr>
          <w:p>
            <w:r>
              <w:rPr>
                <w:b/>
                <w:bCs/>
                <w:color w:val="FFFFFF"/>
                <w:sz w:val="19"/>
                <w:szCs w:val="19"/>
              </w:rPr>
              <w:t xml:space="preserve">Lo destacable</w:t>
            </w:r>
          </w:p>
        </w:tc>
      </w:tr>
      <w:tr>
        <w:tc>
          <w:tcPr>
            <w:tcW w:type="dxa" w:w="1900"/>
            <w:tcMar>
              <w:top w:type="dxa" w:w="80"/>
              <w:left w:type="dxa" w:w="100"/>
              <w:bottom w:type="dxa" w:w="80"/>
              <w:right w:type="dxa" w:w="100"/>
            </w:tcMar>
            <w:vAlign w:val="center"/>
          </w:tcPr>
          <w:p>
            <w:r>
              <w:rPr>
                <w:b/>
                <w:bCs/>
                <w:color w:val="444444"/>
                <w:sz w:val="19"/>
                <w:szCs w:val="19"/>
              </w:rPr>
              <w:t xml:space="preserve">Comfama (Antioquia)</w:t>
            </w:r>
          </w:p>
        </w:tc>
        <w:tc>
          <w:tcPr>
            <w:tcW w:type="dxa" w:w="4300"/>
            <w:tcMar>
              <w:top w:type="dxa" w:w="80"/>
              <w:left w:type="dxa" w:w="100"/>
              <w:bottom w:type="dxa" w:w="80"/>
              <w:right w:type="dxa" w:w="100"/>
            </w:tcMar>
            <w:vAlign w:val="center"/>
          </w:tcPr>
          <w:p>
            <w:r>
              <w:rPr>
                <w:b w:val="false"/>
                <w:bCs w:val="false"/>
                <w:color w:val="444444"/>
                <w:sz w:val="19"/>
                <w:szCs w:val="19"/>
              </w:rPr>
              <w:t xml:space="preserve">Red de hoteles y fincas en convenio por todo Antioquia (Santa Fe de Antioquia, Guatapé, Doradal, entre otras), más una plataforma propia de viajes (Viajes Comfama) para reservar en Colombia y el exterior.</w:t>
            </w:r>
          </w:p>
        </w:tc>
        <w:tc>
          <w:tcPr>
            <w:tcW w:type="dxa" w:w="3840"/>
            <w:tcMar>
              <w:top w:type="dxa" w:w="80"/>
              <w:left w:type="dxa" w:w="100"/>
              <w:bottom w:type="dxa" w:w="80"/>
              <w:right w:type="dxa" w:w="100"/>
            </w:tcMar>
            <w:vAlign w:val="center"/>
          </w:tcPr>
          <w:p>
            <w:r>
              <w:rPr>
                <w:b w:val="false"/>
                <w:bCs w:val="false"/>
                <w:color w:val="444444"/>
                <w:sz w:val="19"/>
                <w:szCs w:val="19"/>
              </w:rPr>
              <w:t xml:space="preserve">Finca Viva: una apuesta nueva por turismo sostenible, con tarifas subsidiadas para el afiliado. Es la caja más cercana a nuestro propio mercado.</w:t>
            </w:r>
          </w:p>
        </w:tc>
      </w:tr>
      <w:tr>
        <w:tc>
          <w:tcPr>
            <w:tcW w:type="dxa" w:w="1900"/>
            <w:tcMar>
              <w:top w:type="dxa" w:w="80"/>
              <w:left w:type="dxa" w:w="100"/>
              <w:bottom w:type="dxa" w:w="80"/>
              <w:right w:type="dxa" w:w="100"/>
            </w:tcMar>
            <w:vAlign w:val="center"/>
          </w:tcPr>
          <w:p>
            <w:r>
              <w:rPr>
                <w:b/>
                <w:bCs/>
                <w:color w:val="444444"/>
                <w:sz w:val="19"/>
                <w:szCs w:val="19"/>
              </w:rPr>
              <w:t xml:space="preserve">Compensar (Bogotá)</w:t>
            </w:r>
          </w:p>
        </w:tc>
        <w:tc>
          <w:tcPr>
            <w:tcW w:type="dxa" w:w="4300"/>
            <w:tcMar>
              <w:top w:type="dxa" w:w="80"/>
              <w:left w:type="dxa" w:w="100"/>
              <w:bottom w:type="dxa" w:w="80"/>
              <w:right w:type="dxa" w:w="100"/>
            </w:tcMar>
            <w:vAlign w:val="center"/>
          </w:tcPr>
          <w:p>
            <w:r>
              <w:rPr>
                <w:b w:val="false"/>
                <w:bCs w:val="false"/>
                <w:color w:val="444444"/>
                <w:sz w:val="19"/>
                <w:szCs w:val="19"/>
              </w:rPr>
              <w:t xml:space="preserve">Hoteles propios (Lagosol, Lagomar) y programas de recreación para toda la familia, incluido Club 60 para adultos mayores.</w:t>
            </w:r>
          </w:p>
        </w:tc>
        <w:tc>
          <w:tcPr>
            <w:tcW w:type="dxa" w:w="3840"/>
            <w:tcMar>
              <w:top w:type="dxa" w:w="80"/>
              <w:left w:type="dxa" w:w="100"/>
              <w:bottom w:type="dxa" w:w="80"/>
              <w:right w:type="dxa" w:w="100"/>
            </w:tcMar>
            <w:vAlign w:val="center"/>
          </w:tcPr>
          <w:p>
            <w:r>
              <w:rPr>
                <w:b w:val="false"/>
                <w:bCs w:val="false"/>
                <w:color w:val="444444"/>
                <w:sz w:val="19"/>
                <w:szCs w:val="19"/>
              </w:rPr>
              <w:t xml:space="preserve">Es la única que ya resolvió el nómada digital: alianza con WeWork (hasta 35% de descuento) y su propio espacio de coworking, Co Bienestar, abierto a afiliados y no afiliados. Es la referencia más directa para lo que proponemos en Piedras Blancas y Balandú.</w:t>
            </w:r>
          </w:p>
        </w:tc>
      </w:tr>
      <w:tr>
        <w:tc>
          <w:tcPr>
            <w:tcW w:type="dxa" w:w="1900"/>
            <w:tcMar>
              <w:top w:type="dxa" w:w="80"/>
              <w:left w:type="dxa" w:w="100"/>
              <w:bottom w:type="dxa" w:w="80"/>
              <w:right w:type="dxa" w:w="100"/>
            </w:tcMar>
            <w:vAlign w:val="center"/>
          </w:tcPr>
          <w:p>
            <w:r>
              <w:rPr>
                <w:b/>
                <w:bCs/>
                <w:color w:val="444444"/>
                <w:sz w:val="19"/>
                <w:szCs w:val="19"/>
              </w:rPr>
              <w:t xml:space="preserve">Cafam (Bogotá)</w:t>
            </w:r>
          </w:p>
        </w:tc>
        <w:tc>
          <w:tcPr>
            <w:tcW w:type="dxa" w:w="4300"/>
            <w:tcMar>
              <w:top w:type="dxa" w:w="80"/>
              <w:left w:type="dxa" w:w="100"/>
              <w:bottom w:type="dxa" w:w="80"/>
              <w:right w:type="dxa" w:w="100"/>
            </w:tcMar>
            <w:vAlign w:val="center"/>
          </w:tcPr>
          <w:p>
            <w:r>
              <w:rPr>
                <w:b w:val="false"/>
                <w:bCs w:val="false"/>
                <w:color w:val="444444"/>
                <w:sz w:val="19"/>
                <w:szCs w:val="19"/>
              </w:rPr>
              <w:t xml:space="preserve">Centro de Vacaciones Cafam Melgar, con el parque acuático Cafalandia, descrito como el más grande de Latinoamérica. También tiene hoteles propios en Cartagena y convenio con la cadena GHL.</w:t>
            </w:r>
          </w:p>
        </w:tc>
        <w:tc>
          <w:tcPr>
            <w:tcW w:type="dxa" w:w="3840"/>
            <w:tcMar>
              <w:top w:type="dxa" w:w="80"/>
              <w:left w:type="dxa" w:w="100"/>
              <w:bottom w:type="dxa" w:w="80"/>
              <w:right w:type="dxa" w:w="100"/>
            </w:tcMar>
            <w:vAlign w:val="center"/>
          </w:tcPr>
          <w:p>
            <w:r>
              <w:rPr>
                <w:b w:val="false"/>
                <w:bCs w:val="false"/>
                <w:color w:val="444444"/>
                <w:sz w:val="19"/>
                <w:szCs w:val="19"/>
              </w:rPr>
              <w:t xml:space="preserve">Apostó por un solo activo de gran escala (Melgar) como su diferenciador de marca, en vez de dispersar la oferta entre muchas sedes pequeñas.</w:t>
            </w:r>
          </w:p>
        </w:tc>
      </w:tr>
      <w:tr>
        <w:tc>
          <w:tcPr>
            <w:tcW w:type="dxa" w:w="1900"/>
            <w:tcMar>
              <w:top w:type="dxa" w:w="80"/>
              <w:left w:type="dxa" w:w="100"/>
              <w:bottom w:type="dxa" w:w="80"/>
              <w:right w:type="dxa" w:w="100"/>
            </w:tcMar>
            <w:vAlign w:val="center"/>
          </w:tcPr>
          <w:p>
            <w:r>
              <w:rPr>
                <w:b/>
                <w:bCs/>
                <w:color w:val="444444"/>
                <w:sz w:val="19"/>
                <w:szCs w:val="19"/>
              </w:rPr>
              <w:t xml:space="preserve">Colsubsidio (Bogotá/Cundinamarca)</w:t>
            </w:r>
          </w:p>
        </w:tc>
        <w:tc>
          <w:tcPr>
            <w:tcW w:type="dxa" w:w="4300"/>
            <w:tcMar>
              <w:top w:type="dxa" w:w="80"/>
              <w:left w:type="dxa" w:w="100"/>
              <w:bottom w:type="dxa" w:w="80"/>
              <w:right w:type="dxa" w:w="100"/>
            </w:tcMar>
            <w:vAlign w:val="center"/>
          </w:tcPr>
          <w:p>
            <w:r>
              <w:rPr>
                <w:b w:val="false"/>
                <w:bCs w:val="false"/>
                <w:color w:val="444444"/>
                <w:sz w:val="19"/>
                <w:szCs w:val="19"/>
              </w:rPr>
              <w:t xml:space="preserve">Piscilago y el Hotel El Alcaraván en Villavicencio.</w:t>
            </w:r>
          </w:p>
        </w:tc>
        <w:tc>
          <w:tcPr>
            <w:tcW w:type="dxa" w:w="3840"/>
            <w:tcMar>
              <w:top w:type="dxa" w:w="80"/>
              <w:left w:type="dxa" w:w="100"/>
              <w:bottom w:type="dxa" w:w="80"/>
              <w:right w:type="dxa" w:w="100"/>
            </w:tcMar>
            <w:vAlign w:val="center"/>
          </w:tcPr>
          <w:p>
            <w:r>
              <w:rPr>
                <w:b w:val="false"/>
                <w:bCs w:val="false"/>
                <w:color w:val="444444"/>
                <w:sz w:val="19"/>
                <w:szCs w:val="19"/>
              </w:rPr>
              <w:t xml:space="preserve">Misma lógica que Cafam: un activo insignia (Piscilago) que concentra la identidad de marca del portafolio.</w:t>
            </w:r>
          </w:p>
        </w:tc>
      </w:tr>
      <w:tr>
        <w:tc>
          <w:tcPr>
            <w:tcW w:type="dxa" w:w="1900"/>
            <w:tcMar>
              <w:top w:type="dxa" w:w="80"/>
              <w:left w:type="dxa" w:w="100"/>
              <w:bottom w:type="dxa" w:w="80"/>
              <w:right w:type="dxa" w:w="100"/>
            </w:tcMar>
            <w:vAlign w:val="center"/>
          </w:tcPr>
          <w:p>
            <w:r>
              <w:rPr>
                <w:b/>
                <w:bCs/>
                <w:color w:val="444444"/>
                <w:sz w:val="19"/>
                <w:szCs w:val="19"/>
              </w:rPr>
              <w:t xml:space="preserve">Comfandi / Comfenalco Valle (Cali)</w:t>
            </w:r>
          </w:p>
        </w:tc>
        <w:tc>
          <w:tcPr>
            <w:tcW w:type="dxa" w:w="4300"/>
            <w:tcMar>
              <w:top w:type="dxa" w:w="80"/>
              <w:left w:type="dxa" w:w="100"/>
              <w:bottom w:type="dxa" w:w="80"/>
              <w:right w:type="dxa" w:w="100"/>
            </w:tcMar>
            <w:vAlign w:val="center"/>
          </w:tcPr>
          <w:p>
            <w:r>
              <w:rPr>
                <w:b w:val="false"/>
                <w:bCs w:val="false"/>
                <w:color w:val="444444"/>
                <w:sz w:val="19"/>
                <w:szCs w:val="19"/>
              </w:rPr>
              <w:t xml:space="preserve">Red de hoteles Delagente y convenios de recreación en el Valle del Cauca.</w:t>
            </w:r>
          </w:p>
        </w:tc>
        <w:tc>
          <w:tcPr>
            <w:tcW w:type="dxa" w:w="3840"/>
            <w:tcMar>
              <w:top w:type="dxa" w:w="80"/>
              <w:left w:type="dxa" w:w="100"/>
              <w:bottom w:type="dxa" w:w="80"/>
              <w:right w:type="dxa" w:w="100"/>
            </w:tcMar>
            <w:vAlign w:val="center"/>
          </w:tcPr>
          <w:p>
            <w:r>
              <w:rPr>
                <w:b w:val="false"/>
                <w:bCs w:val="false"/>
                <w:color w:val="444444"/>
                <w:sz w:val="19"/>
                <w:szCs w:val="19"/>
              </w:rPr>
              <w:t xml:space="preserve">Tienen un acuerdo activo entre las dos cajas del Valle para que sus afiliados usen los servicios de la otra a la tarifa de su propia categoría — el mismo principio que ya aplicamos con la lógica de categorías A-D.</w:t>
            </w:r>
          </w:p>
        </w:tc>
      </w:tr>
    </w:tbl>
    <w:p>
      <w:pPr>
        <w:spacing w:after="180" w:line="300"/>
      </w:pPr>
      <w:r>
        <w:rPr>
          <w:color w:val="444444"/>
          <w:sz w:val="22"/>
          <w:szCs w:val="22"/>
        </w:rPr>
        <w:t xml:space="preserve">El patrón que más nos interesa es el de Compensar: ya validó, con datos reales de uso, que un afiliado o incluso un no afiliado puede llegar buscando un espacio de trabajo remoto, no solo una piscina. Eso respalda directamente la apuesta por el nómada digital en Piedras Blancas y Hacienda Balandú.</w:t>
      </w:r>
    </w:p>
    <w:p>
      <w:pPr>
        <w:pStyle w:val="Heading1"/>
        <w:pBdr>
          <w:bottom w:val="single" w:color="B08628" w:sz="6" w:space="4"/>
        </w:pBdr>
        <w:spacing w:after="160" w:before="320"/>
      </w:pPr>
      <w:r>
        <w:rPr>
          <w:b/>
          <w:bCs/>
          <w:color w:val="1F3B57"/>
          <w:sz w:val="30"/>
          <w:szCs w:val="30"/>
        </w:rPr>
        <w:t xml:space="preserve">Tendencias globales que aplican a este negocio</w:t>
      </w:r>
    </w:p>
    <w:p>
      <w:pPr>
        <w:spacing w:after="180" w:line="300"/>
      </w:pPr>
      <w:r>
        <w:rPr>
          <w:color w:val="444444"/>
          <w:sz w:val="22"/>
          <w:szCs w:val="22"/>
        </w:rPr>
        <w:t xml:space="preserve">La investigación de fuentes internacionales de turismo confirma que varias de las líneas que ya veníamos trabajando no son una intuición local, sino un movimiento real del mercado:</w:t>
      </w:r>
    </w:p>
    <w:p>
      <w:pPr>
        <w:pStyle w:val="Heading2"/>
        <w:spacing w:after="100" w:before="260"/>
      </w:pPr>
      <w:r>
        <w:rPr>
          <w:b/>
          <w:bCs/>
          <w:color w:val="1F3B57"/>
          <w:sz w:val="24"/>
          <w:szCs w:val="24"/>
        </w:rPr>
        <w:t xml:space="preserve">Turismo de bienestar, en su mejor momento</w:t>
      </w:r>
    </w:p>
    <w:p>
      <w:pPr>
        <w:spacing w:after="180" w:line="300"/>
      </w:pPr>
      <w:r>
        <w:rPr>
          <w:color w:val="444444"/>
          <w:sz w:val="22"/>
          <w:szCs w:val="22"/>
        </w:rPr>
        <w:t xml:space="preserve">Más de la mitad de los viajeros de ingresos altos ya planea un viaje de bienestar en 2026, y quienes lo hacen gastan bastante más que el turista promedio. Dentro de esta ola está creciendo con fuerza el turismo del sueño (sleep tourism): viajes diseñados para descansar mejor, no para llenar la agenda de actividades.</w:t>
      </w:r>
    </w:p>
    <w:p>
      <w:pPr>
        <w:spacing w:after="180" w:line="300"/>
      </w:pPr>
      <w:r>
        <w:rPr>
          <w:color w:val="444444"/>
          <w:sz w:val="22"/>
          <w:szCs w:val="22"/>
        </w:rPr>
        <w:t xml:space="preserve">Esto confirma que la apuesta por Piedras Blancas como sede de bienestar no es solo aprovechar un dato que ya teníamos (el “Wellness Passport”): es subirse a una de las tendencias más fuertes del sector.</w:t>
      </w:r>
    </w:p>
    <w:p>
      <w:pPr>
        <w:pStyle w:val="Heading2"/>
        <w:spacing w:after="100" w:before="260"/>
      </w:pPr>
      <w:r>
        <w:rPr>
          <w:b/>
          <w:bCs/>
          <w:color w:val="1F3B57"/>
          <w:sz w:val="24"/>
          <w:szCs w:val="24"/>
        </w:rPr>
        <w:t xml:space="preserve">El workation ya es un beneficio corporativo estándar</w:t>
      </w:r>
    </w:p>
    <w:p>
      <w:pPr>
        <w:spacing w:after="180" w:line="300"/>
      </w:pPr>
      <w:r>
        <w:rPr>
          <w:color w:val="444444"/>
          <w:sz w:val="22"/>
          <w:szCs w:val="22"/>
        </w:rPr>
        <w:t xml:space="preserve">Trabajar mientras se viaja dejó de ser una rareza y hoy es algo que muchas empresas ofrecen a sus equipos. Colombia ya está entre los más de sesenta países con algún tipo de visa o facilidad para nómadas digitales, y ciudades como Medellín se preparan activamente para recibir a este viajero con internet rápido, espacios de coworking y comunidad.</w:t>
      </w:r>
    </w:p>
    <w:p>
      <w:pPr>
        <w:spacing w:after="180" w:line="300"/>
      </w:pPr>
      <w:r>
        <w:rPr>
          <w:color w:val="444444"/>
          <w:sz w:val="22"/>
          <w:szCs w:val="22"/>
        </w:rPr>
        <w:t xml:space="preserve">Esto refuerza la oferta para nómadas digitales en Piedras Blancas (por su cercanía a Medellín) y en Hacienda Balandú, que además tiene un punto a favor adicional: Jardín ya es, por cuenta propia, uno de los pueblos de moda entre quienes trabajan remoto en Colombia.</w:t>
      </w:r>
    </w:p>
    <w:p>
      <w:pPr>
        <w:pStyle w:val="Heading2"/>
        <w:spacing w:after="100" w:before="260"/>
      </w:pPr>
      <w:r>
        <w:rPr>
          <w:b/>
          <w:bCs/>
          <w:color w:val="1F3B57"/>
          <w:sz w:val="24"/>
          <w:szCs w:val="24"/>
        </w:rPr>
        <w:t xml:space="preserve">Slow travel: quedarse más tiempo, en un solo lugar</w:t>
      </w:r>
    </w:p>
    <w:p>
      <w:pPr>
        <w:spacing w:after="180" w:line="300"/>
      </w:pPr>
      <w:r>
        <w:rPr>
          <w:color w:val="444444"/>
          <w:sz w:val="22"/>
          <w:szCs w:val="22"/>
        </w:rPr>
        <w:t xml:space="preserve">La tendencia ya no es visitar muchos sitios rápido, sino quedarse más días en un mismo destino, desconectarse del celular y vivir la cultura local con calma. Esto le da fuerza a la idea de estadías prolongadas en Balandú, en vez de solo escapadas de un fin de semana.</w:t>
      </w:r>
    </w:p>
    <w:p>
      <w:pPr>
        <w:pStyle w:val="Heading2"/>
        <w:spacing w:after="100" w:before="260"/>
      </w:pPr>
      <w:r>
        <w:rPr>
          <w:b/>
          <w:bCs/>
          <w:color w:val="1F3B57"/>
          <w:sz w:val="24"/>
          <w:szCs w:val="24"/>
        </w:rPr>
        <w:t xml:space="preserve">Turismo regenerativo y de impacto local</w:t>
      </w:r>
    </w:p>
    <w:p>
      <w:pPr>
        <w:spacing w:after="180" w:line="300"/>
      </w:pPr>
      <w:r>
        <w:rPr>
          <w:color w:val="444444"/>
          <w:sz w:val="22"/>
          <w:szCs w:val="22"/>
        </w:rPr>
        <w:t xml:space="preserve">Cada vez más viajeros buscan que su visita deje algo positivo en la comunidad que los recibe: rutas con productores locales, artesanía, voluntariado ambiental. Esto es exactamente lo que ya habíamos propuesto para Balandú (alianzas con productores de Jardín) y para Mario Aramburo (jornadas de voluntariado ambiental), así que no hay que inventar nada nuevo, solo mantener el rumbo.</w:t>
      </w:r>
    </w:p>
    <w:p>
      <w:pPr>
        <w:pStyle w:val="Heading1"/>
        <w:pBdr>
          <w:bottom w:val="single" w:color="B08628" w:sz="6" w:space="4"/>
        </w:pBdr>
        <w:spacing w:after="160" w:before="320"/>
      </w:pPr>
      <w:r>
        <w:rPr>
          <w:b/>
          <w:bCs/>
          <w:color w:val="1F3B57"/>
          <w:sz w:val="30"/>
          <w:szCs w:val="30"/>
        </w:rPr>
        <w:t xml:space="preserve">Qué permite la ley colombiana en este negocio</w:t>
      </w:r>
    </w:p>
    <w:p>
      <w:pPr>
        <w:spacing w:after="180" w:line="300"/>
      </w:pPr>
      <w:r>
        <w:rPr>
          <w:color w:val="444444"/>
          <w:sz w:val="22"/>
          <w:szCs w:val="22"/>
        </w:rPr>
        <w:t xml:space="preserve">La Ley 21 de 1982 es la que le da origen a las cajas de compensación y define la recreación y el turismo social como un servicio para el trabajador afiliado y su familia, no como un negocio comercial cualquiera. Dentro del orden de prioridades que fija la ley para los programas sociales de una caja (salud, educación, vivienda...), la recreación social aparece al final — lo cual no la hace menos válida, pero sí explica por qué siempre debe leerse en clave de bienestar del afiliado, no de rentabilidad pura.</w:t>
      </w:r>
    </w:p>
    <w:p>
      <w:pPr>
        <w:spacing w:after="180" w:line="300"/>
      </w:pPr>
      <w:r>
        <w:rPr>
          <w:color w:val="444444"/>
          <w:sz w:val="22"/>
          <w:szCs w:val="22"/>
        </w:rPr>
        <w:t xml:space="preserve">La tarifa que paga cada persona depende de su categoría de afiliación, no del tipo de experiencia que consuma: quien aporta el 0,6% accede a recreación, turismo y capacitación; con el 2% adicional se suman más beneficios. Los pensionados con 25 años o más de afiliación acceden a tarifa de Categoría A. Y quienes no están afiliados a ninguna caja —lo que en el sector se conoce como Categoría D— pueden usar estos servicios pagando la tarifa plena que cada caja defina.</w:t>
      </w:r>
    </w:p>
    <w:p>
      <w:pPr>
        <w:spacing w:after="180" w:line="300"/>
      </w:pPr>
      <w:r>
        <w:rPr>
          <w:color w:val="444444"/>
          <w:sz w:val="22"/>
          <w:szCs w:val="22"/>
        </w:rPr>
        <w:t xml:space="preserve">Esto es justamente lo que ya veníamos proponiendo: el turista y el nómada digital que no son afiliados no están por fuera de la ley ni son una anomalía — son la Categoría D que la propia normativa ya contempla, y que otras cajas (Compensar con su coworking, Comfama con sus convenios abiertos) ya están cobrando a tarifa plena sin ningún problema.</w:t>
      </w:r>
    </w:p>
    <w:p>
      <w:pPr>
        <w:spacing w:after="180" w:line="300"/>
      </w:pPr>
      <w:r>
        <w:rPr>
          <w:color w:val="444444"/>
          <w:sz w:val="22"/>
          <w:szCs w:val="22"/>
        </w:rPr>
        <w:t xml:space="preserve">Además, como las cajas también operan como agencias de viajes y prestadoras de alojamiento, quedan dentro del sector turismo formal que regula la Ley 300 de 1996, lo que en la práctica significa mantener al día el Registro Nacional de Turismo para los servicios que se presten como operador turístico, más allá del beneficio social al afiliado.</w:t>
      </w:r>
    </w:p>
    <w:p>
      <w:pPr>
        <w:pStyle w:val="Heading1"/>
        <w:pBdr>
          <w:bottom w:val="single" w:color="B08628" w:sz="6" w:space="4"/>
        </w:pBdr>
        <w:spacing w:after="160" w:before="320"/>
      </w:pPr>
      <w:r>
        <w:rPr>
          <w:b/>
          <w:bCs/>
          <w:color w:val="1F3B57"/>
          <w:sz w:val="30"/>
          <w:szCs w:val="30"/>
        </w:rPr>
        <w:t xml:space="preserve">Conclusiones</w:t>
      </w:r>
    </w:p>
    <w:p>
      <w:pPr>
        <w:spacing w:after="180" w:line="300"/>
      </w:pPr>
      <w:r>
        <w:rPr>
          <w:color w:val="444444"/>
          <w:sz w:val="22"/>
          <w:szCs w:val="22"/>
        </w:rPr>
        <w:t xml:space="preserve">El benchmarking confirma algo importante: ninguna otra caja tiene hoy una oferta diferenciada explícita por sede, con un rol de negocio distinto para cada una. La mayoría compite con un activo insignia (Melgar en Cafam, Piscilago en Colsubsidio) o con una red genérica de hoteles en convenio (Comfama, Comfandi). Ahí está la oportunidad real de diferenciación de Comfenalco Antioquia.</w:t>
      </w:r>
    </w:p>
    <w:p>
      <w:pPr>
        <w:spacing w:after="180" w:line="300"/>
      </w:pPr>
      <w:r>
        <w:rPr>
          <w:color w:val="444444"/>
          <w:sz w:val="22"/>
          <w:szCs w:val="22"/>
        </w:rPr>
        <w:t xml:space="preserve">El caso de Compensar con su coworking y su alianza con WeWork es la prueba de que ya existe demanda real, dentro del sistema de cajas de compensación, por servicios pensados para el trabajador remoto y el nómada digital — y que se puede cobrar tarifa plena por eso sin salirse del marco legal. Lo mismo aplica para el bienestar, el turismo regenerativo y las estadías largas: son tendencias globales que ya encajaban con lo que se había propuesto para cada sede, así que el plan no cambia de rumbo, se sostiene con más evidencia.</w:t>
      </w:r>
    </w:p>
    <w:p>
      <w:pPr>
        <w:pStyle w:val="Heading1"/>
        <w:pBdr>
          <w:bottom w:val="single" w:color="B08628" w:sz="6" w:space="4"/>
        </w:pBdr>
        <w:spacing w:after="160" w:before="320"/>
      </w:pPr>
      <w:r>
        <w:rPr>
          <w:b/>
          <w:bCs/>
          <w:color w:val="1F3B57"/>
          <w:sz w:val="30"/>
          <w:szCs w:val="30"/>
        </w:rPr>
        <w:t xml:space="preserve">Fuentes</w:t>
      </w:r>
    </w:p>
    <w:p>
      <w:pPr>
        <w:spacing w:after="60" w:line="260"/>
      </w:pPr>
      <w:r>
        <w:rPr>
          <w:color w:val="777777"/>
          <w:sz w:val="18"/>
          <w:szCs w:val="18"/>
        </w:rPr>
        <w:t xml:space="preserve">Comfama — Alojamientos en Antioquia y Finca Viva: comfama.com</w:t>
      </w:r>
    </w:p>
    <w:p>
      <w:pPr>
        <w:spacing w:after="60" w:line="260"/>
      </w:pPr>
      <w:r>
        <w:rPr>
          <w:color w:val="777777"/>
          <w:sz w:val="18"/>
          <w:szCs w:val="18"/>
        </w:rPr>
        <w:t xml:space="preserve">Compensar — Turismo, Co Bienestar y alianza WeWork: compensar.com, turismo.compensar.com, revistacompensar.com</w:t>
      </w:r>
    </w:p>
    <w:p>
      <w:pPr>
        <w:spacing w:after="60" w:line="260"/>
      </w:pPr>
      <w:r>
        <w:rPr>
          <w:color w:val="777777"/>
          <w:sz w:val="18"/>
          <w:szCs w:val="18"/>
        </w:rPr>
        <w:t xml:space="preserve">Cafam — Centro de Vacaciones Melgar y convenio GHL: cafam.com.co</w:t>
      </w:r>
    </w:p>
    <w:p>
      <w:pPr>
        <w:spacing w:after="60" w:line="260"/>
      </w:pPr>
      <w:r>
        <w:rPr>
          <w:color w:val="777777"/>
          <w:sz w:val="18"/>
          <w:szCs w:val="18"/>
        </w:rPr>
        <w:t xml:space="preserve">Colsubsidio — Piscilago y Hotel El Alcaraván: colsubsidio.com</w:t>
      </w:r>
    </w:p>
    <w:p>
      <w:pPr>
        <w:spacing w:after="60" w:line="260"/>
      </w:pPr>
      <w:r>
        <w:rPr>
          <w:color w:val="777777"/>
          <w:sz w:val="18"/>
          <w:szCs w:val="18"/>
        </w:rPr>
        <w:t xml:space="preserve">Comfandi / Comfenalco Valle — Hoteles Delagente y convenio interfondos: comfandi.com.co, comfenalcovalle.com.co</w:t>
      </w:r>
    </w:p>
    <w:p>
      <w:pPr>
        <w:spacing w:after="60" w:line="260"/>
      </w:pPr>
      <w:r>
        <w:rPr>
          <w:color w:val="777777"/>
          <w:sz w:val="18"/>
          <w:szCs w:val="18"/>
        </w:rPr>
        <w:t xml:space="preserve">Simon-Kucher, Hotel Online — Tendencias globales de viaje y bienestar 2026</w:t>
      </w:r>
    </w:p>
    <w:p>
      <w:pPr>
        <w:spacing w:after="60" w:line="260"/>
      </w:pPr>
      <w:r>
        <w:rPr>
          <w:color w:val="777777"/>
          <w:sz w:val="18"/>
          <w:szCs w:val="18"/>
        </w:rPr>
        <w:t xml:space="preserve">Colombia Travel, Knowmad Tribe, Nomad Stays — Tendencias de nómadas digitales y workation 2026</w:t>
      </w:r>
    </w:p>
    <w:p>
      <w:pPr>
        <w:spacing w:after="60" w:line="260"/>
      </w:pPr>
      <w:r>
        <w:rPr>
          <w:color w:val="777777"/>
          <w:sz w:val="18"/>
          <w:szCs w:val="18"/>
        </w:rPr>
        <w:t xml:space="preserve">El Viajero Fisgón, HSB Noticias, Inmobiliare — Tendencias de slow travel y turismo regenerativo 2026</w:t>
      </w:r>
    </w:p>
    <w:p>
      <w:pPr>
        <w:spacing w:after="60" w:line="260"/>
      </w:pPr>
      <w:r>
        <w:rPr>
          <w:color w:val="777777"/>
          <w:sz w:val="18"/>
          <w:szCs w:val="18"/>
        </w:rPr>
        <w:t xml:space="preserve">Ley 21 de 1982 y Ley 300 de 1996 — Función Pública (funcionpublica.gov.co)</w:t>
      </w:r>
    </w:p>
    <w:p>
      <w:pPr>
        <w:spacing w:after="60" w:line="260"/>
      </w:pPr>
      <w:r>
        <w:rPr>
          <w:color w:val="777777"/>
          <w:sz w:val="18"/>
          <w:szCs w:val="18"/>
        </w:rPr>
        <w:t xml:space="preserve">Superintendencia del Subsidio Familiar — Categorías de afiliación y Turismo Social: ssf.gov.co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2026-07-20T20:56:05.419Z</dcterms:created>
  <dcterms:modified xsi:type="dcterms:W3CDTF">2026-07-20T20:56:05.420Z</dcterms:modified>
</cp:coreProperties>
</file>

<file path=docProps/custom.xml><?xml version="1.0" encoding="utf-8"?>
<Properties xmlns="http://schemas.openxmlformats.org/officeDocument/2006/custom-properties" xmlns:vt="http://schemas.openxmlformats.org/officeDocument/2006/docPropsVTypes"/>
</file>