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22" w:before="0" w:line="240" w:lineRule="auto"/>
        <w:ind w:left="0" w:right="0" w:firstLine="0"/>
        <w:jc w:val="left"/>
        <w:rPr>
          <w:rFonts w:ascii="Times" w:cs="Times" w:eastAsia="Times" w:hAnsi="Times"/>
          <w:b w:val="1"/>
          <w:bCs w:val="1"/>
          <w:i w:val="0"/>
          <w:iCs w:val="0"/>
          <w:smallCaps w:val="0"/>
          <w:strike w:val="0"/>
          <w:color w:val="000000"/>
          <w:sz w:val="48"/>
          <w:szCs w:val="4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8"/>
          <w:szCs w:val="48"/>
          <w:u w:val="none"/>
          <w:shd w:fill="auto" w:val="clear"/>
          <w:vertAlign w:val="baseline"/>
          <w:rtl w:val="0"/>
        </w:rPr>
        <w:t xml:space="preserve">Tareas pendientes para definir objetivos de Filtración y Análisis S.A.S.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Este documento recoge todo lo que falta resolver antes de poder fijar objetivos medibles y realistas para el proceso de reestructuración. Está organizado por tema. La idea es que lo trabajes con las fuentes internas que correspondan (contabilidad, Pacho, las líderes de área, o revisión propia de archivos) y luego lo subas de vuelta como contexto adicional.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Financiero</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Estado de resultados mensual del año en curso (2026), completo, con desagregación de ingresos, costos y gastos por mes. Es el insumo de mayor prioridad: sin esto no se puede cuantificar la magnitud real de la pérdida sobre la facturación total.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hyperlink r:id="rId7">
        <w:r w:rsidDel="00000000" w:rsidR="00000000" w:rsidRPr="00000000">
          <w:rPr>
            <w:rFonts w:ascii="Times" w:cs="Times" w:eastAsia="Times" w:hAnsi="Times"/>
            <w:color w:val="1155cc"/>
            <w:u w:val="single"/>
            <w:rtl w:val="0"/>
          </w:rPr>
          <w:t xml:space="preserve">https://docs.google.com/spreadsheets/d/1baPiyZyDK9tDGyB4_Gz19iZsQhaRDK63/edit?usp=drive_web&amp;ouid=100427931664529968475&amp;rtpof=true</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Aclarar si el 27 por ciento de rentabilidad bruta que mencionaste es la meta a alcanzar o el margen bruto actual de la empresa. Son dos cosas distintas y determinan si ese objetivo exige esfuerzo real o si ya está cumplido.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color w:val="6aa84f"/>
        </w:rPr>
      </w:pPr>
      <w:r w:rsidDel="00000000" w:rsidR="00000000" w:rsidRPr="00000000">
        <w:rPr>
          <w:rFonts w:ascii="Times" w:cs="Times" w:eastAsia="Times" w:hAnsi="Times"/>
          <w:rtl w:val="0"/>
        </w:rPr>
        <w:tab/>
      </w:r>
      <w:r w:rsidDel="00000000" w:rsidR="00000000" w:rsidRPr="00000000">
        <w:rPr>
          <w:rFonts w:ascii="Times" w:cs="Times" w:eastAsia="Times" w:hAnsi="Times"/>
          <w:color w:val="6aa84f"/>
          <w:rtl w:val="0"/>
        </w:rPr>
        <w:t xml:space="preserve">27% de rentabilidad es el margen actual bruto de la empresa.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Margen bruto actual real, si el 27 por ciento resulta ser la meta y no el dato presente.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Facturación total de al menos los últimos tres a cinco años, para poder calcular tasas de crecimiento reales (descontando inflación) y tener series de tiempo, no solo el dato del año en curso.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rPr>
      </w:pPr>
      <w:hyperlink r:id="rId8">
        <w:r w:rsidDel="00000000" w:rsidR="00000000" w:rsidRPr="00000000">
          <w:rPr>
            <w:rFonts w:ascii="Times" w:cs="Times" w:eastAsia="Times" w:hAnsi="Times"/>
            <w:color w:val="1155cc"/>
            <w:u w:val="single"/>
            <w:rtl w:val="0"/>
          </w:rPr>
          <w:t xml:space="preserve">https://docs.google.com/spreadsheets/d/1MpC2Y74oAWu8_3JaS49UfS6VZ7oXo57H/edit?usp=drive_web&amp;ouid=100427931664529968475&amp;rtpof=true</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Cumplimiento de presupuesto año a año de los últimos cinco años, en cifras (no solo el rango de 75 a 80 por ciento reportado de memoria).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u w:val="no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Valor estimado del inventario obsoleto ("huesos") que el área de compras señaló como causa de pérdidas económicas. Cuantificar cuánto representa sobre el inventario total y sobre el resultado del año.</w:t>
      </w:r>
      <w:r w:rsidDel="00000000" w:rsidR="00000000" w:rsidRPr="00000000">
        <w:rPr>
          <w:rFonts w:ascii="Times" w:cs="Times" w:eastAsia="Times" w:hAnsi="Times"/>
          <w:b w:val="0"/>
          <w:bCs w:val="0"/>
          <w:i w:val="0"/>
          <w:iCs w:val="0"/>
          <w:smallCaps w:val="0"/>
          <w:strike w:val="0"/>
          <w:color w:val="38761d"/>
          <w:sz w:val="24"/>
          <w:szCs w:val="24"/>
          <w:u w:val="none"/>
          <w:shd w:fill="auto" w:val="clear"/>
          <w:vertAlign w:val="baseline"/>
          <w:rtl w:val="0"/>
        </w:rPr>
        <w:t xml:space="preserve"> 47</w:t>
      </w:r>
      <w:r w:rsidDel="00000000" w:rsidR="00000000" w:rsidRPr="00000000">
        <w:rPr>
          <w:rFonts w:ascii="Times" w:cs="Times" w:eastAsia="Times" w:hAnsi="Times"/>
          <w:color w:val="38761d"/>
          <w:rtl w:val="0"/>
        </w:rPr>
        <w:t xml:space="preserve">.000</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u w:val="no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Estructura de costos y gastos fijos versus variables, al menos a nivel general, para entender qué tan sensible es el resultado a cambios en volumen de ventas.</w:t>
      </w:r>
    </w:p>
    <w:p w:rsidR="00000000" w:rsidDel="00000000" w:rsidP="00000000" w:rsidRDefault="00000000" w:rsidRPr="00000000" w14:paraId="00000014">
      <w:pPr>
        <w:numPr>
          <w:ilvl w:val="0"/>
          <w:numId w:val="1"/>
        </w:numPr>
        <w:ind w:left="720" w:hanging="500"/>
      </w:pPr>
      <w:hyperlink r:id="rId9">
        <w:r w:rsidDel="00000000" w:rsidR="00000000" w:rsidRPr="00000000">
          <w:rPr>
            <w:rFonts w:ascii="Times" w:cs="Times" w:eastAsia="Times" w:hAnsi="Times"/>
            <w:color w:val="1155cc"/>
            <w:u w:val="single"/>
            <w:rtl w:val="0"/>
          </w:rPr>
          <w:t xml:space="preserve">https://docs.google.com/spreadsheets/d/1baPiyZyDK9tDGyB4_Gz19iZsQhaRDK63/edit?usp=drive_web&amp;ouid=100427931664529968475&amp;rtpof=true</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u w:val="no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Nivel de cartera vencida o en mora, dado que Administrativa señaló fallas en el control de cartera y facturación electrónica con reprocesos frecuentes de notas crédito.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color w:val="38761d"/>
        </w:rPr>
      </w:pPr>
      <w:r w:rsidDel="00000000" w:rsidR="00000000" w:rsidRPr="00000000">
        <w:rPr>
          <w:rFonts w:ascii="Times" w:cs="Times" w:eastAsia="Times" w:hAnsi="Times"/>
          <w:rtl w:val="0"/>
        </w:rPr>
        <w:tab/>
      </w:r>
      <w:r w:rsidDel="00000000" w:rsidR="00000000" w:rsidRPr="00000000">
        <w:rPr>
          <w:rFonts w:ascii="Times" w:cs="Times" w:eastAsia="Times" w:hAnsi="Times"/>
          <w:color w:val="38761d"/>
          <w:rtl w:val="0"/>
        </w:rPr>
        <w:t xml:space="preserve">No es relevante en este momento el nivel de cartera vencida, la falla que administrativa señaló es que los comerciales no se preocupan por cobrar la cartera y los reprocesos frecuentes son por fallas en el proceso de facturación.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Estructura societaria y mandato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Estructura societaria actual: quién tiene participación, quién tiene voto en decisiones de reestructuración.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6aa84f"/>
        </w:rPr>
      </w:pPr>
      <w:r w:rsidDel="00000000" w:rsidR="00000000" w:rsidRPr="00000000">
        <w:rPr>
          <w:rFonts w:ascii="Times" w:cs="Times" w:eastAsia="Times" w:hAnsi="Times"/>
          <w:color w:val="6aa84f"/>
          <w:rtl w:val="0"/>
        </w:rPr>
        <w:t xml:space="preserve">3 personas de la familia incluido Pacho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Quién queda como representante legal de la empresa.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6aa84f"/>
        </w:rPr>
      </w:pPr>
      <w:r w:rsidDel="00000000" w:rsidR="00000000" w:rsidRPr="00000000">
        <w:rPr>
          <w:rFonts w:ascii="Times" w:cs="Times" w:eastAsia="Times" w:hAnsi="Times"/>
          <w:color w:val="6aa84f"/>
          <w:rtl w:val="0"/>
        </w:rPr>
        <w:t xml:space="preserve">Pacho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Condiciones, plazos o compromisos que haya dejado la mamá de Pacho al momento de entregar la gerencia, y si conserva algún rol de consulta o decisión.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38761d"/>
        </w:rPr>
      </w:pPr>
      <w:r w:rsidDel="00000000" w:rsidR="00000000" w:rsidRPr="00000000">
        <w:rPr>
          <w:rFonts w:ascii="Times" w:cs="Times" w:eastAsia="Times" w:hAnsi="Times"/>
          <w:color w:val="38761d"/>
          <w:rtl w:val="0"/>
        </w:rPr>
        <w:t xml:space="preserve">No conserva rol de decisión si de consulta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Parentesco exacto y circunstancia de la transición entre Beatriz Ángel Campuzano (fundadora, dato público) y la familia de Pacho, para tener claridad completa sobre la línea de sucesión.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6aa84f"/>
        </w:rPr>
      </w:pPr>
      <w:r w:rsidDel="00000000" w:rsidR="00000000" w:rsidRPr="00000000">
        <w:rPr>
          <w:rFonts w:ascii="Times" w:cs="Times" w:eastAsia="Times" w:hAnsi="Times"/>
          <w:color w:val="6aa84f"/>
          <w:rtl w:val="0"/>
        </w:rPr>
        <w:t xml:space="preserve">NO es relevante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Alcance exacto de tu mandato como asesor de Pacho: si tienes autoridad para proponer cambios que Pacho ejecuta directamente, o si tu rol es puramente consultivo y cada recomendación pasa por su aprobación explícita antes de comunicarse a las líderes.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38761d"/>
        </w:rPr>
      </w:pPr>
      <w:r w:rsidDel="00000000" w:rsidR="00000000" w:rsidRPr="00000000">
        <w:rPr>
          <w:rFonts w:ascii="Times" w:cs="Times" w:eastAsia="Times" w:hAnsi="Times"/>
          <w:color w:val="38761d"/>
          <w:rtl w:val="0"/>
        </w:rPr>
        <w:t xml:space="preserve">El rol es consultivo y cada recomendación pasa por aprobación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Grado de involucramiento de Pacho en las decisiones estratégicas durante sus quince años como mano derecha de su mamá: si tenía poder de decisión real o un rol más operativo bajo el mando de ella. Esto determina si Pacho llega como corrector de un patrón en el que no participó o si hay continuidad de las mismas decisiones que llevaron al estancamiento.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u w:val="none"/>
        </w:rPr>
      </w:pPr>
      <w:r w:rsidDel="00000000" w:rsidR="00000000" w:rsidRPr="00000000">
        <w:rPr>
          <w:rFonts w:ascii="Times" w:cs="Times" w:eastAsia="Times" w:hAnsi="Times"/>
          <w:color w:val="38761d"/>
          <w:rtl w:val="0"/>
        </w:rPr>
        <w:t xml:space="preserve">El rol de pacho era más operativo, poder de decisión limitado</w:t>
      </w:r>
      <w:r w:rsidDel="00000000" w:rsidR="00000000" w:rsidRPr="00000000">
        <w:rPr>
          <w:rFonts w:ascii="Times" w:cs="Times" w:eastAsia="Times" w:hAnsi="Times"/>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Proveedores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Confirmar si Merck es efectivamente el proveedor que concentra el 45 por ciento de las ventas, o si esa cifra corresponde a otro proveedor.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6aa84f"/>
        </w:rPr>
      </w:pPr>
      <w:r w:rsidDel="00000000" w:rsidR="00000000" w:rsidRPr="00000000">
        <w:rPr>
          <w:rFonts w:ascii="Times" w:cs="Times" w:eastAsia="Times" w:hAnsi="Times"/>
          <w:color w:val="6aa84f"/>
          <w:rtl w:val="0"/>
        </w:rPr>
        <w:t xml:space="preserve">Confirmado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Margen que deja Merck (o el proveedor concentrado que se confirme) frente al margen promedio del resto del portafolio.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color w:val="38761d"/>
        </w:rPr>
      </w:pPr>
      <w:r w:rsidDel="00000000" w:rsidR="00000000" w:rsidRPr="00000000">
        <w:rPr>
          <w:rFonts w:ascii="Times" w:cs="Times" w:eastAsia="Times" w:hAnsi="Times"/>
          <w:rtl w:val="0"/>
        </w:rPr>
        <w:tab/>
      </w:r>
      <w:r w:rsidDel="00000000" w:rsidR="00000000" w:rsidRPr="00000000">
        <w:rPr>
          <w:rFonts w:ascii="Times" w:cs="Times" w:eastAsia="Times" w:hAnsi="Times"/>
          <w:color w:val="38761d"/>
          <w:rtl w:val="0"/>
        </w:rPr>
        <w:t xml:space="preserve">25%</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Detalle de por qué los costos de Merck están afectando específicamente la línea de microbiología, según lo señalado por compras: si es un tema de lista de precios, tipo de cambio, condiciones de pago, o falta de volumen para negociar mejores condiciones.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color w:val="38761d"/>
        </w:rPr>
      </w:pPr>
      <w:r w:rsidDel="00000000" w:rsidR="00000000" w:rsidRPr="00000000">
        <w:rPr>
          <w:rFonts w:ascii="Times" w:cs="Times" w:eastAsia="Times" w:hAnsi="Times"/>
          <w:rtl w:val="0"/>
        </w:rPr>
        <w:tab/>
      </w:r>
      <w:r w:rsidDel="00000000" w:rsidR="00000000" w:rsidRPr="00000000">
        <w:rPr>
          <w:rFonts w:ascii="Times" w:cs="Times" w:eastAsia="Times" w:hAnsi="Times"/>
          <w:color w:val="38761d"/>
          <w:rtl w:val="0"/>
        </w:rPr>
        <w:t xml:space="preserve">Los precios de la línea de microbiología de merck están demasiado altos frente a la competencia de otras marcas como Condalab, Himedia y Oxoid.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Listado de proveedores por línea de producto, para evaluar la queja de comercial sobre "muchos proveedores para ítems similares" que resta poder de negociación, y contrastarla con la dependencia alta en proveedores puntuales como Merck, Advantec y Across.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color w:val="38761d"/>
        </w:rPr>
      </w:pPr>
      <w:r w:rsidDel="00000000" w:rsidR="00000000" w:rsidRPr="00000000">
        <w:rPr>
          <w:rFonts w:ascii="Times" w:cs="Times" w:eastAsia="Times" w:hAnsi="Times"/>
          <w:color w:val="38761d"/>
          <w:rtl w:val="0"/>
        </w:rPr>
        <w:t xml:space="preserve">No es relevante en este momento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Evaluación formal de proveedores existente (criterios y calificación cuantificada), que compras señaló como algo que no existe hoy de forma estructurada.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38761d"/>
        </w:rPr>
      </w:pPr>
      <w:r w:rsidDel="00000000" w:rsidR="00000000" w:rsidRPr="00000000">
        <w:rPr>
          <w:rFonts w:ascii="Times" w:cs="Times" w:eastAsia="Times" w:hAnsi="Times"/>
          <w:color w:val="38761d"/>
          <w:rtl w:val="0"/>
        </w:rPr>
        <w:t xml:space="preserve">No lo tenemos de forma estructurada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Viabilidad y costo de desarrollar una marca propia de equipos, idea que surgió en la respuesta de MyV dentro de compras y logística, como forma de ganar poder de negociación y soporte técnico propio.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38761d"/>
        </w:rPr>
      </w:pPr>
      <w:r w:rsidDel="00000000" w:rsidR="00000000" w:rsidRPr="00000000">
        <w:rPr>
          <w:rFonts w:ascii="Times" w:cs="Times" w:eastAsia="Times" w:hAnsi="Times"/>
          <w:color w:val="38761d"/>
          <w:rtl w:val="0"/>
        </w:rPr>
        <w:t xml:space="preserve">Más que desarrollar una marca propia es buscar una distribución de marcas de equipos de laboratorio de buena calidad, buen precio, que aún no tengan representación en colombia.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Portafolio de productos y líneas de negocio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Ventas por línea de producto y por sector (de los nueve sectores declarados: academia e investigación, ambiental, cannabis, clínico, farmacéutico y cosmético, alimentos y bebidas, industria química, laboratorios de servicios, minería, universidades), para saber dónde está concentrada la facturación real hoy.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Margen por línea de producto, no solo margen general, para identificar cuáles líneas son rentables y cuáles se sostienen por volumen sin dejar margen real.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Evaluación concreta de qué tan viable es ampliar hacia automatización de procesos y biotecnología y biología molecular aplicable al mercado colombiano: qué inversión requiere, qué capacidad técnica existe hoy en el equipo, y qué proveedores o alianzas se necesitarían.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Estado real de la línea Advantec, que Administrativa señaló como vendida más a través de distribuidores que al consumidor final, para decidir si esa es una oportunidad real o un problema de canal.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Información y planeación de importaciones, en particular de Advantec y Across, que hoy se manejan para stock según lo reportado por compras.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Clientes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Base de clientes recurrentes actual: cuántos son, qué porcentaje de la facturación representan, y desde cuándo son clientes.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Detalle de licitaciones públicas y privadas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perdidas</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en el último año o dos años, con la razón de la pérdida en cada caso (precio, cumplimiento, plazos, certificaciones), ya que universidades, laboratorios de servicio y entidades públicas aparecieron de forma consistente en dos de las tres respuestas como clientes que se están perdiendo.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Información completa de contactos de clientes, que Administrativa señaló como incompleta hoy.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Plan o histórico de recuperación de clientes inactivos, si existe alguno previo, y por qué no ha funcionado si ya se intentó.</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Personal y estructura organizacional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Número exacto de personas a cargo de cada líder de área (comercial, administrativa, compras y logística) y antigüedad de cada una en su cargo.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Manual de funciones y perfiles de cargo, que Administrativa confirmó que no existe hoy de forma completa.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Identificar quién es Angélica, mencionada por Administrativa con un contrato cuyo alcance y actividades no están definidos.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Identificar quién es Ramiro, mencionado por compras como la persona que debe intervenir antes de que ciertos informes de inventario puedan generarse en el sistema APL.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Historial de evaluaciones de desempeño de los últimos dos o tres ciclos, y qué pasó (o no pasó) con los resultados, dado que dos líderes distintas confirmaron por separado que no hay retroalimentación ni consecuencia sobre esos resultados.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Carga de trabajo por persona, para contrastar la queja de la fila de Gerencia en compras y logística sobre sobrecarga desigual entre empleados.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Sistemas y procesos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Alcance real del sistema APL (aparece mencionado como APLINSA y como APL indistintamente): qué módulos tiene, qué tan actualizado está, y por qué varios reportes requieren intervención manual de un administrador en vez de poder generarse directamente por el usuario.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Estado de la integración entre APL y SICOQ, y entre APL y los reportes de Indumil, mencionados como procesos manuales hoy.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Uso actual de inteligencia artificial en la empresa, si hay alguno, para tener un punto de partida real antes de plantear "aprovechar la IA" como objetivo.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color w:val="38761d"/>
        </w:rPr>
      </w:pPr>
      <w:r w:rsidDel="00000000" w:rsidR="00000000" w:rsidRPr="00000000">
        <w:rPr>
          <w:rFonts w:ascii="Times" w:cs="Times" w:eastAsia="Times" w:hAnsi="Times"/>
          <w:rtl w:val="0"/>
        </w:rPr>
        <w:tab/>
      </w:r>
      <w:r w:rsidDel="00000000" w:rsidR="00000000" w:rsidRPr="00000000">
        <w:rPr>
          <w:rFonts w:ascii="Times" w:cs="Times" w:eastAsia="Times" w:hAnsi="Times"/>
          <w:color w:val="38761d"/>
          <w:rtl w:val="0"/>
        </w:rPr>
        <w:t xml:space="preserve">No tenemos usos de l IA en la empresa aún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Aclaraciones metodológicas pendientes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Confirmar por qué la Dirección Comercial no respondió de forma explícita la pregunta de qué cliente se está perdiendo, ya que es el único vacío claro en su respuesta y contrasta con lo extensa y estructurada que fue en el resto del documento.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color w:val="38761d"/>
        </w:rPr>
      </w:pPr>
      <w:r w:rsidDel="00000000" w:rsidR="00000000" w:rsidRPr="00000000">
        <w:rPr>
          <w:rFonts w:ascii="Times" w:cs="Times" w:eastAsia="Times" w:hAnsi="Times"/>
          <w:color w:val="38761d"/>
          <w:rtl w:val="0"/>
        </w:rPr>
        <w:t xml:space="preserve">Ya la contestó en el formato de todos reunidos.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color w:val="000000"/>
          <w:sz w:val="24"/>
          <w:szCs w:val="24"/>
          <w:u w:val="no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Decidir si vale la pena repetir el ejercicio de las cinco preguntas de forma conjunta con las tres líderes en una sola sesión, en lugar de por separado, para contrastar directamente los puntos donde se acusan entre áreas (compras con ventas, ventas con compras, contabilidad con logística) y ver si sostienen las mismas versiones cara a cara.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Times" w:cs="Times" w:eastAsia="Times" w:hAnsi="Times"/>
          <w:u w:val="none"/>
        </w:rPr>
      </w:pPr>
      <w:r w:rsidDel="00000000" w:rsidR="00000000" w:rsidRPr="00000000">
        <w:rPr>
          <w:rFonts w:ascii="Times" w:cs="Times" w:eastAsia="Times" w:hAnsi="Times"/>
          <w:color w:val="38761d"/>
          <w:rtl w:val="0"/>
        </w:rPr>
        <w:t xml:space="preserve">Se recopiló la información de todas en un mismo archivo las celdas de fondo verde son los puntos comunes entre las tres</w:t>
      </w:r>
      <w:r w:rsidDel="00000000" w:rsidR="00000000" w:rsidRPr="00000000">
        <w:rPr>
          <w:rFonts w:ascii="Times" w:cs="Times" w:eastAsia="Times" w:hAnsi="Times"/>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Fonts w:ascii="Times" w:cs="Times" w:eastAsia="Times" w:hAnsi="Times"/>
          <w:rtl w:val="0"/>
        </w:rPr>
        <w:tab/>
      </w:r>
      <w:hyperlink r:id="rId10">
        <w:r w:rsidDel="00000000" w:rsidR="00000000" w:rsidRPr="00000000">
          <w:rPr>
            <w:rFonts w:ascii="Times" w:cs="Times" w:eastAsia="Times" w:hAnsi="Times"/>
            <w:color w:val="1155cc"/>
            <w:u w:val="single"/>
            <w:rtl w:val="0"/>
          </w:rPr>
          <w:t xml:space="preserve">https://docs.google.com/spreadsheets/d/18VTuM4GxPdGHXlM1DrFIYgqn9TOVvhkD/edit?usp=drive_web&amp;ouid=100427931664529968475&amp;rtpof=true</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w:cs="Times" w:eastAsia="Times" w:hAnsi="Times"/>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Cómo usarlo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Prioriza primero el estado de resultados mensual, la aclaración sobre el margen del 27 por ciento, y la confirmación sobre Merck: esos tres puntos son los que más rápido permiten pasar de objetivos direccionales a objetivos medibles. El resto se puede ir completando en paralelo mientras avanza el resto del proceso.</w:t>
      </w:r>
      <w:r w:rsidDel="00000000" w:rsidR="00000000" w:rsidRPr="00000000">
        <w:rPr>
          <w:rtl w:val="0"/>
        </w:rPr>
      </w:r>
    </w:p>
    <w:sectPr>
      <w:headerReference r:id="rId11" w:type="default"/>
      <w:footerReference r:id="rId12"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500"/>
      </w:pPr>
      <w:rPr>
        <w:rFonts w:ascii="Times" w:cs="Times" w:eastAsia="Times" w:hAnsi="Times"/>
        <w:b w:val="0"/>
        <w:bCs w:val="0"/>
        <w:i w:val="0"/>
        <w:iCs w:val="0"/>
        <w:smallCaps w:val="0"/>
        <w:strike w:val="0"/>
        <w:shd w:fill="auto" w:val="clear"/>
        <w:vertAlign w:val="baseline"/>
      </w:rPr>
    </w:lvl>
    <w:lvl w:ilvl="1">
      <w:start w:val="1"/>
      <w:numFmt w:val="bullet"/>
      <w:lvlText w:val="•"/>
      <w:lvlJc w:val="left"/>
      <w:pPr>
        <w:ind w:left="940" w:hanging="500"/>
      </w:pPr>
      <w:rPr>
        <w:rFonts w:ascii="Times" w:cs="Times" w:eastAsia="Times" w:hAnsi="Times"/>
        <w:b w:val="0"/>
        <w:bCs w:val="0"/>
        <w:i w:val="0"/>
        <w:iCs w:val="0"/>
        <w:smallCaps w:val="0"/>
        <w:strike w:val="0"/>
        <w:shd w:fill="auto" w:val="clear"/>
        <w:vertAlign w:val="baseline"/>
      </w:rPr>
    </w:lvl>
    <w:lvl w:ilvl="2">
      <w:start w:val="1"/>
      <w:numFmt w:val="bullet"/>
      <w:lvlText w:val="•"/>
      <w:lvlJc w:val="left"/>
      <w:pPr>
        <w:ind w:left="1160" w:hanging="500"/>
      </w:pPr>
      <w:rPr>
        <w:rFonts w:ascii="Times" w:cs="Times" w:eastAsia="Times" w:hAnsi="Times"/>
        <w:b w:val="0"/>
        <w:bCs w:val="0"/>
        <w:i w:val="0"/>
        <w:iCs w:val="0"/>
        <w:smallCaps w:val="0"/>
        <w:strike w:val="0"/>
        <w:shd w:fill="auto" w:val="clear"/>
        <w:vertAlign w:val="baseline"/>
      </w:rPr>
    </w:lvl>
    <w:lvl w:ilvl="3">
      <w:start w:val="1"/>
      <w:numFmt w:val="bullet"/>
      <w:lvlText w:val="•"/>
      <w:lvlJc w:val="left"/>
      <w:pPr>
        <w:ind w:left="1380" w:hanging="500"/>
      </w:pPr>
      <w:rPr>
        <w:rFonts w:ascii="Times" w:cs="Times" w:eastAsia="Times" w:hAnsi="Times"/>
        <w:b w:val="0"/>
        <w:bCs w:val="0"/>
        <w:i w:val="0"/>
        <w:iCs w:val="0"/>
        <w:smallCaps w:val="0"/>
        <w:strike w:val="0"/>
        <w:shd w:fill="auto" w:val="clear"/>
        <w:vertAlign w:val="baseline"/>
      </w:rPr>
    </w:lvl>
    <w:lvl w:ilvl="4">
      <w:start w:val="1"/>
      <w:numFmt w:val="bullet"/>
      <w:lvlText w:val="•"/>
      <w:lvlJc w:val="left"/>
      <w:pPr>
        <w:ind w:left="1600" w:hanging="500"/>
      </w:pPr>
      <w:rPr>
        <w:rFonts w:ascii="Times" w:cs="Times" w:eastAsia="Times" w:hAnsi="Times"/>
        <w:b w:val="0"/>
        <w:bCs w:val="0"/>
        <w:i w:val="0"/>
        <w:iCs w:val="0"/>
        <w:smallCaps w:val="0"/>
        <w:strike w:val="0"/>
        <w:shd w:fill="auto" w:val="clear"/>
        <w:vertAlign w:val="baseline"/>
      </w:rPr>
    </w:lvl>
    <w:lvl w:ilvl="5">
      <w:start w:val="1"/>
      <w:numFmt w:val="bullet"/>
      <w:lvlText w:val="•"/>
      <w:lvlJc w:val="left"/>
      <w:pPr>
        <w:ind w:left="1820" w:hanging="500"/>
      </w:pPr>
      <w:rPr>
        <w:rFonts w:ascii="Times" w:cs="Times" w:eastAsia="Times" w:hAnsi="Times"/>
        <w:b w:val="0"/>
        <w:bCs w:val="0"/>
        <w:i w:val="0"/>
        <w:iCs w:val="0"/>
        <w:smallCaps w:val="0"/>
        <w:strike w:val="0"/>
        <w:shd w:fill="auto" w:val="clear"/>
        <w:vertAlign w:val="baseline"/>
      </w:rPr>
    </w:lvl>
    <w:lvl w:ilvl="6">
      <w:start w:val="1"/>
      <w:numFmt w:val="bullet"/>
      <w:lvlText w:val="•"/>
      <w:lvlJc w:val="left"/>
      <w:pPr>
        <w:ind w:left="2040" w:hanging="500"/>
      </w:pPr>
      <w:rPr>
        <w:rFonts w:ascii="Times" w:cs="Times" w:eastAsia="Times" w:hAnsi="Times"/>
        <w:b w:val="0"/>
        <w:bCs w:val="0"/>
        <w:i w:val="0"/>
        <w:iCs w:val="0"/>
        <w:smallCaps w:val="0"/>
        <w:strike w:val="0"/>
        <w:shd w:fill="auto" w:val="clear"/>
        <w:vertAlign w:val="baseline"/>
      </w:rPr>
    </w:lvl>
    <w:lvl w:ilvl="7">
      <w:start w:val="1"/>
      <w:numFmt w:val="bullet"/>
      <w:lvlText w:val="•"/>
      <w:lvlJc w:val="left"/>
      <w:pPr>
        <w:ind w:left="2260" w:hanging="500"/>
      </w:pPr>
      <w:rPr>
        <w:rFonts w:ascii="Times" w:cs="Times" w:eastAsia="Times" w:hAnsi="Times"/>
        <w:b w:val="0"/>
        <w:bCs w:val="0"/>
        <w:i w:val="0"/>
        <w:iCs w:val="0"/>
        <w:smallCaps w:val="0"/>
        <w:strike w:val="0"/>
        <w:shd w:fill="auto" w:val="clear"/>
        <w:vertAlign w:val="baseline"/>
      </w:rPr>
    </w:lvl>
    <w:lvl w:ilvl="8">
      <w:start w:val="1"/>
      <w:numFmt w:val="bullet"/>
      <w:lvlText w:val="•"/>
      <w:lvlJc w:val="left"/>
      <w:pPr>
        <w:ind w:left="2480" w:hanging="500"/>
      </w:pPr>
      <w:rPr>
        <w:rFonts w:ascii="Times" w:cs="Times" w:eastAsia="Times" w:hAnsi="Times"/>
        <w:b w:val="0"/>
        <w:bCs w:val="0"/>
        <w:i w:val="0"/>
        <w:iCs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Predeterminado">
    <w:name w:val="Predeterminado"/>
    <w:next w:val="Predeterminado"/>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s-ES_tradnl"/>
      <w14:textFill>
        <w14:solidFill>
          <w14:srgbClr w14:val="000000"/>
        </w14:solidFill>
      </w14:textFill>
      <w14:textOutline>
        <w14:noFill/>
      </w14:textOutline>
    </w:rPr>
  </w:style>
  <w:style w:type="numbering" w:styleId="Viñeta">
    <w:name w:val="Viñeta"/>
    <w:pPr>
      <w:numPr>
        <w:numId w:val="1"/>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spreadsheets/d/18VTuM4GxPdGHXlM1DrFIYgqn9TOVvhkD/edit?usp=drive_web&amp;ouid=100427931664529968475&amp;rtpof=true" TargetMode="External"/><Relationship Id="rId12" Type="http://schemas.openxmlformats.org/officeDocument/2006/relationships/footer" Target="footer1.xml"/><Relationship Id="rId9" Type="http://schemas.openxmlformats.org/officeDocument/2006/relationships/hyperlink" Target="https://docs.google.com/spreadsheets/d/1baPiyZyDK9tDGyB4_Gz19iZsQhaRDK63/edit?usp=drive_web&amp;ouid=100427931664529968475&amp;rtpof=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baPiyZyDK9tDGyB4_Gz19iZsQhaRDK63/edit?usp=drive_web&amp;ouid=100427931664529968475&amp;rtpof=true" TargetMode="External"/><Relationship Id="rId8" Type="http://schemas.openxmlformats.org/officeDocument/2006/relationships/hyperlink" Target="https://docs.google.com/spreadsheets/d/1MpC2Y74oAWu8_3JaS49UfS6VZ7oXo57H/edit?usp=drive_web&amp;ouid=100427931664529968475&amp;rtpof=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1Q7e2RzS+iITVmd12/3pqPds/Q==">CgMxLjA4AHIhMWVMUGhVSU9Ha1BlN3dtdm9MaUFkYWh4aWVMUVBXZDV5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