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240"/>
      </w:pPr>
      <w:r>
        <w:rPr>
          <w:b/>
          <w:bCs/>
          <w:color w:val="000000"/>
          <w:sz w:val="32"/>
          <w:szCs w:val="32"/>
        </w:rPr>
        <w:t xml:space="preserve">Revisión con sombrero negro de los avances de Pacho</w:t>
      </w:r>
    </w:p>
    <w:p>
      <w:pPr>
        <w:spacing w:after="160" w:line="276"/>
      </w:pPr>
      <w:r>
        <w:rPr>
          <w:i w:val="false"/>
          <w:iCs w:val="false"/>
          <w:color w:val="000000"/>
        </w:rPr>
        <w:t xml:space="preserve">Documento de trabajo para Luis Felipe. Revisión crítica de las respuestas de Pacho al backlog, al 28 de septiembre de 2026.</w:t>
      </w:r>
    </w:p>
    <w:p>
      <w:pPr>
        <w:spacing w:after="160" w:line="276"/>
      </w:pPr>
      <w:r>
        <w:rPr>
          <w:i w:val="false"/>
          <w:iCs w:val="false"/>
          <w:color w:val="000000"/>
        </w:rPr>
        <w:t xml:space="preserve">Sombrero negro significa buscar lo que puede fallar. No es un juicio sobre el conjunto del trabajo ni una recomendación de frenar. Hay avance real: cuatro decisiones que llevaban semanas trabadas se tomaron, y una de ellas aporta un hecho concreto que no teníamos. Lo que sigue es lo que hay que resolver antes de construir encima.</w:t>
      </w:r>
    </w:p>
    <w:p>
      <w:pPr>
        <w:pStyle w:val="Heading1"/>
        <w:pBdr>
          <w:bottom w:val="single" w:color="999999" w:sz="4" w:space="4"/>
        </w:pBdr>
        <w:spacing w:after="160" w:before="360"/>
      </w:pPr>
      <w:r>
        <w:rPr>
          <w:b/>
          <w:bCs/>
          <w:color w:val="000000"/>
          <w:sz w:val="26"/>
          <w:szCs w:val="26"/>
        </w:rPr>
        <w:t xml:space="preserve">Lo que respondió Pacho</w:t>
      </w:r>
    </w:p>
    <w:p>
      <w:pPr>
        <w:spacing w:after="160" w:line="276"/>
      </w:pPr>
      <w:r>
        <w:rPr>
          <w:i w:val="false"/>
          <w:iCs w:val="false"/>
          <w:color w:val="000000"/>
        </w:rPr>
        <w:t xml:space="preserve">Fijó el margen mínimo permitido en 18 por ciento. Decidió que la fuente del tablero es APL, y explicó la brecha de margen diciendo que APL no contabiliza los descuentos adicionales de proveedor por cumplimiento de metas y la contabilidad sí. Marcó "Aprobado" sobre las fichas del área comercial. Escribió que el manual queda aprobado, publicado y socializado. Indicó que se cargó un archivo nuevo de clientes y marcas en el Drive. Y respondió que sí hay disponibilidad para componente variable, de hasta un salario mensual, entregado al final del año.</w:t>
      </w:r>
    </w:p>
    <w:p>
      <w:pPr>
        <w:spacing w:after="160" w:line="276"/>
      </w:pPr>
      <w:r>
        <w:rPr>
          <w:i w:val="false"/>
          <w:iCs w:val="false"/>
          <w:color w:val="000000"/>
        </w:rPr>
        <w:t xml:space="preserve">También cambió una línea del documento: donde decía que los cinco frentes fueron definidos por Luis Felipe, ahora dice que fueron definidos por Pacho. Eso no es un problema, es lo contrario: si el gerente se apropia del objetivo, el proceso tiene dueño. Vale registrarlo.</w:t>
      </w:r>
    </w:p>
    <w:p>
      <w:pPr>
        <w:pStyle w:val="Heading1"/>
        <w:pBdr>
          <w:bottom w:val="single" w:color="999999" w:sz="4" w:space="4"/>
        </w:pBdr>
        <w:spacing w:after="160" w:before="360"/>
      </w:pPr>
      <w:r>
        <w:rPr>
          <w:b/>
          <w:bCs/>
          <w:color w:val="000000"/>
          <w:sz w:val="26"/>
          <w:szCs w:val="26"/>
        </w:rPr>
        <w:t xml:space="preserve">El problema que afecta a las cuatro respuestas por igual</w:t>
      </w:r>
    </w:p>
    <w:p>
      <w:pPr>
        <w:spacing w:after="160" w:line="276"/>
      </w:pPr>
      <w:r>
        <w:rPr>
          <w:i w:val="false"/>
          <w:iCs w:val="false"/>
          <w:color w:val="000000"/>
        </w:rPr>
        <w:t xml:space="preserve">Ninguna de las cuatro decisiones produjo el entregable que el ítem pedía. Todas son una línea escrita dentro del backlog.</w:t>
      </w:r>
    </w:p>
    <w:p>
      <w:pPr>
        <w:spacing w:after="160" w:line="276"/>
      </w:pPr>
      <w:r>
        <w:rPr>
          <w:i w:val="false"/>
          <w:iCs w:val="false"/>
          <w:color w:val="000000"/>
        </w:rPr>
        <w:t xml:space="preserve">El ítem 1.9 pedía una "política de margen mínimo escrita". Lo que hay es la frase "margen mínimo 18%". El ítem 2.6 pedía una "nota escrita con la explicación de la brecha y la fuente elegida". Lo que hay es una frase. El ítem 5.1 pedía una "decisión escrita con el monto". Lo que hay es "podría ser de hasta un salario". El ítem 1.6 pedía "constancia de socialización". No hay constancia.</w:t>
      </w:r>
    </w:p>
    <w:p>
      <w:pPr>
        <w:spacing w:after="160" w:line="276"/>
      </w:pPr>
      <w:r>
        <w:rPr>
          <w:i w:val="false"/>
          <w:iCs w:val="false"/>
          <w:color w:val="000000"/>
        </w:rPr>
        <w:t xml:space="preserve">La regla del propio backlog dice que un ítem se cierra únicamente cuando el entregable nombrado existe como archivo. Por esa regla, </w:t>
      </w:r>
      <w:r>
        <w:rPr>
          <w:b/>
          <w:bCs/>
          <w:i w:val="false"/>
          <w:iCs w:val="false"/>
          <w:color w:val="000000"/>
        </w:rPr>
        <w:t xml:space="preserve">ninguna de las cuatro está cerrada.</w:t>
      </w:r>
      <w:r>
        <w:rPr>
          <w:i w:val="false"/>
          <w:iCs w:val="false"/>
          <w:color w:val="000000"/>
        </w:rPr>
        <w:t xml:space="preserve"> Están contestadas, que no es lo mismo que decididas.</w:t>
      </w:r>
    </w:p>
    <w:p>
      <w:pPr>
        <w:spacing w:after="160" w:line="276"/>
      </w:pPr>
      <w:r>
        <w:rPr>
          <w:i w:val="false"/>
          <w:iCs w:val="false"/>
          <w:color w:val="000000"/>
        </w:rPr>
        <w:t xml:space="preserve">La diferencia no es burocrática y conviene verla con un caso. La Dirección Administrativa tiene ahora la autoridad de autorizar ventas por debajo del margen permitido. Mañana llega un negocio al 19 por ciento y esa directora tiene que decidir. Con la frase "margen mínimo 18%" no puede: no sabe si el 18 se mide en APL o en contabilidad, no sabe si aplica por negocio o por promedio del mes, no sabe si aplica igual a consumibles que a equipos, no sabe si hay tope de cuántos negocios pueden ir al piso, y no sabe desde cuándo rige. Va a terminar preguntándole a Pacho, que es exactamente la consulta doble que el diagnóstico identificó como problema.</w:t>
      </w:r>
    </w:p>
    <w:p>
      <w:pPr>
        <w:spacing w:after="160" w:line="276"/>
      </w:pPr>
      <w:r>
        <w:rPr>
          <w:i w:val="false"/>
          <w:iCs w:val="false"/>
          <w:color w:val="000000"/>
        </w:rPr>
        <w:t xml:space="preserve">Este es el mismo patrón de 2024 con otra forma. Entonces las casillas quedaron vacías. Ahora se están llenando con palabras, pero sin el documento que las hace aplicables.</w:t>
      </w:r>
    </w:p>
    <w:p>
      <w:pPr>
        <w:pStyle w:val="Heading1"/>
        <w:pBdr>
          <w:bottom w:val="single" w:color="999999" w:sz="4" w:space="4"/>
        </w:pBdr>
        <w:spacing w:after="160" w:before="360"/>
      </w:pPr>
      <w:r>
        <w:rPr>
          <w:b/>
          <w:bCs/>
          <w:color w:val="000000"/>
          <w:sz w:val="26"/>
          <w:szCs w:val="26"/>
        </w:rPr>
        <w:t xml:space="preserve">El 18 por ciento: cinco problemas, uno de ellos grave</w:t>
      </w:r>
    </w:p>
    <w:p>
      <w:pPr>
        <w:spacing w:after="160" w:line="276"/>
      </w:pPr>
      <w:r>
        <w:rPr>
          <w:b/>
          <w:bCs/>
          <w:i w:val="false"/>
          <w:iCs w:val="false"/>
          <w:color w:val="000000"/>
        </w:rPr>
        <w:t xml:space="preserve">Primero, y es el que invalida la decisión tal como está: no se dijo en qué fuente se mide.</w:t>
      </w:r>
      <w:r>
        <w:rPr>
          <w:i w:val="false"/>
          <w:iCs w:val="false"/>
          <w:color w:val="000000"/>
        </w:rPr>
        <w:t xml:space="preserve"> El mismo día en que se cambió la fuente de medición a APL, que lee 2,66 puntos por debajo de la contabilidad, se fijó un piso sin decir a cuál de las dos se refiere. Un 18 por ciento medido en APL equivale a 20,66 por ciento contable. Un 18 por ciento medido en contabilidad equivale a 15,34 por ciento en APL. Son dos reglas distintas y la diferencia entre ellas es de más de cinco puntos. Hasta que no se especifique, la política no se puede aplicar.</w:t>
      </w:r>
    </w:p>
    <w:p>
      <w:pPr>
        <w:spacing w:after="160" w:line="276"/>
      </w:pPr>
      <w:r>
        <w:rPr>
          <w:b/>
          <w:bCs/>
          <w:i w:val="false"/>
          <w:iCs w:val="false"/>
          <w:color w:val="000000"/>
        </w:rPr>
        <w:t xml:space="preserve">Segundo, el tamaño de la franja que abre.</w:t>
      </w:r>
      <w:r>
        <w:rPr>
          <w:i w:val="false"/>
          <w:iCs w:val="false"/>
          <w:color w:val="000000"/>
        </w:rPr>
        <w:t xml:space="preserve"> El margen promedio de la empresa en 2025 fue 24,98 por ciento en APL. Un piso de 18 abre una franja de casi siete puntos de negociación autorizada por escrito. El problema de un piso bajo no es que el negocio que hoy vende al 25 se vaya al 18; es que un vendedor que negocia al 24 ahora sabe que tiene seis puntos de margen para ceder y que cederlos está permitido por política. Los pisos no protegen el margen, lo anclan.</w:t>
      </w:r>
    </w:p>
    <w:p>
      <w:pPr>
        <w:spacing w:after="160" w:line="276"/>
      </w:pPr>
      <w:r>
        <w:rPr>
          <w:i w:val="false"/>
          <w:iCs w:val="false"/>
          <w:color w:val="000000"/>
        </w:rPr>
        <w:t xml:space="preserve">Qué cuesta esa deriva, sobre las ventas de 2025 y contra la utilidad neta de ese año, que fue la mejor de la década: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FEFEF" w:color="auto" w:val="clear"/>
            <w:tcMar>
              <w:top w:type="dxa" w:w="60"/>
              <w:left w:type="dxa" w:w="90"/>
              <w:bottom w:type="dxa" w:w="60"/>
              <w:right w:type="dxa" w:w="90"/>
            </w:tcMar>
          </w:tcPr>
          <w:p>
            <w:pPr>
              <w:spacing w:after="0"/>
            </w:pPr>
            <w:r>
              <w:rPr>
                <w:b/>
                <w:bCs/>
                <w:color w:val="000000"/>
                <w:sz w:val="18"/>
                <w:szCs w:val="18"/>
              </w:rPr>
              <w:t xml:space="preserve">Deriva del margen</w:t>
            </w:r>
          </w:p>
        </w:tc>
        <w:tc>
          <w:tcPr>
            <w:tcW w:type="dxa" w:w="3200"/>
            <w:shd w:fill="EFEFEF" w:color="auto" w:val="clear"/>
            <w:tcMar>
              <w:top w:type="dxa" w:w="60"/>
              <w:left w:type="dxa" w:w="90"/>
              <w:bottom w:type="dxa" w:w="60"/>
              <w:right w:type="dxa" w:w="90"/>
            </w:tcMar>
          </w:tcPr>
          <w:p>
            <w:pPr>
              <w:spacing w:after="0"/>
            </w:pPr>
            <w:r>
              <w:rPr>
                <w:b/>
                <w:bCs/>
                <w:color w:val="000000"/>
                <w:sz w:val="18"/>
                <w:szCs w:val="18"/>
              </w:rPr>
              <w:t xml:space="preserve">Utilidad bruta perdida</w:t>
            </w:r>
          </w:p>
        </w:tc>
        <w:tc>
          <w:tcPr>
            <w:tcW w:type="dxa" w:w="2960"/>
            <w:shd w:fill="EFEFEF" w:color="auto" w:val="clear"/>
            <w:tcMar>
              <w:top w:type="dxa" w:w="60"/>
              <w:left w:type="dxa" w:w="90"/>
              <w:bottom w:type="dxa" w:w="60"/>
              <w:right w:type="dxa" w:w="90"/>
            </w:tcMar>
          </w:tcPr>
          <w:p>
            <w:pPr>
              <w:spacing w:after="0"/>
            </w:pPr>
            <w:r>
              <w:rPr>
                <w:b/>
                <w:bCs/>
                <w:color w:val="000000"/>
                <w:sz w:val="18"/>
                <w:szCs w:val="18"/>
              </w:rPr>
              <w:t xml:space="preserve">Como % de la utilidad neta de 2025</w:t>
            </w:r>
          </w:p>
        </w:tc>
      </w:tr>
      <w:tr>
        <w:trPr>
          <w:tblHeader w:val="false"/>
        </w:trPr>
        <w:tc>
          <w:tcPr>
            <w:tcW w:type="dxa" w:w="3200"/>
            <w:tcMar>
              <w:top w:type="dxa" w:w="60"/>
              <w:left w:type="dxa" w:w="90"/>
              <w:bottom w:type="dxa" w:w="60"/>
              <w:right w:type="dxa" w:w="90"/>
            </w:tcMar>
          </w:tcPr>
          <w:p>
            <w:pPr>
              <w:spacing w:after="0"/>
            </w:pPr>
            <w:r>
              <w:rPr>
                <w:i w:val="false"/>
                <w:iCs w:val="false"/>
                <w:color w:val="000000"/>
                <w:sz w:val="18"/>
                <w:szCs w:val="18"/>
              </w:rPr>
              <w:t xml:space="preserve">1 punto</w:t>
            </w:r>
          </w:p>
        </w:tc>
        <w:tc>
          <w:tcPr>
            <w:tcW w:type="dxa" w:w="3200"/>
            <w:tcMar>
              <w:top w:type="dxa" w:w="60"/>
              <w:left w:type="dxa" w:w="90"/>
              <w:bottom w:type="dxa" w:w="60"/>
              <w:right w:type="dxa" w:w="90"/>
            </w:tcMar>
          </w:tcPr>
          <w:p>
            <w:pPr>
              <w:spacing w:after="0"/>
            </w:pPr>
            <w:r>
              <w:rPr>
                <w:i w:val="false"/>
                <w:iCs w:val="false"/>
                <w:color w:val="000000"/>
                <w:sz w:val="18"/>
                <w:szCs w:val="18"/>
              </w:rPr>
              <w:t xml:space="preserve">122 millones</w:t>
            </w:r>
          </w:p>
        </w:tc>
        <w:tc>
          <w:tcPr>
            <w:tcW w:type="dxa" w:w="2960"/>
            <w:tcMar>
              <w:top w:type="dxa" w:w="60"/>
              <w:left w:type="dxa" w:w="90"/>
              <w:bottom w:type="dxa" w:w="60"/>
              <w:right w:type="dxa" w:w="90"/>
            </w:tcMar>
          </w:tcPr>
          <w:p>
            <w:pPr>
              <w:spacing w:after="0"/>
            </w:pPr>
            <w:r>
              <w:rPr>
                <w:i w:val="false"/>
                <w:iCs w:val="false"/>
                <w:color w:val="000000"/>
                <w:sz w:val="18"/>
                <w:szCs w:val="18"/>
              </w:rPr>
              <w:t xml:space="preserve">17,8%</w:t>
            </w:r>
          </w:p>
        </w:tc>
      </w:tr>
      <w:tr>
        <w:trPr>
          <w:tblHeader w:val="false"/>
        </w:trPr>
        <w:tc>
          <w:tcPr>
            <w:tcW w:type="dxa" w:w="3200"/>
            <w:tcMar>
              <w:top w:type="dxa" w:w="60"/>
              <w:left w:type="dxa" w:w="90"/>
              <w:bottom w:type="dxa" w:w="60"/>
              <w:right w:type="dxa" w:w="90"/>
            </w:tcMar>
          </w:tcPr>
          <w:p>
            <w:pPr>
              <w:spacing w:after="0"/>
            </w:pPr>
            <w:r>
              <w:rPr>
                <w:i w:val="false"/>
                <w:iCs w:val="false"/>
                <w:color w:val="000000"/>
                <w:sz w:val="18"/>
                <w:szCs w:val="18"/>
              </w:rPr>
              <w:t xml:space="preserve">2 puntos</w:t>
            </w:r>
          </w:p>
        </w:tc>
        <w:tc>
          <w:tcPr>
            <w:tcW w:type="dxa" w:w="3200"/>
            <w:tcMar>
              <w:top w:type="dxa" w:w="60"/>
              <w:left w:type="dxa" w:w="90"/>
              <w:bottom w:type="dxa" w:w="60"/>
              <w:right w:type="dxa" w:w="90"/>
            </w:tcMar>
          </w:tcPr>
          <w:p>
            <w:pPr>
              <w:spacing w:after="0"/>
            </w:pPr>
            <w:r>
              <w:rPr>
                <w:i w:val="false"/>
                <w:iCs w:val="false"/>
                <w:color w:val="000000"/>
                <w:sz w:val="18"/>
                <w:szCs w:val="18"/>
              </w:rPr>
              <w:t xml:space="preserve">245 millones</w:t>
            </w:r>
          </w:p>
        </w:tc>
        <w:tc>
          <w:tcPr>
            <w:tcW w:type="dxa" w:w="2960"/>
            <w:tcMar>
              <w:top w:type="dxa" w:w="60"/>
              <w:left w:type="dxa" w:w="90"/>
              <w:bottom w:type="dxa" w:w="60"/>
              <w:right w:type="dxa" w:w="90"/>
            </w:tcMar>
          </w:tcPr>
          <w:p>
            <w:pPr>
              <w:spacing w:after="0"/>
            </w:pPr>
            <w:r>
              <w:rPr>
                <w:i w:val="false"/>
                <w:iCs w:val="false"/>
                <w:color w:val="000000"/>
                <w:sz w:val="18"/>
                <w:szCs w:val="18"/>
              </w:rPr>
              <w:t xml:space="preserve">35,7%</w:t>
            </w:r>
          </w:p>
        </w:tc>
      </w:tr>
      <w:tr>
        <w:trPr>
          <w:tblHeader w:val="false"/>
        </w:trPr>
        <w:tc>
          <w:tcPr>
            <w:tcW w:type="dxa" w:w="3200"/>
            <w:tcMar>
              <w:top w:type="dxa" w:w="60"/>
              <w:left w:type="dxa" w:w="90"/>
              <w:bottom w:type="dxa" w:w="60"/>
              <w:right w:type="dxa" w:w="90"/>
            </w:tcMar>
          </w:tcPr>
          <w:p>
            <w:pPr>
              <w:spacing w:after="0"/>
            </w:pPr>
            <w:r>
              <w:rPr>
                <w:i w:val="false"/>
                <w:iCs w:val="false"/>
                <w:color w:val="000000"/>
                <w:sz w:val="18"/>
                <w:szCs w:val="18"/>
              </w:rPr>
              <w:t xml:space="preserve">3 puntos</w:t>
            </w:r>
          </w:p>
        </w:tc>
        <w:tc>
          <w:tcPr>
            <w:tcW w:type="dxa" w:w="3200"/>
            <w:tcMar>
              <w:top w:type="dxa" w:w="60"/>
              <w:left w:type="dxa" w:w="90"/>
              <w:bottom w:type="dxa" w:w="60"/>
              <w:right w:type="dxa" w:w="90"/>
            </w:tcMar>
          </w:tcPr>
          <w:p>
            <w:pPr>
              <w:spacing w:after="0"/>
            </w:pPr>
            <w:r>
              <w:rPr>
                <w:i w:val="false"/>
                <w:iCs w:val="false"/>
                <w:color w:val="000000"/>
                <w:sz w:val="18"/>
                <w:szCs w:val="18"/>
              </w:rPr>
              <w:t xml:space="preserve">367 millones</w:t>
            </w:r>
          </w:p>
        </w:tc>
        <w:tc>
          <w:tcPr>
            <w:tcW w:type="dxa" w:w="2960"/>
            <w:tcMar>
              <w:top w:type="dxa" w:w="60"/>
              <w:left w:type="dxa" w:w="90"/>
              <w:bottom w:type="dxa" w:w="60"/>
              <w:right w:type="dxa" w:w="90"/>
            </w:tcMar>
          </w:tcPr>
          <w:p>
            <w:pPr>
              <w:spacing w:after="0"/>
            </w:pPr>
            <w:r>
              <w:rPr>
                <w:i w:val="false"/>
                <w:iCs w:val="false"/>
                <w:color w:val="000000"/>
                <w:sz w:val="18"/>
                <w:szCs w:val="18"/>
              </w:rPr>
              <w:t xml:space="preserve">53,5%</w:t>
            </w:r>
          </w:p>
        </w:tc>
      </w:tr>
      <w:tr>
        <w:trPr>
          <w:tblHeader w:val="false"/>
        </w:trPr>
        <w:tc>
          <w:tcPr>
            <w:tcW w:type="dxa" w:w="3200"/>
            <w:tcMar>
              <w:top w:type="dxa" w:w="60"/>
              <w:left w:type="dxa" w:w="90"/>
              <w:bottom w:type="dxa" w:w="60"/>
              <w:right w:type="dxa" w:w="90"/>
            </w:tcMar>
          </w:tcPr>
          <w:p>
            <w:pPr>
              <w:spacing w:after="0"/>
            </w:pPr>
            <w:r>
              <w:rPr>
                <w:i w:val="false"/>
                <w:iCs w:val="false"/>
                <w:color w:val="000000"/>
                <w:sz w:val="18"/>
                <w:szCs w:val="18"/>
              </w:rPr>
              <w:t xml:space="preserve">5 puntos</w:t>
            </w:r>
          </w:p>
        </w:tc>
        <w:tc>
          <w:tcPr>
            <w:tcW w:type="dxa" w:w="3200"/>
            <w:tcMar>
              <w:top w:type="dxa" w:w="60"/>
              <w:left w:type="dxa" w:w="90"/>
              <w:bottom w:type="dxa" w:w="60"/>
              <w:right w:type="dxa" w:w="90"/>
            </w:tcMar>
          </w:tcPr>
          <w:p>
            <w:pPr>
              <w:spacing w:after="0"/>
            </w:pPr>
            <w:r>
              <w:rPr>
                <w:i w:val="false"/>
                <w:iCs w:val="false"/>
                <w:color w:val="000000"/>
                <w:sz w:val="18"/>
                <w:szCs w:val="18"/>
              </w:rPr>
              <w:t xml:space="preserve">612 millones</w:t>
            </w:r>
          </w:p>
        </w:tc>
        <w:tc>
          <w:tcPr>
            <w:tcW w:type="dxa" w:w="2960"/>
            <w:tcMar>
              <w:top w:type="dxa" w:w="60"/>
              <w:left w:type="dxa" w:w="90"/>
              <w:bottom w:type="dxa" w:w="60"/>
              <w:right w:type="dxa" w:w="90"/>
            </w:tcMar>
          </w:tcPr>
          <w:p>
            <w:pPr>
              <w:spacing w:after="0"/>
            </w:pPr>
            <w:r>
              <w:rPr>
                <w:i w:val="false"/>
                <w:iCs w:val="false"/>
                <w:color w:val="000000"/>
                <w:sz w:val="18"/>
                <w:szCs w:val="18"/>
              </w:rPr>
              <w:t xml:space="preserve">89,2%</w:t>
            </w:r>
          </w:p>
        </w:tc>
      </w:tr>
      <w:tr>
        <w:trPr>
          <w:tblHeader w:val="false"/>
        </w:trPr>
        <w:tc>
          <w:tcPr>
            <w:tcW w:type="dxa" w:w="3200"/>
            <w:tcMar>
              <w:top w:type="dxa" w:w="60"/>
              <w:left w:type="dxa" w:w="90"/>
              <w:bottom w:type="dxa" w:w="60"/>
              <w:right w:type="dxa" w:w="90"/>
            </w:tcMar>
          </w:tcPr>
          <w:p>
            <w:pPr>
              <w:spacing w:after="0"/>
            </w:pPr>
            <w:r>
              <w:rPr>
                <w:i w:val="false"/>
                <w:iCs w:val="false"/>
                <w:color w:val="000000"/>
                <w:sz w:val="18"/>
                <w:szCs w:val="18"/>
              </w:rPr>
              <w:t xml:space="preserve">7 puntos, la franja completa</w:t>
            </w:r>
          </w:p>
        </w:tc>
        <w:tc>
          <w:tcPr>
            <w:tcW w:type="dxa" w:w="3200"/>
            <w:tcMar>
              <w:top w:type="dxa" w:w="60"/>
              <w:left w:type="dxa" w:w="90"/>
              <w:bottom w:type="dxa" w:w="60"/>
              <w:right w:type="dxa" w:w="90"/>
            </w:tcMar>
          </w:tcPr>
          <w:p>
            <w:pPr>
              <w:spacing w:after="0"/>
            </w:pPr>
            <w:r>
              <w:rPr>
                <w:i w:val="false"/>
                <w:iCs w:val="false"/>
                <w:color w:val="000000"/>
                <w:sz w:val="18"/>
                <w:szCs w:val="18"/>
              </w:rPr>
              <w:t xml:space="preserve">857 millones</w:t>
            </w:r>
          </w:p>
        </w:tc>
        <w:tc>
          <w:tcPr>
            <w:tcW w:type="dxa" w:w="2960"/>
            <w:tcMar>
              <w:top w:type="dxa" w:w="60"/>
              <w:left w:type="dxa" w:w="90"/>
              <w:bottom w:type="dxa" w:w="60"/>
              <w:right w:type="dxa" w:w="90"/>
            </w:tcMar>
          </w:tcPr>
          <w:p>
            <w:pPr>
              <w:spacing w:after="0"/>
            </w:pPr>
            <w:r>
              <w:rPr>
                <w:i w:val="false"/>
                <w:iCs w:val="false"/>
                <w:color w:val="000000"/>
                <w:sz w:val="18"/>
                <w:szCs w:val="18"/>
              </w:rPr>
              <w:t xml:space="preserve">124,9%</w:t>
            </w:r>
          </w:p>
        </w:tc>
      </w:tr>
    </w:tbl>
    <w:p>
      <w:pPr>
        <w:spacing w:after="200"/>
      </w:pPr>
      <w:r>
        <w:rPr>
          <w:color w:val="000000"/>
        </w:rPr>
        <w:t xml:space="preserve"/>
      </w:r>
    </w:p>
    <w:p>
      <w:pPr>
        <w:spacing w:after="160" w:line="276"/>
      </w:pPr>
      <w:r>
        <w:rPr>
          <w:i w:val="false"/>
          <w:iCs w:val="false"/>
          <w:color w:val="000000"/>
        </w:rPr>
        <w:t xml:space="preserve">Una deriva de dos puntos, que es menos de un tercio de lo que el piso autoriza, se come más de un tercio de la mejor utilidad neta que ha tenido la empresa en diez años.</w:t>
      </w:r>
    </w:p>
    <w:p>
      <w:pPr>
        <w:spacing w:after="160" w:line="276"/>
      </w:pPr>
      <w:r>
        <w:rPr>
          <w:b/>
          <w:bCs/>
          <w:i w:val="false"/>
          <w:iCs w:val="false"/>
          <w:color w:val="000000"/>
        </w:rPr>
        <w:t xml:space="preserve">Tercero, dónde queda el piso frente al punto de equilibrio.</w:t>
      </w:r>
      <w:r>
        <w:rPr>
          <w:i w:val="false"/>
          <w:iCs w:val="false"/>
          <w:color w:val="000000"/>
        </w:rPr>
        <w:t xml:space="preserve"> Los gastos operacionales de 2025 fueron el 21,38 por ciento de las ventas. Ese es el margen bruto que la empresa necesita solo para cubrir su operación. Si el 18 por ciento se mide en APL, equivale a 20,66 por ciento contable, es decir, medio punto por debajo del equilibrio. Cada venta hecha exactamente en el piso no deja nada; cubre la operación y no aporta utilidad.</w:t>
      </w:r>
    </w:p>
    <w:p>
      <w:pPr>
        <w:spacing w:after="160" w:line="276"/>
      </w:pPr>
      <w:r>
        <w:rPr>
          <w:i w:val="false"/>
          <w:iCs w:val="false"/>
          <w:color w:val="000000"/>
        </w:rPr>
        <w:t xml:space="preserve">Hay un argumento legítimo en contra que conviene reconocer: el gasto operacional no es todo variable, así que un negocio incremental al 18 por ciento sí aporta a absorber costo fijo y es mejor que no hacerlo. Ese argumento es válido para volumen marginal y ocasional. No es válido para un piso general de rutina. La distinción hay que escribirla, porque si el 18 es el nivel autorizado normal, la empresa está autorizando por escrito vender sin utilidad.</w:t>
      </w:r>
    </w:p>
    <w:p>
      <w:pPr>
        <w:spacing w:after="160" w:line="276"/>
      </w:pPr>
      <w:r>
        <w:rPr>
          <w:b/>
          <w:bCs/>
          <w:i w:val="false"/>
          <w:iCs w:val="false"/>
          <w:color w:val="000000"/>
        </w:rPr>
        <w:t xml:space="preserve">Cuarto, contradice las metas del manual de funciones.</w:t>
      </w:r>
      <w:r>
        <w:rPr>
          <w:i w:val="false"/>
          <w:iCs w:val="false"/>
          <w:color w:val="000000"/>
        </w:rPr>
        <w:t xml:space="preserve"> El manual fija meta de margen bruto de 27,5 por ciento para gerencia, dirección comercial, asesores externos y dirección de compras. La fuente elegida es APL, que nunca ha mostrado más de 26,27 por ciento. Y el piso permitido es 18. Tres números que no forman un sistema coherente: una meta que la fuente no puede producir, y un piso siete puntos por debajo del promedio actual. Quien lea eso va a concluir, con razón, que las cifras no son en serio.</w:t>
      </w:r>
    </w:p>
    <w:p>
      <w:pPr>
        <w:spacing w:after="160" w:line="276"/>
      </w:pPr>
      <w:r>
        <w:rPr>
          <w:b/>
          <w:bCs/>
          <w:i w:val="false"/>
          <w:iCs w:val="false"/>
          <w:color w:val="000000"/>
        </w:rPr>
        <w:t xml:space="preserve">Quinto, casi nada del negocio actual queda por debajo.</w:t>
      </w:r>
      <w:r>
        <w:rPr>
          <w:i w:val="false"/>
          <w:iCs w:val="false"/>
          <w:color w:val="000000"/>
        </w:rPr>
        <w:t xml:space="preserve"> Con datos de 2026, todas las líneas están por encima de 18: equipos 19,2, consumibles 26,3, mobiliario 32,9. Por segmento solo empresas de servicio público, que es el 4 por ciento de las ventas, queda debajo con 17,1. Un umbral que el 96 por ciento del negocio ya cumple no obliga a decidir nada. Su único efecto práctico es autorizar hacia abajo.</w:t>
      </w:r>
    </w:p>
    <w:p>
      <w:pPr>
        <w:pStyle w:val="Heading1"/>
        <w:pBdr>
          <w:bottom w:val="single" w:color="999999" w:sz="4" w:space="4"/>
        </w:pBdr>
        <w:spacing w:after="160" w:before="360"/>
      </w:pPr>
      <w:r>
        <w:rPr>
          <w:b/>
          <w:bCs/>
          <w:color w:val="000000"/>
          <w:sz w:val="26"/>
          <w:szCs w:val="26"/>
        </w:rPr>
        <w:t xml:space="preserve">La decisión de APL: el argumento que la sustenta la contradice</w:t>
      </w:r>
    </w:p>
    <w:p>
      <w:pPr>
        <w:spacing w:after="160" w:line="276"/>
      </w:pPr>
      <w:r>
        <w:rPr>
          <w:i w:val="false"/>
          <w:iCs w:val="false"/>
          <w:color w:val="000000"/>
        </w:rPr>
        <w:t xml:space="preserve">La explicación de Pacho es concreta, verosímil y aporta un hecho que no teníamos: la brecha viene de los descuentos adicionales de proveedor por cumplimiento de metas, que la contabilidad reconoce y APL no. Es una buena respuesta y hay que decirlo.</w:t>
      </w:r>
    </w:p>
    <w:p>
      <w:pPr>
        <w:spacing w:after="160" w:line="276"/>
      </w:pPr>
      <w:r>
        <w:rPr>
          <w:i w:val="false"/>
          <w:iCs w:val="false"/>
          <w:color w:val="000000"/>
        </w:rPr>
        <w:t xml:space="preserve">El problema es que ese mismo argumento apunta en contra de la decisión que acompaña.</w:t>
      </w:r>
    </w:p>
    <w:p>
      <w:pPr>
        <w:spacing w:after="160" w:line="276"/>
      </w:pPr>
      <w:r>
        <w:rPr>
          <w:i w:val="false"/>
          <w:iCs w:val="false"/>
          <w:color w:val="000000"/>
        </w:rPr>
        <w:t xml:space="preserve">Si APL no ve esos descuentos, entonces </w:t>
      </w:r>
      <w:r>
        <w:rPr>
          <w:b/>
          <w:bCs/>
          <w:i w:val="false"/>
          <w:iCs w:val="false"/>
          <w:color w:val="000000"/>
        </w:rPr>
        <w:t xml:space="preserve">APL subestima el margen real de forma sistemática y conocida, en unos 325 millones al año.</w:t>
      </w:r>
      <w:r>
        <w:rPr>
          <w:i w:val="false"/>
          <w:iCs w:val="false"/>
          <w:color w:val="000000"/>
        </w:rPr>
        <w:t xml:space="preserve"> Elegir APL como fuente del tablero significa dirigir la empresa con un número que se sabe equivocado en una dirección conocida.</w:t>
      </w:r>
    </w:p>
    <w:p>
      <w:pPr>
        <w:spacing w:after="160" w:line="276"/>
      </w:pPr>
      <w:r>
        <w:rPr>
          <w:i w:val="false"/>
          <w:iCs w:val="false"/>
          <w:color w:val="000000"/>
        </w:rPr>
        <w:t xml:space="preserve">Y hay algo peor que la subestimación. Esos descuentos no son ruido contable: se ganan cumpliendo metas de compra con proveedores. Son una palanca gestionable, y en un negocio de distribución con 45 por ciento de concentración en un proveedor, probablemente una de las más importantes que existen. Son la diferencia entre un margen de 25 y uno de 28. Al elegir APL, el tablero deja invisible precisamente la palanca que convierte volumen de compra en margen. Nadie gestiona lo que nadie ve.</w:t>
      </w:r>
    </w:p>
    <w:p>
      <w:pPr>
        <w:spacing w:after="160" w:line="276"/>
      </w:pPr>
      <w:r>
        <w:rPr>
          <w:i w:val="false"/>
          <w:iCs w:val="false"/>
          <w:color w:val="000000"/>
        </w:rPr>
        <w:t xml:space="preserve">Esto abre una pregunta que no estaba sobre la mesa y que vale más que la decisión misma: </w:t>
      </w:r>
      <w:r>
        <w:rPr>
          <w:b/>
          <w:bCs/>
          <w:i w:val="false"/>
          <w:iCs w:val="false"/>
          <w:color w:val="000000"/>
        </w:rPr>
        <w:t xml:space="preserve">cuánto valieron esos descuentos en 2024, 2025 y 2026.</w:t>
      </w:r>
      <w:r>
        <w:rPr>
          <w:i w:val="false"/>
          <w:iCs w:val="false"/>
          <w:color w:val="000000"/>
        </w:rPr>
        <w:t xml:space="preserve"> Si son 325 millones al año, son casi la mitad de la utilidad neta de 2025. Saber si están creciendo, estables o cayendo es información de primer orden, y hoy nadie la está mirando porque vive fuera del sistema operativo.</w:t>
      </w:r>
    </w:p>
    <w:p>
      <w:pPr>
        <w:spacing w:after="160" w:line="276"/>
      </w:pPr>
      <w:r>
        <w:rPr>
          <w:i w:val="false"/>
          <w:iCs w:val="false"/>
          <w:color w:val="000000"/>
        </w:rPr>
        <w:t xml:space="preserve">La salida no es descartar APL. APL es el único que desagrega por línea, segmento y cliente, y eso es insustituible. Lo razonable es medir volumen, mezcla y margen por línea con APL, y conciliar contra el cierre contable una vez al mes, con el descuento de proveedor como partida explícita de esa conciliación. Así el tablero opera con APL y nadie pierde de vista los 325 millones.</w:t>
      </w:r>
    </w:p>
    <w:p>
      <w:pPr>
        <w:pStyle w:val="Heading1"/>
        <w:pBdr>
          <w:bottom w:val="single" w:color="999999" w:sz="4" w:space="4"/>
        </w:pBdr>
        <w:spacing w:after="160" w:before="360"/>
      </w:pPr>
      <w:r>
        <w:rPr>
          <w:b/>
          <w:bCs/>
          <w:color w:val="000000"/>
          <w:sz w:val="26"/>
          <w:szCs w:val="26"/>
        </w:rPr>
        <w:t xml:space="preserve">La aprobación del manual: la señal temprana sonó en la primera revisión</w:t>
      </w:r>
    </w:p>
    <w:p>
      <w:pPr>
        <w:spacing w:after="160" w:line="276"/>
      </w:pPr>
      <w:r>
        <w:rPr>
          <w:i w:val="false"/>
          <w:iCs w:val="false"/>
          <w:color w:val="000000"/>
        </w:rPr>
        <w:t xml:space="preserve">En el backlog del 10 de septiembre escribí como cuarto camino triste: "que el manual se apruebe pero no se socialice, y quede como archivo en SharePoint que nadie leyó. La señal temprana es que 1.6 se dé por cerrado sin constancia de socialización a las tres áreas."</w:t>
      </w:r>
    </w:p>
    <w:p>
      <w:pPr>
        <w:spacing w:after="160" w:line="276"/>
      </w:pPr>
      <w:r>
        <w:rPr>
          <w:i w:val="false"/>
          <w:iCs w:val="false"/>
          <w:color w:val="000000"/>
        </w:rPr>
        <w:t xml:space="preserve">Dieciocho días después, el ítem 1.6 dice "manual aprobado, publicado y socializado", sin constancia, sin fecha, sin lista de quién lo recibió. La señal temprana que definí se activó en la primera revisión.</w:t>
      </w:r>
    </w:p>
    <w:p>
      <w:pPr>
        <w:spacing w:after="160" w:line="276"/>
      </w:pPr>
      <w:r>
        <w:rPr>
          <w:i w:val="false"/>
          <w:iCs w:val="false"/>
          <w:color w:val="000000"/>
        </w:rPr>
        <w:t xml:space="preserve">Hay además un problema de secuencia. El ítem 1.7, que es incorporar al formato FOTH01 los tres campos que le faltan, sigue abierto. Entonces lo que se socializó no puede contener esos tres campos, y uno de ellos es el de decisiones que cada cargo puede tomar sin consultar. Ese campo era el antídoto contra el temor y la falta de empoderamiento que reportó el diagnóstico, y era la razón de fondo por la que valía la pena hacer el manual. Si se socializó la versión sin él, se socializó una descripción de tareas.</w:t>
      </w:r>
    </w:p>
    <w:p>
      <w:pPr>
        <w:spacing w:after="160" w:line="276"/>
      </w:pPr>
      <w:r>
        <w:rPr>
          <w:i w:val="false"/>
          <w:iCs w:val="false"/>
          <w:color w:val="000000"/>
        </w:rPr>
        <w:t xml:space="preserve">Y la aprobación es ambigua. La palabra "Aprobado" aparece una sola vez, bajo el ítem 1.2, que son las fichas comerciales. No aparece bajo 1.3, 1.4 ni 1.5. El 1.5 es la ficha de gerencia con la función de control financiero, que es la que falló más claramente en la primera entrega, donde no había una sola mención a margen bruto, EBITDA, utilidad neta ni liquidez, y es la única donde Pacho es a la vez responsable y aprobador. Sigue sin marca.</w:t>
      </w:r>
    </w:p>
    <w:p>
      <w:pPr>
        <w:pStyle w:val="Heading1"/>
        <w:pBdr>
          <w:bottom w:val="single" w:color="999999" w:sz="4" w:space="4"/>
        </w:pBdr>
        <w:spacing w:after="160" w:before="360"/>
      </w:pPr>
      <w:r>
        <w:rPr>
          <w:b/>
          <w:bCs/>
          <w:color w:val="000000"/>
          <w:sz w:val="26"/>
          <w:szCs w:val="26"/>
        </w:rPr>
        <w:t xml:space="preserve">El bono de un salario: no es una decisión y el ciclo es de quince meses</w:t>
      </w:r>
    </w:p>
    <w:p>
      <w:pPr>
        <w:spacing w:after="160" w:line="276"/>
      </w:pPr>
      <w:r>
        <w:rPr>
          <w:i w:val="false"/>
          <w:iCs w:val="false"/>
          <w:color w:val="000000"/>
        </w:rPr>
        <w:t xml:space="preserve">"Podría ser de hasta un salario" no es un monto, es un techo condicional. El ítem pedía una decisión escrita con el monto. Un esquema de evaluación no se puede diseñar sobre un "podría ser de hasta".</w:t>
      </w:r>
    </w:p>
    <w:p>
      <w:pPr>
        <w:spacing w:after="160" w:line="276"/>
      </w:pPr>
      <w:r>
        <w:rPr>
          <w:i w:val="false"/>
          <w:iCs w:val="false"/>
          <w:color w:val="000000"/>
        </w:rPr>
        <w:t xml:space="preserve">Tampoco está calculado lo que cuesta. Con veinte empleados, un salario adicional para todos equivale a un mes completo de nómina. No tengo la cifra de nómina, así que no puedo cuantificarlo, y ese es exactamente el punto: se comprometió un beneficio sin que nadie haya calculado su costo, en una empresa que cerró el primer semestre en punto de equilibrio y donde el 92 por ciento del deterioro del año viene de gasto operacional. Antes de anunciarlo hay que saber cuánto es y contra qué resultado se paga.</w:t>
      </w:r>
    </w:p>
    <w:p>
      <w:pPr>
        <w:spacing w:after="160" w:line="276"/>
      </w:pPr>
      <w:r>
        <w:rPr>
          <w:i w:val="false"/>
          <w:iCs w:val="false"/>
          <w:color w:val="000000"/>
        </w:rPr>
        <w:t xml:space="preserve">El problema de fondo es otro. La enfermedad diagnosticada es que la evaluación no tiene consecuencia. La cura propuesta es un pago anual en diciembre. Si el esquema se diseña en diciembre de 2026 y se aplica durante 2027, la primera vez que un empleado sienta una consecuencia será diciembre de 2027. Son quince meses de ciclo de retroalimentación. Para corregir una conducta, quince meses es casi lo mismo que ninguna consecuencia.</w:t>
      </w:r>
    </w:p>
    <w:p>
      <w:pPr>
        <w:spacing w:after="160" w:line="276"/>
      </w:pPr>
      <w:r>
        <w:rPr>
          <w:i w:val="false"/>
          <w:iCs w:val="false"/>
          <w:color w:val="000000"/>
        </w:rPr>
        <w:t xml:space="preserve">Y un bono anual pagado en diciembre carga una salida de caja en el mes en que se cierran licitaciones y se hacen compras anticipadas, que es cuando la caja está más tensa.</w:t>
      </w:r>
    </w:p>
    <w:p>
      <w:pPr>
        <w:spacing w:after="160" w:line="276"/>
      </w:pPr>
      <w:r>
        <w:rPr>
          <w:i w:val="false"/>
          <w:iCs w:val="false"/>
          <w:color w:val="000000"/>
        </w:rPr>
        <w:t xml:space="preserve">Si el objetivo es que la evaluación tenga consecuencia, lo que importa no es el tamaño del premio sino su frecuencia y su previsibilidad. Un componente trimestral pequeño, atado a dos o tres indicadores del propio cargo que ya están en el manual, cambia conducta mucho más que un salario entero entregado una vez al año por criterios que se definirán después. Y cuesta lo mismo o menos.</w:t>
      </w:r>
    </w:p>
    <w:p>
      <w:pPr>
        <w:pStyle w:val="Heading1"/>
        <w:pBdr>
          <w:bottom w:val="single" w:color="999999" w:sz="4" w:space="4"/>
        </w:pBdr>
        <w:spacing w:after="160" w:before="360"/>
      </w:pPr>
      <w:r>
        <w:rPr>
          <w:b/>
          <w:bCs/>
          <w:color w:val="000000"/>
          <w:sz w:val="26"/>
          <w:szCs w:val="26"/>
        </w:rPr>
        <w:t xml:space="preserve">Lo que no se respondió</w:t>
      </w:r>
    </w:p>
    <w:p>
      <w:pPr>
        <w:spacing w:after="160" w:line="276"/>
      </w:pPr>
      <w:r>
        <w:rPr>
          <w:i w:val="false"/>
          <w:iCs w:val="false"/>
          <w:color w:val="000000"/>
        </w:rPr>
        <w:t xml:space="preserve">De las cuatro decisiones que propuse resolver antes del 30 de septiembre, hoy 28, tres están contestadas con las reservas de arriba y una no.</w:t>
      </w:r>
    </w:p>
    <w:p>
      <w:pPr>
        <w:spacing w:after="160" w:line="276"/>
      </w:pPr>
      <w:r>
        <w:rPr>
          <w:i w:val="false"/>
          <w:iCs w:val="false"/>
          <w:color w:val="000000"/>
        </w:rPr>
        <w:t xml:space="preserve">Sigue abierto el ítem 1.8, ratificar el cargo de asesor de licitaciones en el organigrama. Sigue abierto el 1.10, el umbral de diferencia de inventario y el rango de descuento delegable a cada asesor. Ese segundo se volvió más urgente, no menos: con un piso de 18 por ciento escrito y sin rango de descuento delegado, cada asesor opera hoy con la franja completa de siete puntos y sin regla de hasta dónde puede llegar solo.</w:t>
      </w:r>
    </w:p>
    <w:p>
      <w:pPr>
        <w:spacing w:after="160" w:line="276"/>
      </w:pPr>
      <w:r>
        <w:rPr>
          <w:i w:val="false"/>
          <w:iCs w:val="false"/>
          <w:color w:val="000000"/>
        </w:rPr>
        <w:t xml:space="preserve">Y siguen sin asignarse las fechas concretas. Es la cuarta vez que queda pendiente. Es literalmente la columna que quedó vacía en la planeación de 2024, y el backlog se escribió para no repetir eso.</w:t>
      </w:r>
    </w:p>
    <w:p>
      <w:pPr>
        <w:spacing w:after="160" w:line="276"/>
      </w:pPr>
      <w:r>
        <w:rPr>
          <w:i w:val="false"/>
          <w:iCs w:val="false"/>
          <w:color w:val="000000"/>
        </w:rPr>
        <w:t xml:space="preserve">Los bloques 4 y 6 no registran ningún movimiento. El 6.1, que quedó explícitamente desbloqueado el 10 de septiembre, sigue sin arrancar dieciocho días después.</w:t>
      </w:r>
    </w:p>
    <w:p>
      <w:pPr>
        <w:pStyle w:val="Heading1"/>
        <w:pBdr>
          <w:bottom w:val="single" w:color="999999" w:sz="4" w:space="4"/>
        </w:pBdr>
        <w:spacing w:after="160" w:before="360"/>
      </w:pPr>
      <w:r>
        <w:rPr>
          <w:b/>
          <w:bCs/>
          <w:color w:val="000000"/>
          <w:sz w:val="26"/>
          <w:szCs w:val="26"/>
        </w:rPr>
        <w:t xml:space="preserve">El calendario ya no da para tres cierres</w:t>
      </w:r>
    </w:p>
    <w:p>
      <w:pPr>
        <w:spacing w:after="160" w:line="276"/>
      </w:pPr>
      <w:r>
        <w:rPr>
          <w:i w:val="false"/>
          <w:iCs w:val="false"/>
          <w:color w:val="000000"/>
        </w:rPr>
        <w:t xml:space="preserve">El 10 de septiembre escribí que para tener tres cierres mensuales comparables antes de diciembre, el primero tenía que correr sobre el cierre de septiembre, en la primera semana de octubre, y que para eso los ítems 3.1 y 3.2 debían estar resueltos antes del 30 de septiembre.</w:t>
      </w:r>
    </w:p>
    <w:p>
      <w:pPr>
        <w:spacing w:after="160" w:line="276"/>
      </w:pPr>
      <w:r>
        <w:rPr>
          <w:i w:val="false"/>
          <w:iCs w:val="false"/>
          <w:color w:val="000000"/>
        </w:rPr>
        <w:t xml:space="preserve">Hoy es 28 de septiembre. El 3.1 está desbloqueado pero su entregable, la lista de indicadores con dueño y fuente, no existe. El 3.2 pide una plantilla en uso con el primer mes cargado y tampoco existe. Construir ambos y ejecutar el primer cierre sobre septiembre en los próximos siete días no es imposible, pero nada indica que esté en marcha.</w:t>
      </w:r>
    </w:p>
    <w:p>
      <w:pPr>
        <w:spacing w:after="160" w:line="276"/>
      </w:pPr>
      <w:r>
        <w:rPr>
          <w:i w:val="false"/>
          <w:iCs w:val="false"/>
          <w:color w:val="000000"/>
        </w:rPr>
        <w:t xml:space="preserve">El resultado realista es el primer cierre sobre octubre, ejecutado en noviembre, y dos cierres en el año en lugar de tres. Conviene aceptarlo ahora y decidir explícitamente si se corre el arranque o si se hace el esfuerzo de meter el cierre de septiembre, en vez de descubrirlo en diciembre.</w:t>
      </w:r>
    </w:p>
    <w:p>
      <w:pPr>
        <w:pStyle w:val="Heading1"/>
        <w:pBdr>
          <w:bottom w:val="single" w:color="999999" w:sz="4" w:space="4"/>
        </w:pBdr>
        <w:spacing w:after="160" w:before="360"/>
      </w:pPr>
      <w:r>
        <w:rPr>
          <w:b/>
          <w:bCs/>
          <w:color w:val="000000"/>
          <w:sz w:val="26"/>
          <w:szCs w:val="26"/>
        </w:rPr>
        <w:t xml:space="preserve">Una corrección a mi propio análisis</w:t>
      </w:r>
    </w:p>
    <w:p>
      <w:pPr>
        <w:spacing w:after="160" w:line="276"/>
      </w:pPr>
      <w:r>
        <w:rPr>
          <w:i w:val="false"/>
          <w:iCs w:val="false"/>
          <w:color w:val="000000"/>
        </w:rPr>
        <w:t xml:space="preserve">En la verificación del bloque 2 escribí que la brecha de margen "casi desaparece en 2026", comparando el 26,69 por ciento del estado de resultados del primer semestre con el 26,27 por ciento de APL hasta septiembre, y de ahí inferí que podía tratarse de un ajuste puntual en el cierre de 2025.</w:t>
      </w:r>
    </w:p>
    <w:p>
      <w:pPr>
        <w:spacing w:after="160" w:line="276"/>
      </w:pPr>
      <w:r>
        <w:rPr>
          <w:i w:val="false"/>
          <w:iCs w:val="false"/>
          <w:color w:val="000000"/>
        </w:rPr>
        <w:t xml:space="preserve">Esa comparación mezcla periodos distintos, un semestre contra ocho meses, y por lo tanto no prueba nada. La inferencia que saqué de ahí no se sostiene. La brecha está verificada para 2025, donde ambas fuentes cubren el año completo. Para 2026 no hay comparación limpia todavía.</w:t>
      </w:r>
    </w:p>
    <w:p>
      <w:pPr>
        <w:spacing w:after="160" w:line="276"/>
      </w:pPr>
      <w:r>
        <w:rPr>
          <w:i w:val="false"/>
          <w:iCs w:val="false"/>
          <w:color w:val="000000"/>
        </w:rPr>
        <w:t xml:space="preserve">La explicación de Pacho sobre los descuentos de proveedor es más consistente con los datos que mi hipótesis del ajuste puntual, y la doy por buena mientras no aparezca evidencia en contra. Queda por cuantificar.</w:t>
      </w:r>
    </w:p>
    <w:p>
      <w:pPr>
        <w:pStyle w:val="Heading1"/>
        <w:pBdr>
          <w:bottom w:val="single" w:color="999999" w:sz="4" w:space="4"/>
        </w:pBdr>
        <w:spacing w:after="160" w:before="360"/>
      </w:pPr>
      <w:r>
        <w:rPr>
          <w:b/>
          <w:bCs/>
          <w:color w:val="000000"/>
          <w:sz w:val="26"/>
          <w:szCs w:val="26"/>
        </w:rPr>
        <w:t xml:space="preserve">Qué propondría</w:t>
      </w:r>
    </w:p>
    <w:p>
      <w:pPr>
        <w:spacing w:after="160" w:line="276"/>
      </w:pPr>
      <w:r>
        <w:rPr>
          <w:i w:val="false"/>
          <w:iCs w:val="false"/>
          <w:color w:val="000000"/>
        </w:rPr>
        <w:t xml:space="preserve">Convertir las cuatro respuestas en los cuatro documentos que los ítems pedían. Son documentos de una página cada uno y sin ellos las decisiones no son aplicables por nadie que no sea Pacho.</w:t>
      </w:r>
    </w:p>
    <w:p>
      <w:pPr>
        <w:spacing w:after="160" w:line="276"/>
      </w:pPr>
      <w:r>
        <w:rPr>
          <w:i w:val="false"/>
          <w:iCs w:val="false"/>
          <w:color w:val="000000"/>
        </w:rPr>
        <w:t xml:space="preserve">En la política de margen mínimo, definir cinco cosas además del número: en qué fuente se mide, si aplica por negocio o por promedio mensual, si es igual para todas las líneas, qué porcentaje máximo de la venta del mes puede ir al piso, y desde cuándo rige. Y revisar el número: 18 por ciento medido en APL queda medio punto por debajo del punto de equilibrio operativo de la empresa, y abre siete puntos de franja autorizada sobre el promedio actual.</w:t>
      </w:r>
    </w:p>
    <w:p>
      <w:pPr>
        <w:spacing w:after="160" w:line="276"/>
      </w:pPr>
      <w:r>
        <w:rPr>
          <w:i w:val="false"/>
          <w:iCs w:val="false"/>
          <w:color w:val="000000"/>
        </w:rPr>
        <w:t xml:space="preserve">Alinear la meta de margen del manual con la fuente elegida. Hoy la meta es 27,5 y la fuente nunca ha llegado a 26,3.</w:t>
      </w:r>
    </w:p>
    <w:p>
      <w:pPr>
        <w:spacing w:after="160" w:line="276"/>
      </w:pPr>
      <w:r>
        <w:rPr>
          <w:i w:val="false"/>
          <w:iCs w:val="false"/>
          <w:color w:val="000000"/>
        </w:rPr>
        <w:t xml:space="preserve">Pedirle a contabilidad la cifra de descuentos de proveedor de 2024, 2025 y 2026, e incorporarla como partida explícita de la conciliación mensual entre APL y el cierre contable. Son del orden de 325 millones al año y hoy nadie los mira.</w:t>
      </w:r>
    </w:p>
    <w:p>
      <w:pPr>
        <w:spacing w:after="160" w:line="276"/>
      </w:pPr>
      <w:r>
        <w:rPr>
          <w:i w:val="false"/>
          <w:iCs w:val="false"/>
          <w:color w:val="000000"/>
        </w:rPr>
        <w:t xml:space="preserve">Producir la constancia de socialización del manual, o reconocer que no se ha socializado. Y marcar explícitamente la aprobación de los ítems 1.3, 1.4 y 1.5, en particular la ficha de gerencia.</w:t>
      </w:r>
    </w:p>
    <w:p>
      <w:pPr>
        <w:spacing w:after="160" w:line="276"/>
      </w:pPr>
      <w:r>
        <w:rPr>
          <w:i w:val="false"/>
          <w:iCs w:val="false"/>
          <w:color w:val="000000"/>
        </w:rPr>
        <w:t xml:space="preserve">Cuantificar el costo del componente variable antes de comunicarlo, y evaluar si conviene trimestral en vez de anual. El objetivo declarado es que la evaluación tenga consecuencia, y una consecuencia a quince meses no la tiene.</w:t>
      </w:r>
    </w:p>
    <w:p>
      <w:pPr>
        <w:spacing w:after="160" w:line="276"/>
      </w:pPr>
      <w:r>
        <w:rPr>
          <w:i w:val="false"/>
          <w:iCs w:val="false"/>
          <w:color w:val="000000"/>
        </w:rPr>
        <w:t xml:space="preserve">Y asignar las fechas. Por cuarta vez.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2026-09-28T21:47:44.354Z</dcterms:created>
  <dcterms:modified xsi:type="dcterms:W3CDTF">2026-09-28T21:47:44.364Z</dcterms:modified>
</cp:coreProperties>
</file>

<file path=docProps/custom.xml><?xml version="1.0" encoding="utf-8"?>
<Properties xmlns="http://schemas.openxmlformats.org/officeDocument/2006/custom-properties" xmlns:vt="http://schemas.openxmlformats.org/officeDocument/2006/docPropsVTypes"/>
</file>