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before="240"/>
      </w:pPr>
      <w:r>
        <w:rPr>
          <w:b/>
          <w:bCs/>
          <w:color w:val="000000"/>
          <w:sz w:val="32"/>
          <w:szCs w:val="32"/>
        </w:rPr>
        <w:t xml:space="preserve">Verificación del bloque 2 — línea base de ventas, margen y clientes</w:t>
      </w:r>
    </w:p>
    <w:p>
      <w:pPr>
        <w:spacing w:after="160" w:line="276"/>
      </w:pPr>
      <w:r>
        <w:rPr>
          <w:i w:val="false"/>
          <w:iCs w:val="false"/>
          <w:color w:val="000000"/>
        </w:rPr>
        <w:t xml:space="preserve">Documento de trabajo para Luis Felipe. Revisión del archivo Ventas x línea segmento.xlsx contra lo que exigían los ítems 2.1 a 2.4 del backlog.</w:t>
      </w:r>
    </w:p>
    <w:p>
      <w:pPr>
        <w:pStyle w:val="Heading1"/>
        <w:pBdr>
          <w:bottom w:val="single" w:color="999999" w:sz="4" w:space="4"/>
        </w:pBdr>
        <w:spacing w:after="160" w:before="360"/>
      </w:pPr>
      <w:r>
        <w:rPr>
          <w:b/>
          <w:bCs/>
          <w:color w:val="000000"/>
          <w:sz w:val="26"/>
          <w:szCs w:val="26"/>
        </w:rPr>
        <w:t xml:space="preserve">Qué llegó y qué falta</w:t>
      </w:r>
    </w:p>
    <w:p>
      <w:pPr>
        <w:spacing w:after="160" w:line="276"/>
      </w:pPr>
      <w:r>
        <w:rPr>
          <w:i w:val="false"/>
          <w:iCs w:val="false"/>
          <w:color w:val="000000"/>
        </w:rPr>
        <w:t xml:space="preserve">El archivo trae tres hojas visibles y cinco ocultas, entre ellas la base cruda de más de cincuenta mil registros de la que salen las tablas dinámicas. Eso es bueno: los agregados son auditables contra el detalle y no hay que creerles a ciegas.</w:t>
      </w:r>
    </w:p>
    <w:p>
      <w:pPr>
        <w:spacing w:after="160" w:line="276"/>
      </w:pPr>
      <w:r>
        <w:rPr>
          <w:i w:val="false"/>
          <w:iCs w:val="false"/>
          <w:color w:val="000000"/>
        </w:rPr>
        <w:t xml:space="preserve">El ítem 2.2, ventas y margen bruto por línea de producto para 2024, 2025 y 2026, está completo.</w:t>
      </w:r>
    </w:p>
    <w:p>
      <w:pPr>
        <w:spacing w:after="160" w:line="276"/>
      </w:pPr>
      <w:r>
        <w:rPr>
          <w:i w:val="false"/>
          <w:iCs w:val="false"/>
          <w:color w:val="000000"/>
        </w:rPr>
        <w:t xml:space="preserve">El ítem 2.3, ventas y margen bruto por segmento, está completo en datos pero tiene un problema de construcción que se explica más abajo.</w:t>
      </w:r>
    </w:p>
    <w:p>
      <w:pPr>
        <w:spacing w:after="160" w:line="276"/>
      </w:pPr>
      <w:r>
        <w:rPr>
          <w:i w:val="false"/>
          <w:iCs w:val="false"/>
          <w:color w:val="000000"/>
        </w:rPr>
        <w:t xml:space="preserve">El ítem 2.4, base de clientes recurrentes, llegó a medias. Está el conteo de clientes que compraron cada año y la distribución de frecuencia por número de meses con compra, que es más de lo que había. No está lo que el ítem pedía además: cuánto factura cada cliente, qué porcentaje del total representa cada uno, y desde cuándo son clientes. Los números que aparecen junto a cada nombre no son pesos, son conteos de movimientos, y con eso no se puede decir qué peso tiene cada cliente en la facturación.</w:t>
      </w:r>
    </w:p>
    <w:p>
      <w:pPr>
        <w:spacing w:after="160" w:line="276"/>
      </w:pPr>
      <w:r>
        <w:rPr>
          <w:i w:val="false"/>
          <w:iCs w:val="false"/>
          <w:color w:val="000000"/>
        </w:rPr>
        <w:t xml:space="preserve">Ese faltante no es menor. Sin facturación por cliente no se puede saber si la concentración de ingreso es alta o baja, no se puede priorizar la recuperación comercial por valor, y la meta de clientes recurrentes que va en el plan 2027 seguiría siendo direccional.</w:t>
      </w:r>
    </w:p>
    <w:p>
      <w:pPr>
        <w:pStyle w:val="Heading1"/>
        <w:pBdr>
          <w:bottom w:val="single" w:color="999999" w:sz="4" w:space="4"/>
        </w:pBdr>
        <w:spacing w:after="160" w:before="360"/>
      </w:pPr>
      <w:r>
        <w:rPr>
          <w:b/>
          <w:bCs/>
          <w:color w:val="000000"/>
          <w:sz w:val="26"/>
          <w:szCs w:val="26"/>
        </w:rPr>
        <w:t xml:space="preserve">El hallazgo que bloquea: el margen de APL no coincide con el margen contable</w:t>
      </w:r>
    </w:p>
    <w:p>
      <w:pPr>
        <w:spacing w:after="160" w:line="276"/>
      </w:pPr>
      <w:r>
        <w:rPr>
          <w:i w:val="false"/>
          <w:iCs w:val="false"/>
          <w:color w:val="000000"/>
        </w:rPr>
        <w:t xml:space="preserve">Las ventas de las dos fuentes coinciden casi exactamente. El archivo reporta 12.239.382.848 para 2025 y el estado de resultados auditado reporta 12.235.716.458. La diferencia es de 0,03 por ciento, es decir, la misma facturación.</w:t>
      </w:r>
    </w:p>
    <w:p>
      <w:pPr>
        <w:spacing w:after="160" w:line="276"/>
      </w:pPr>
      <w:r>
        <w:rPr>
          <w:i w:val="false"/>
          <w:iCs w:val="false"/>
          <w:color w:val="000000"/>
        </w:rPr>
        <w:t xml:space="preserve">El margen bruto no coincide. El archivo reporta 24,98 por ciento para 2025. El estado de resultados auditado reporta 27,64 por ciento. La brecha es de 2,66 puntos, equivalente a unos 325 millones de pesos de utilidad bruta.</w:t>
      </w:r>
    </w:p>
    <w:p>
      <w:pPr>
        <w:spacing w:after="160" w:line="276"/>
      </w:pPr>
      <w:r>
        <w:rPr>
          <w:i w:val="false"/>
          <w:iCs w:val="false"/>
          <w:color w:val="000000"/>
        </w:rPr>
        <w:t xml:space="preserve">Como las ventas cuadran y el margen no, la diferencia está toda en el costo. APL está registrando un costo de ventas más alto que el que quedó en la contabilidad, o la contabilidad está reconociendo en el costo algo que APL no ve. No puedo determinar cuál de las dos con los archivos disponibles, y no voy a suponerlo.</w:t>
      </w:r>
    </w:p>
    <w:p>
      <w:pPr>
        <w:spacing w:after="160" w:line="276"/>
      </w:pPr>
      <w:r>
        <w:rPr>
          <w:i w:val="false"/>
          <w:iCs w:val="false"/>
          <w:color w:val="000000"/>
        </w:rPr>
        <w:t xml:space="preserve">Hay un detalle que hace la pregunta más interesante y menos obvia: la brecha no es constante. Para 2026 las dos fuentes casi coinciden, 26,69 por ciento en el estado de resultados del primer semestre contra 26,27 por ciento en APL hasta septiembre. Si fuera una diferencia estructural de método de costeo, debería aparecer todos los años por igual. Que aparezca fuerte en 2025 y casi desaparezca en 2026 sugiere un ajuste puntual en el cierre de 2025, algo como una corrección de inventario, una reclasificación o el reconocimiento de descuentos financieros de proveedor dentro del costo. Es una hipótesis, no una conclusión, y la responde contabilidad en una reunión.</w:t>
      </w:r>
    </w:p>
    <w:p>
      <w:pPr>
        <w:spacing w:after="160" w:line="276"/>
      </w:pPr>
      <w:r>
        <w:rPr>
          <w:b/>
          <w:bCs/>
          <w:i w:val="false"/>
          <w:iCs w:val="false"/>
          <w:color w:val="000000"/>
        </w:rPr>
        <w:t xml:space="preserve">Por qué esto bloquea.</w:t>
      </w:r>
      <w:r>
        <w:rPr>
          <w:i w:val="false"/>
          <w:iCs w:val="false"/>
          <w:color w:val="000000"/>
        </w:rPr>
        <w:t xml:space="preserve"> El manual de funciones que entregué la semana pasada fija la meta de margen bruto en 27,5 por ciento para gerencia, dirección comercial, asesores externos y dirección de compras, anclada al 27,64 por ciento contable de 2025. Si el tablero se alimenta de APL, esa meta es inalcanzable por construcción: APL no ha mostrado un margen superior a 26,3 por ciento en ninguno de los tres años. Los equipos verían un indicador permanentemente en rojo por una diferencia de fuente y no por su desempeño, y en dos meses dejarían de mirarlo.</w:t>
      </w:r>
    </w:p>
    <w:p>
      <w:pPr>
        <w:spacing w:after="160" w:line="276"/>
      </w:pPr>
      <w:r>
        <w:rPr>
          <w:i w:val="false"/>
          <w:iCs w:val="false"/>
          <w:color w:val="000000"/>
        </w:rPr>
        <w:t xml:space="preserve">Antes de construir el tablero hay que decidir una de dos cosas: o el margen se mide con el cierre contable y APL se usa solo para desagregar por línea y segmento, o el margen se mide con APL y las metas se recalibran a esa escala. Las dos son defendibles; lo que no funciona es fijar la meta en una fuente y medirla en otra.</w:t>
      </w:r>
    </w:p>
    <w:p>
      <w:pPr>
        <w:pStyle w:val="Heading1"/>
        <w:pBdr>
          <w:bottom w:val="single" w:color="999999" w:sz="4" w:space="4"/>
        </w:pBdr>
        <w:spacing w:after="160" w:before="360"/>
      </w:pPr>
      <w:r>
        <w:rPr>
          <w:b/>
          <w:bCs/>
          <w:color w:val="000000"/>
          <w:sz w:val="26"/>
          <w:szCs w:val="26"/>
        </w:rPr>
        <w:t xml:space="preserve">Lo que muestran las líneas de producto</w:t>
      </w:r>
    </w:p>
    <w:p>
      <w:pPr>
        <w:spacing w:after="160" w:line="276"/>
      </w:pPr>
      <w:r>
        <w:rPr>
          <w:i w:val="false"/>
          <w:iCs w:val="false"/>
          <w:color w:val="000000"/>
        </w:rPr>
        <w:t xml:space="preserve">Cifras del archivo. Para 2026 anualicé linealmente el acumulado a septiembre 3, que corresponde al 67,4 por ciento del año. La anualización asume distribución mensual uniforme, supuesto que la propia empresa cuestiona al sostener que el segundo semestre rinde mejor, así que las cifras anualizadas son direccionales y no proyecciones.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shd w:fill="EFEFEF" w:color="auto" w:val="clear"/>
            <w:tcMar>
              <w:top w:type="dxa" w:w="60"/>
              <w:left w:type="dxa" w:w="90"/>
              <w:bottom w:type="dxa" w:w="60"/>
              <w:right w:type="dxa" w:w="90"/>
            </w:tcMar>
          </w:tcPr>
          <w:p>
            <w:pPr>
              <w:spacing w:after="0"/>
            </w:pPr>
            <w:r>
              <w:rPr>
                <w:b/>
                <w:bCs/>
                <w:color w:val="000000"/>
                <w:sz w:val="18"/>
                <w:szCs w:val="18"/>
              </w:rPr>
              <w:t xml:space="preserve">Línea</w:t>
            </w:r>
          </w:p>
        </w:tc>
        <w:tc>
          <w:tcPr>
            <w:tcW w:type="dxa" w:w="1170"/>
            <w:shd w:fill="EFEFEF" w:color="auto" w:val="clear"/>
            <w:tcMar>
              <w:top w:type="dxa" w:w="60"/>
              <w:left w:type="dxa" w:w="90"/>
              <w:bottom w:type="dxa" w:w="60"/>
              <w:right w:type="dxa" w:w="90"/>
            </w:tcMar>
          </w:tcPr>
          <w:p>
            <w:pPr>
              <w:spacing w:after="0"/>
            </w:pPr>
            <w:r>
              <w:rPr>
                <w:b/>
                <w:bCs/>
                <w:color w:val="000000"/>
                <w:sz w:val="18"/>
                <w:szCs w:val="18"/>
              </w:rPr>
              <w:t xml:space="preserve">2024</w:t>
            </w:r>
          </w:p>
        </w:tc>
        <w:tc>
          <w:tcPr>
            <w:tcW w:type="dxa" w:w="1170"/>
            <w:shd w:fill="EFEFEF" w:color="auto" w:val="clear"/>
            <w:tcMar>
              <w:top w:type="dxa" w:w="60"/>
              <w:left w:type="dxa" w:w="90"/>
              <w:bottom w:type="dxa" w:w="60"/>
              <w:right w:type="dxa" w:w="90"/>
            </w:tcMar>
          </w:tcPr>
          <w:p>
            <w:pPr>
              <w:spacing w:after="0"/>
            </w:pPr>
            <w:r>
              <w:rPr>
                <w:b/>
                <w:bCs/>
                <w:color w:val="000000"/>
                <w:sz w:val="18"/>
                <w:szCs w:val="18"/>
              </w:rPr>
              <w:t xml:space="preserve">2025</w:t>
            </w:r>
          </w:p>
        </w:tc>
        <w:tc>
          <w:tcPr>
            <w:tcW w:type="dxa" w:w="1170"/>
            <w:shd w:fill="EFEFEF" w:color="auto" w:val="clear"/>
            <w:tcMar>
              <w:top w:type="dxa" w:w="60"/>
              <w:left w:type="dxa" w:w="90"/>
              <w:bottom w:type="dxa" w:w="60"/>
              <w:right w:type="dxa" w:w="90"/>
            </w:tcMar>
          </w:tcPr>
          <w:p>
            <w:pPr>
              <w:spacing w:after="0"/>
            </w:pPr>
            <w:r>
              <w:rPr>
                <w:b/>
                <w:bCs/>
                <w:color w:val="000000"/>
                <w:sz w:val="18"/>
                <w:szCs w:val="18"/>
              </w:rPr>
              <w:t xml:space="preserve">2026 anualizado</w:t>
            </w:r>
          </w:p>
        </w:tc>
        <w:tc>
          <w:tcPr>
            <w:tcW w:type="dxa" w:w="1170"/>
            <w:shd w:fill="EFEFEF" w:color="auto" w:val="clear"/>
            <w:tcMar>
              <w:top w:type="dxa" w:w="60"/>
              <w:left w:type="dxa" w:w="90"/>
              <w:bottom w:type="dxa" w:w="60"/>
              <w:right w:type="dxa" w:w="90"/>
            </w:tcMar>
          </w:tcPr>
          <w:p>
            <w:pPr>
              <w:spacing w:after="0"/>
            </w:pPr>
            <w:r>
              <w:rPr>
                <w:b/>
                <w:bCs/>
                <w:color w:val="000000"/>
                <w:sz w:val="18"/>
                <w:szCs w:val="18"/>
              </w:rPr>
              <w:t xml:space="preserve">Variación</w:t>
            </w:r>
          </w:p>
        </w:tc>
        <w:tc>
          <w:tcPr>
            <w:tcW w:type="dxa" w:w="1170"/>
            <w:shd w:fill="EFEFEF" w:color="auto" w:val="clear"/>
            <w:tcMar>
              <w:top w:type="dxa" w:w="60"/>
              <w:left w:type="dxa" w:w="90"/>
              <w:bottom w:type="dxa" w:w="60"/>
              <w:right w:type="dxa" w:w="90"/>
            </w:tcMar>
          </w:tcPr>
          <w:p>
            <w:pPr>
              <w:spacing w:after="0"/>
            </w:pPr>
            <w:r>
              <w:rPr>
                <w:b/>
                <w:bCs/>
                <w:color w:val="000000"/>
                <w:sz w:val="18"/>
                <w:szCs w:val="18"/>
              </w:rPr>
              <w:t xml:space="preserve">MB 2024</w:t>
            </w:r>
          </w:p>
        </w:tc>
        <w:tc>
          <w:tcPr>
            <w:tcW w:type="dxa" w:w="1170"/>
            <w:shd w:fill="EFEFEF" w:color="auto" w:val="clear"/>
            <w:tcMar>
              <w:top w:type="dxa" w:w="60"/>
              <w:left w:type="dxa" w:w="90"/>
              <w:bottom w:type="dxa" w:w="60"/>
              <w:right w:type="dxa" w:w="90"/>
            </w:tcMar>
          </w:tcPr>
          <w:p>
            <w:pPr>
              <w:spacing w:after="0"/>
            </w:pPr>
            <w:r>
              <w:rPr>
                <w:b/>
                <w:bCs/>
                <w:color w:val="000000"/>
                <w:sz w:val="18"/>
                <w:szCs w:val="18"/>
              </w:rPr>
              <w:t xml:space="preserve">MB 2025</w:t>
            </w:r>
          </w:p>
        </w:tc>
        <w:tc>
          <w:tcPr>
            <w:tcW w:type="dxa" w:w="1170"/>
            <w:shd w:fill="EFEFEF" w:color="auto" w:val="clear"/>
            <w:tcMar>
              <w:top w:type="dxa" w:w="60"/>
              <w:left w:type="dxa" w:w="90"/>
              <w:bottom w:type="dxa" w:w="60"/>
              <w:right w:type="dxa" w:w="90"/>
            </w:tcMar>
          </w:tcPr>
          <w:p>
            <w:pPr>
              <w:spacing w:after="0"/>
            </w:pPr>
            <w:r>
              <w:rPr>
                <w:b/>
                <w:bCs/>
                <w:color w:val="000000"/>
                <w:sz w:val="18"/>
                <w:szCs w:val="18"/>
              </w:rPr>
              <w:t xml:space="preserve">MB 2026</w:t>
            </w:r>
          </w:p>
        </w:tc>
      </w:tr>
      <w:tr>
        <w:trPr>
          <w:tblHeader w:val="false"/>
        </w:trPr>
        <w:tc>
          <w:tcPr>
            <w:tcW w:type="dxa" w:w="1170"/>
            <w:tcMar>
              <w:top w:type="dxa" w:w="60"/>
              <w:left w:type="dxa" w:w="90"/>
              <w:bottom w:type="dxa" w:w="60"/>
              <w:right w:type="dxa" w:w="90"/>
            </w:tcMar>
          </w:tcPr>
          <w:p>
            <w:pPr>
              <w:spacing w:after="0"/>
            </w:pPr>
            <w:r>
              <w:rPr>
                <w:i w:val="false"/>
                <w:iCs w:val="false"/>
                <w:color w:val="000000"/>
                <w:sz w:val="18"/>
                <w:szCs w:val="18"/>
              </w:rPr>
              <w:t xml:space="preserve">Consumibles</w:t>
            </w:r>
          </w:p>
        </w:tc>
        <w:tc>
          <w:tcPr>
            <w:tcW w:type="dxa" w:w="1170"/>
            <w:tcMar>
              <w:top w:type="dxa" w:w="60"/>
              <w:left w:type="dxa" w:w="90"/>
              <w:bottom w:type="dxa" w:w="60"/>
              <w:right w:type="dxa" w:w="90"/>
            </w:tcMar>
          </w:tcPr>
          <w:p>
            <w:pPr>
              <w:spacing w:after="0"/>
            </w:pPr>
            <w:r>
              <w:rPr>
                <w:i w:val="false"/>
                <w:iCs w:val="false"/>
                <w:color w:val="000000"/>
                <w:sz w:val="18"/>
                <w:szCs w:val="18"/>
              </w:rPr>
              <w:t xml:space="preserve">11.373</w:t>
            </w:r>
          </w:p>
        </w:tc>
        <w:tc>
          <w:tcPr>
            <w:tcW w:type="dxa" w:w="1170"/>
            <w:tcMar>
              <w:top w:type="dxa" w:w="60"/>
              <w:left w:type="dxa" w:w="90"/>
              <w:bottom w:type="dxa" w:w="60"/>
              <w:right w:type="dxa" w:w="90"/>
            </w:tcMar>
          </w:tcPr>
          <w:p>
            <w:pPr>
              <w:spacing w:after="0"/>
            </w:pPr>
            <w:r>
              <w:rPr>
                <w:i w:val="false"/>
                <w:iCs w:val="false"/>
                <w:color w:val="000000"/>
                <w:sz w:val="18"/>
                <w:szCs w:val="18"/>
              </w:rPr>
              <w:t xml:space="preserve">10.917</w:t>
            </w:r>
          </w:p>
        </w:tc>
        <w:tc>
          <w:tcPr>
            <w:tcW w:type="dxa" w:w="1170"/>
            <w:tcMar>
              <w:top w:type="dxa" w:w="60"/>
              <w:left w:type="dxa" w:w="90"/>
              <w:bottom w:type="dxa" w:w="60"/>
              <w:right w:type="dxa" w:w="90"/>
            </w:tcMar>
          </w:tcPr>
          <w:p>
            <w:pPr>
              <w:spacing w:after="0"/>
            </w:pPr>
            <w:r>
              <w:rPr>
                <w:i w:val="false"/>
                <w:iCs w:val="false"/>
                <w:color w:val="000000"/>
                <w:sz w:val="18"/>
                <w:szCs w:val="18"/>
              </w:rPr>
              <w:t xml:space="preserve">9.545</w:t>
            </w:r>
          </w:p>
        </w:tc>
        <w:tc>
          <w:tcPr>
            <w:tcW w:type="dxa" w:w="1170"/>
            <w:tcMar>
              <w:top w:type="dxa" w:w="60"/>
              <w:left w:type="dxa" w:w="90"/>
              <w:bottom w:type="dxa" w:w="60"/>
              <w:right w:type="dxa" w:w="90"/>
            </w:tcMar>
          </w:tcPr>
          <w:p>
            <w:pPr>
              <w:spacing w:after="0"/>
            </w:pPr>
            <w:r>
              <w:rPr>
                <w:i w:val="false"/>
                <w:iCs w:val="false"/>
                <w:color w:val="000000"/>
                <w:sz w:val="18"/>
                <w:szCs w:val="18"/>
              </w:rPr>
              <w:t xml:space="preserve">−12,6%</w:t>
            </w:r>
          </w:p>
        </w:tc>
        <w:tc>
          <w:tcPr>
            <w:tcW w:type="dxa" w:w="1170"/>
            <w:tcMar>
              <w:top w:type="dxa" w:w="60"/>
              <w:left w:type="dxa" w:w="90"/>
              <w:bottom w:type="dxa" w:w="60"/>
              <w:right w:type="dxa" w:w="90"/>
            </w:tcMar>
          </w:tcPr>
          <w:p>
            <w:pPr>
              <w:spacing w:after="0"/>
            </w:pPr>
            <w:r>
              <w:rPr>
                <w:i w:val="false"/>
                <w:iCs w:val="false"/>
                <w:color w:val="000000"/>
                <w:sz w:val="18"/>
                <w:szCs w:val="18"/>
              </w:rPr>
              <w:t xml:space="preserve">25,9%</w:t>
            </w:r>
          </w:p>
        </w:tc>
        <w:tc>
          <w:tcPr>
            <w:tcW w:type="dxa" w:w="1170"/>
            <w:tcMar>
              <w:top w:type="dxa" w:w="60"/>
              <w:left w:type="dxa" w:w="90"/>
              <w:bottom w:type="dxa" w:w="60"/>
              <w:right w:type="dxa" w:w="90"/>
            </w:tcMar>
          </w:tcPr>
          <w:p>
            <w:pPr>
              <w:spacing w:after="0"/>
            </w:pPr>
            <w:r>
              <w:rPr>
                <w:i w:val="false"/>
                <w:iCs w:val="false"/>
                <w:color w:val="000000"/>
                <w:sz w:val="18"/>
                <w:szCs w:val="18"/>
              </w:rPr>
              <w:t xml:space="preserve">24,9%</w:t>
            </w:r>
          </w:p>
        </w:tc>
        <w:tc>
          <w:tcPr>
            <w:tcW w:type="dxa" w:w="1170"/>
            <w:tcMar>
              <w:top w:type="dxa" w:w="60"/>
              <w:left w:type="dxa" w:w="90"/>
              <w:bottom w:type="dxa" w:w="60"/>
              <w:right w:type="dxa" w:w="90"/>
            </w:tcMar>
          </w:tcPr>
          <w:p>
            <w:pPr>
              <w:spacing w:after="0"/>
            </w:pPr>
            <w:r>
              <w:rPr>
                <w:i w:val="false"/>
                <w:iCs w:val="false"/>
                <w:color w:val="000000"/>
                <w:sz w:val="18"/>
                <w:szCs w:val="18"/>
              </w:rPr>
              <w:t xml:space="preserve">26,3%</w:t>
            </w:r>
          </w:p>
        </w:tc>
      </w:tr>
      <w:tr>
        <w:trPr>
          <w:tblHeader w:val="false"/>
        </w:trPr>
        <w:tc>
          <w:tcPr>
            <w:tcW w:type="dxa" w:w="1170"/>
            <w:tcMar>
              <w:top w:type="dxa" w:w="60"/>
              <w:left w:type="dxa" w:w="90"/>
              <w:bottom w:type="dxa" w:w="60"/>
              <w:right w:type="dxa" w:w="90"/>
            </w:tcMar>
          </w:tcPr>
          <w:p>
            <w:pPr>
              <w:spacing w:after="0"/>
            </w:pPr>
            <w:r>
              <w:rPr>
                <w:i w:val="false"/>
                <w:iCs w:val="false"/>
                <w:color w:val="000000"/>
                <w:sz w:val="18"/>
                <w:szCs w:val="18"/>
              </w:rPr>
              <w:t xml:space="preserve">Equipos</w:t>
            </w:r>
          </w:p>
        </w:tc>
        <w:tc>
          <w:tcPr>
            <w:tcW w:type="dxa" w:w="1170"/>
            <w:tcMar>
              <w:top w:type="dxa" w:w="60"/>
              <w:left w:type="dxa" w:w="90"/>
              <w:bottom w:type="dxa" w:w="60"/>
              <w:right w:type="dxa" w:w="90"/>
            </w:tcMar>
          </w:tcPr>
          <w:p>
            <w:pPr>
              <w:spacing w:after="0"/>
            </w:pPr>
            <w:r>
              <w:rPr>
                <w:i w:val="false"/>
                <w:iCs w:val="false"/>
                <w:color w:val="000000"/>
                <w:sz w:val="18"/>
                <w:szCs w:val="18"/>
              </w:rPr>
              <w:t xml:space="preserve">1.601</w:t>
            </w:r>
          </w:p>
        </w:tc>
        <w:tc>
          <w:tcPr>
            <w:tcW w:type="dxa" w:w="1170"/>
            <w:tcMar>
              <w:top w:type="dxa" w:w="60"/>
              <w:left w:type="dxa" w:w="90"/>
              <w:bottom w:type="dxa" w:w="60"/>
              <w:right w:type="dxa" w:w="90"/>
            </w:tcMar>
          </w:tcPr>
          <w:p>
            <w:pPr>
              <w:spacing w:after="0"/>
            </w:pPr>
            <w:r>
              <w:rPr>
                <w:i w:val="false"/>
                <w:iCs w:val="false"/>
                <w:color w:val="000000"/>
                <w:sz w:val="18"/>
                <w:szCs w:val="18"/>
              </w:rPr>
              <w:t xml:space="preserve">1.056</w:t>
            </w:r>
          </w:p>
        </w:tc>
        <w:tc>
          <w:tcPr>
            <w:tcW w:type="dxa" w:w="1170"/>
            <w:tcMar>
              <w:top w:type="dxa" w:w="60"/>
              <w:left w:type="dxa" w:w="90"/>
              <w:bottom w:type="dxa" w:w="60"/>
              <w:right w:type="dxa" w:w="90"/>
            </w:tcMar>
          </w:tcPr>
          <w:p>
            <w:pPr>
              <w:spacing w:after="0"/>
            </w:pPr>
            <w:r>
              <w:rPr>
                <w:i w:val="false"/>
                <w:iCs w:val="false"/>
                <w:color w:val="000000"/>
                <w:sz w:val="18"/>
                <w:szCs w:val="18"/>
              </w:rPr>
              <w:t xml:space="preserve">880</w:t>
            </w:r>
          </w:p>
        </w:tc>
        <w:tc>
          <w:tcPr>
            <w:tcW w:type="dxa" w:w="1170"/>
            <w:tcMar>
              <w:top w:type="dxa" w:w="60"/>
              <w:left w:type="dxa" w:w="90"/>
              <w:bottom w:type="dxa" w:w="60"/>
              <w:right w:type="dxa" w:w="90"/>
            </w:tcMar>
          </w:tcPr>
          <w:p>
            <w:pPr>
              <w:spacing w:after="0"/>
            </w:pPr>
            <w:r>
              <w:rPr>
                <w:i w:val="false"/>
                <w:iCs w:val="false"/>
                <w:color w:val="000000"/>
                <w:sz w:val="18"/>
                <w:szCs w:val="18"/>
              </w:rPr>
              <w:t xml:space="preserve">−16,7%</w:t>
            </w:r>
          </w:p>
        </w:tc>
        <w:tc>
          <w:tcPr>
            <w:tcW w:type="dxa" w:w="1170"/>
            <w:tcMar>
              <w:top w:type="dxa" w:w="60"/>
              <w:left w:type="dxa" w:w="90"/>
              <w:bottom w:type="dxa" w:w="60"/>
              <w:right w:type="dxa" w:w="90"/>
            </w:tcMar>
          </w:tcPr>
          <w:p>
            <w:pPr>
              <w:spacing w:after="0"/>
            </w:pPr>
            <w:r>
              <w:rPr>
                <w:i w:val="false"/>
                <w:iCs w:val="false"/>
                <w:color w:val="000000"/>
                <w:sz w:val="18"/>
                <w:szCs w:val="18"/>
              </w:rPr>
              <w:t xml:space="preserve">23,8%</w:t>
            </w:r>
          </w:p>
        </w:tc>
        <w:tc>
          <w:tcPr>
            <w:tcW w:type="dxa" w:w="1170"/>
            <w:tcMar>
              <w:top w:type="dxa" w:w="60"/>
              <w:left w:type="dxa" w:w="90"/>
              <w:bottom w:type="dxa" w:w="60"/>
              <w:right w:type="dxa" w:w="90"/>
            </w:tcMar>
          </w:tcPr>
          <w:p>
            <w:pPr>
              <w:spacing w:after="0"/>
            </w:pPr>
            <w:r>
              <w:rPr>
                <w:i w:val="false"/>
                <w:iCs w:val="false"/>
                <w:color w:val="000000"/>
                <w:sz w:val="18"/>
                <w:szCs w:val="18"/>
              </w:rPr>
              <w:t xml:space="preserve">25,1%</w:t>
            </w:r>
          </w:p>
        </w:tc>
        <w:tc>
          <w:tcPr>
            <w:tcW w:type="dxa" w:w="1170"/>
            <w:tcMar>
              <w:top w:type="dxa" w:w="60"/>
              <w:left w:type="dxa" w:w="90"/>
              <w:bottom w:type="dxa" w:w="60"/>
              <w:right w:type="dxa" w:w="90"/>
            </w:tcMar>
          </w:tcPr>
          <w:p>
            <w:pPr>
              <w:spacing w:after="0"/>
            </w:pPr>
            <w:r>
              <w:rPr>
                <w:i w:val="false"/>
                <w:iCs w:val="false"/>
                <w:color w:val="000000"/>
                <w:sz w:val="18"/>
                <w:szCs w:val="18"/>
              </w:rPr>
              <w:t xml:space="preserve">19,2%</w:t>
            </w:r>
          </w:p>
        </w:tc>
      </w:tr>
      <w:tr>
        <w:trPr>
          <w:tblHeader w:val="false"/>
        </w:trPr>
        <w:tc>
          <w:tcPr>
            <w:tcW w:type="dxa" w:w="1170"/>
            <w:tcMar>
              <w:top w:type="dxa" w:w="60"/>
              <w:left w:type="dxa" w:w="90"/>
              <w:bottom w:type="dxa" w:w="60"/>
              <w:right w:type="dxa" w:w="90"/>
            </w:tcMar>
          </w:tcPr>
          <w:p>
            <w:pPr>
              <w:spacing w:after="0"/>
            </w:pPr>
            <w:r>
              <w:rPr>
                <w:i w:val="false"/>
                <w:iCs w:val="false"/>
                <w:color w:val="000000"/>
                <w:sz w:val="18"/>
                <w:szCs w:val="18"/>
              </w:rPr>
              <w:t xml:space="preserve">Mobiliario</w:t>
            </w:r>
          </w:p>
        </w:tc>
        <w:tc>
          <w:tcPr>
            <w:tcW w:type="dxa" w:w="1170"/>
            <w:tcMar>
              <w:top w:type="dxa" w:w="60"/>
              <w:left w:type="dxa" w:w="90"/>
              <w:bottom w:type="dxa" w:w="60"/>
              <w:right w:type="dxa" w:w="90"/>
            </w:tcMar>
          </w:tcPr>
          <w:p>
            <w:pPr>
              <w:spacing w:after="0"/>
            </w:pPr>
            <w:r>
              <w:rPr>
                <w:i w:val="false"/>
                <w:iCs w:val="false"/>
                <w:color w:val="000000"/>
                <w:sz w:val="18"/>
                <w:szCs w:val="18"/>
              </w:rPr>
              <w:t xml:space="preserve">173</w:t>
            </w:r>
          </w:p>
        </w:tc>
        <w:tc>
          <w:tcPr>
            <w:tcW w:type="dxa" w:w="1170"/>
            <w:tcMar>
              <w:top w:type="dxa" w:w="60"/>
              <w:left w:type="dxa" w:w="90"/>
              <w:bottom w:type="dxa" w:w="60"/>
              <w:right w:type="dxa" w:w="90"/>
            </w:tcMar>
          </w:tcPr>
          <w:p>
            <w:pPr>
              <w:spacing w:after="0"/>
            </w:pPr>
            <w:r>
              <w:rPr>
                <w:i w:val="false"/>
                <w:iCs w:val="false"/>
                <w:color w:val="000000"/>
                <w:sz w:val="18"/>
                <w:szCs w:val="18"/>
              </w:rPr>
              <w:t xml:space="preserve">203</w:t>
            </w:r>
          </w:p>
        </w:tc>
        <w:tc>
          <w:tcPr>
            <w:tcW w:type="dxa" w:w="1170"/>
            <w:tcMar>
              <w:top w:type="dxa" w:w="60"/>
              <w:left w:type="dxa" w:w="90"/>
              <w:bottom w:type="dxa" w:w="60"/>
              <w:right w:type="dxa" w:w="90"/>
            </w:tcMar>
          </w:tcPr>
          <w:p>
            <w:pPr>
              <w:spacing w:after="0"/>
            </w:pPr>
            <w:r>
              <w:rPr>
                <w:i w:val="false"/>
                <w:iCs w:val="false"/>
                <w:color w:val="000000"/>
                <w:sz w:val="18"/>
                <w:szCs w:val="18"/>
              </w:rPr>
              <w:t xml:space="preserve">712</w:t>
            </w:r>
          </w:p>
        </w:tc>
        <w:tc>
          <w:tcPr>
            <w:tcW w:type="dxa" w:w="1170"/>
            <w:tcMar>
              <w:top w:type="dxa" w:w="60"/>
              <w:left w:type="dxa" w:w="90"/>
              <w:bottom w:type="dxa" w:w="60"/>
              <w:right w:type="dxa" w:w="90"/>
            </w:tcMar>
          </w:tcPr>
          <w:p>
            <w:pPr>
              <w:spacing w:after="0"/>
            </w:pPr>
            <w:r>
              <w:rPr>
                <w:i w:val="false"/>
                <w:iCs w:val="false"/>
                <w:color w:val="000000"/>
                <w:sz w:val="18"/>
                <w:szCs w:val="18"/>
              </w:rPr>
              <w:t xml:space="preserve">+250,2%</w:t>
            </w:r>
          </w:p>
        </w:tc>
        <w:tc>
          <w:tcPr>
            <w:tcW w:type="dxa" w:w="1170"/>
            <w:tcMar>
              <w:top w:type="dxa" w:w="60"/>
              <w:left w:type="dxa" w:w="90"/>
              <w:bottom w:type="dxa" w:w="60"/>
              <w:right w:type="dxa" w:w="90"/>
            </w:tcMar>
          </w:tcPr>
          <w:p>
            <w:pPr>
              <w:spacing w:after="0"/>
            </w:pPr>
            <w:r>
              <w:rPr>
                <w:i w:val="false"/>
                <w:iCs w:val="false"/>
                <w:color w:val="000000"/>
                <w:sz w:val="18"/>
                <w:szCs w:val="18"/>
              </w:rPr>
              <w:t xml:space="preserve">26,7%</w:t>
            </w:r>
          </w:p>
        </w:tc>
        <w:tc>
          <w:tcPr>
            <w:tcW w:type="dxa" w:w="1170"/>
            <w:tcMar>
              <w:top w:type="dxa" w:w="60"/>
              <w:left w:type="dxa" w:w="90"/>
              <w:bottom w:type="dxa" w:w="60"/>
              <w:right w:type="dxa" w:w="90"/>
            </w:tcMar>
          </w:tcPr>
          <w:p>
            <w:pPr>
              <w:spacing w:after="0"/>
            </w:pPr>
            <w:r>
              <w:rPr>
                <w:i w:val="false"/>
                <w:iCs w:val="false"/>
                <w:color w:val="000000"/>
                <w:sz w:val="18"/>
                <w:szCs w:val="18"/>
              </w:rPr>
              <w:t xml:space="preserve">26,2%</w:t>
            </w:r>
          </w:p>
        </w:tc>
        <w:tc>
          <w:tcPr>
            <w:tcW w:type="dxa" w:w="1170"/>
            <w:tcMar>
              <w:top w:type="dxa" w:w="60"/>
              <w:left w:type="dxa" w:w="90"/>
              <w:bottom w:type="dxa" w:w="60"/>
              <w:right w:type="dxa" w:w="90"/>
            </w:tcMar>
          </w:tcPr>
          <w:p>
            <w:pPr>
              <w:spacing w:after="0"/>
            </w:pPr>
            <w:r>
              <w:rPr>
                <w:i w:val="false"/>
                <w:iCs w:val="false"/>
                <w:color w:val="000000"/>
                <w:sz w:val="18"/>
                <w:szCs w:val="18"/>
              </w:rPr>
              <w:t xml:space="preserve">32,9%</w:t>
            </w:r>
          </w:p>
        </w:tc>
      </w:tr>
      <w:tr>
        <w:trPr>
          <w:tblHeader w:val="false"/>
        </w:trPr>
        <w:tc>
          <w:tcPr>
            <w:tcW w:type="dxa" w:w="1170"/>
            <w:tcMar>
              <w:top w:type="dxa" w:w="60"/>
              <w:left w:type="dxa" w:w="90"/>
              <w:bottom w:type="dxa" w:w="60"/>
              <w:right w:type="dxa" w:w="90"/>
            </w:tcMar>
          </w:tcPr>
          <w:p>
            <w:pPr>
              <w:spacing w:after="0"/>
            </w:pPr>
            <w:r>
              <w:rPr>
                <w:i w:val="false"/>
                <w:iCs w:val="false"/>
                <w:color w:val="000000"/>
                <w:sz w:val="18"/>
                <w:szCs w:val="18"/>
              </w:rPr>
              <w:t xml:space="preserve">Equipos marca propia</w:t>
            </w:r>
          </w:p>
        </w:tc>
        <w:tc>
          <w:tcPr>
            <w:tcW w:type="dxa" w:w="1170"/>
            <w:tcMar>
              <w:top w:type="dxa" w:w="60"/>
              <w:left w:type="dxa" w:w="90"/>
              <w:bottom w:type="dxa" w:w="60"/>
              <w:right w:type="dxa" w:w="90"/>
            </w:tcMar>
          </w:tcPr>
          <w:p>
            <w:pPr>
              <w:spacing w:after="0"/>
            </w:pPr>
            <w:r>
              <w:rPr>
                <w:i w:val="false"/>
                <w:iCs w:val="false"/>
                <w:color w:val="000000"/>
                <w:sz w:val="18"/>
                <w:szCs w:val="18"/>
              </w:rPr>
              <w:t xml:space="preserve">399</w:t>
            </w:r>
          </w:p>
        </w:tc>
        <w:tc>
          <w:tcPr>
            <w:tcW w:type="dxa" w:w="1170"/>
            <w:tcMar>
              <w:top w:type="dxa" w:w="60"/>
              <w:left w:type="dxa" w:w="90"/>
              <w:bottom w:type="dxa" w:w="60"/>
              <w:right w:type="dxa" w:w="90"/>
            </w:tcMar>
          </w:tcPr>
          <w:p>
            <w:pPr>
              <w:spacing w:after="0"/>
            </w:pPr>
            <w:r>
              <w:rPr>
                <w:i w:val="false"/>
                <w:iCs w:val="false"/>
                <w:color w:val="000000"/>
                <w:sz w:val="18"/>
                <w:szCs w:val="18"/>
              </w:rPr>
              <w:t xml:space="preserve">57</w:t>
            </w:r>
          </w:p>
        </w:tc>
        <w:tc>
          <w:tcPr>
            <w:tcW w:type="dxa" w:w="1170"/>
            <w:tcMar>
              <w:top w:type="dxa" w:w="60"/>
              <w:left w:type="dxa" w:w="90"/>
              <w:bottom w:type="dxa" w:w="60"/>
              <w:right w:type="dxa" w:w="90"/>
            </w:tcMar>
          </w:tcPr>
          <w:p>
            <w:pPr>
              <w:spacing w:after="0"/>
            </w:pPr>
            <w:r>
              <w:rPr>
                <w:i w:val="false"/>
                <w:iCs w:val="false"/>
                <w:color w:val="000000"/>
                <w:sz w:val="18"/>
                <w:szCs w:val="18"/>
              </w:rPr>
              <w:t xml:space="preserve">34</w:t>
            </w:r>
          </w:p>
        </w:tc>
        <w:tc>
          <w:tcPr>
            <w:tcW w:type="dxa" w:w="1170"/>
            <w:tcMar>
              <w:top w:type="dxa" w:w="60"/>
              <w:left w:type="dxa" w:w="90"/>
              <w:bottom w:type="dxa" w:w="60"/>
              <w:right w:type="dxa" w:w="90"/>
            </w:tcMar>
          </w:tcPr>
          <w:p>
            <w:pPr>
              <w:spacing w:after="0"/>
            </w:pPr>
            <w:r>
              <w:rPr>
                <w:i w:val="false"/>
                <w:iCs w:val="false"/>
                <w:color w:val="000000"/>
                <w:sz w:val="18"/>
                <w:szCs w:val="18"/>
              </w:rPr>
              <w:t xml:space="preserve">−39,4%</w:t>
            </w:r>
          </w:p>
        </w:tc>
        <w:tc>
          <w:tcPr>
            <w:tcW w:type="dxa" w:w="1170"/>
            <w:tcMar>
              <w:top w:type="dxa" w:w="60"/>
              <w:left w:type="dxa" w:w="90"/>
              <w:bottom w:type="dxa" w:w="60"/>
              <w:right w:type="dxa" w:w="90"/>
            </w:tcMar>
          </w:tcPr>
          <w:p>
            <w:pPr>
              <w:spacing w:after="0"/>
            </w:pPr>
            <w:r>
              <w:rPr>
                <w:i w:val="false"/>
                <w:iCs w:val="false"/>
                <w:color w:val="000000"/>
                <w:sz w:val="18"/>
                <w:szCs w:val="18"/>
              </w:rPr>
              <w:t xml:space="preserve">34,0%</w:t>
            </w:r>
          </w:p>
        </w:tc>
        <w:tc>
          <w:tcPr>
            <w:tcW w:type="dxa" w:w="1170"/>
            <w:tcMar>
              <w:top w:type="dxa" w:w="60"/>
              <w:left w:type="dxa" w:w="90"/>
              <w:bottom w:type="dxa" w:w="60"/>
              <w:right w:type="dxa" w:w="90"/>
            </w:tcMar>
          </w:tcPr>
          <w:p>
            <w:pPr>
              <w:spacing w:after="0"/>
            </w:pPr>
            <w:r>
              <w:rPr>
                <w:i w:val="false"/>
                <w:iCs w:val="false"/>
                <w:color w:val="000000"/>
                <w:sz w:val="18"/>
                <w:szCs w:val="18"/>
              </w:rPr>
              <w:t xml:space="preserve">31,4%</w:t>
            </w:r>
          </w:p>
        </w:tc>
        <w:tc>
          <w:tcPr>
            <w:tcW w:type="dxa" w:w="1170"/>
            <w:tcMar>
              <w:top w:type="dxa" w:w="60"/>
              <w:left w:type="dxa" w:w="90"/>
              <w:bottom w:type="dxa" w:w="60"/>
              <w:right w:type="dxa" w:w="90"/>
            </w:tcMar>
          </w:tcPr>
          <w:p>
            <w:pPr>
              <w:spacing w:after="0"/>
            </w:pPr>
            <w:r>
              <w:rPr>
                <w:i w:val="false"/>
                <w:iCs w:val="false"/>
                <w:color w:val="000000"/>
                <w:sz w:val="18"/>
                <w:szCs w:val="18"/>
              </w:rPr>
              <w:t xml:space="preserve">56,1%</w:t>
            </w:r>
          </w:p>
        </w:tc>
      </w:tr>
    </w:tbl>
    <w:p>
      <w:pPr>
        <w:spacing w:after="200"/>
      </w:pPr>
      <w:r>
        <w:rPr>
          <w:color w:val="000000"/>
        </w:rPr>
        <w:t xml:space="preserve"/>
      </w:r>
    </w:p>
    <w:p>
      <w:pPr>
        <w:spacing w:after="160" w:line="276"/>
      </w:pPr>
      <w:r>
        <w:rPr>
          <w:i w:val="false"/>
          <w:iCs w:val="false"/>
          <w:color w:val="000000"/>
        </w:rPr>
        <w:t xml:space="preserve">Cifras en millones de pesos.</w:t>
      </w:r>
    </w:p>
    <w:p>
      <w:pPr>
        <w:spacing w:after="160" w:line="276"/>
      </w:pPr>
      <w:r>
        <w:rPr>
          <w:b/>
          <w:bCs/>
          <w:i w:val="false"/>
          <w:iCs w:val="false"/>
          <w:color w:val="000000"/>
        </w:rPr>
        <w:t xml:space="preserve">Consumibles es el 89 por ciento del negocio.</w:t>
      </w:r>
      <w:r>
        <w:rPr>
          <w:i w:val="false"/>
          <w:iCs w:val="false"/>
          <w:color w:val="000000"/>
        </w:rPr>
        <w:t xml:space="preserve"> Toda la conversación de portafolio, de crecimiento y de margen es en la práctica una conversación sobre consumibles. Su margen se está recuperando en 2026, y como pesa casi nueve de cada diez pesos, esa recuperación explica por sí sola la mejora del margen general del año.</w:t>
      </w:r>
    </w:p>
    <w:p>
      <w:pPr>
        <w:spacing w:after="160" w:line="276"/>
      </w:pPr>
      <w:r>
        <w:rPr>
          <w:b/>
          <w:bCs/>
          <w:i w:val="false"/>
          <w:iCs w:val="false"/>
          <w:color w:val="000000"/>
        </w:rPr>
        <w:t xml:space="preserve">Mobiliario es la única historia buena del portafolio y nadie la mencionó.</w:t>
      </w:r>
      <w:r>
        <w:rPr>
          <w:i w:val="false"/>
          <w:iCs w:val="false"/>
          <w:color w:val="000000"/>
        </w:rPr>
        <w:t xml:space="preserve"> Multiplicó su venta por 2,4 veces frente a todo 2025 cuando aún faltan cuatro meses del año, y su margen subió de 26,2 a 32,9 por ciento. Crece y mejora margen al tiempo, que es lo difícil. Vale entender qué pasó ahí antes de diseñar cualquier estrategia de crecimiento para 2027, porque puede ser un cliente grande no repetible, un contrato de dotación, o una capacidad real que se puede escalar. Son tres cosas distintas y llevan a decisiones distintas.</w:t>
      </w:r>
    </w:p>
    <w:p>
      <w:pPr>
        <w:spacing w:after="160" w:line="276"/>
      </w:pPr>
      <w:r>
        <w:rPr>
          <w:b/>
          <w:bCs/>
          <w:i w:val="false"/>
          <w:iCs w:val="false"/>
          <w:color w:val="000000"/>
        </w:rPr>
        <w:t xml:space="preserve">Equipos es el problema serio.</w:t>
      </w:r>
      <w:r>
        <w:rPr>
          <w:i w:val="false"/>
          <w:iCs w:val="false"/>
          <w:color w:val="000000"/>
        </w:rPr>
        <w:t xml:space="preserve"> Cae 16,7 por ciento y su margen se desplomó de 25,1 a 19,2 por ciento. Es la única línea que pierde volumen y rentabilidad simultáneamente. Como equipos es donde vive la relación con proveedores internacionales, esto conecta directamente con el frente de Merck Sigma y con la línea de microbiología que compras señaló como problema de precio.</w:t>
      </w:r>
    </w:p>
    <w:p>
      <w:pPr>
        <w:spacing w:after="160" w:line="276"/>
      </w:pPr>
      <w:r>
        <w:rPr>
          <w:b/>
          <w:bCs/>
          <w:i w:val="false"/>
          <w:iCs w:val="false"/>
          <w:color w:val="000000"/>
        </w:rPr>
        <w:t xml:space="preserve">Equipos de marca propia prácticamente desapareció y era la línea de mejor margen.</w:t>
      </w:r>
      <w:r>
        <w:rPr>
          <w:i w:val="false"/>
          <w:iCs w:val="false"/>
          <w:color w:val="000000"/>
        </w:rPr>
        <w:t xml:space="preserve"> Vendía 399 millones en 2024 con 34 por ciento de margen y hoy va en 23 millones. Es una caída del 94 por ciento en dos años sobre la línea más rentable del portafolio, y no aparece mencionada en ninguno de los tres documentos de diagnóstico de las áreas ni en las respuestas de Pacho. Esto merece una pregunta directa: ¿se dejó de vender, se dejó de comprar, se perdió una representación, o se decidió discontinuarla? El margen de 56,1 por ciento que muestra 2026 es sobre un volumen tan pequeño que probablemente corresponde a unas pocas transacciones y no es representativo.</w:t>
      </w:r>
    </w:p>
    <w:p>
      <w:pPr>
        <w:pStyle w:val="Heading1"/>
        <w:pBdr>
          <w:bottom w:val="single" w:color="999999" w:sz="4" w:space="4"/>
        </w:pBdr>
        <w:spacing w:after="160" w:before="360"/>
      </w:pPr>
      <w:r>
        <w:rPr>
          <w:b/>
          <w:bCs/>
          <w:color w:val="000000"/>
          <w:sz w:val="26"/>
          <w:szCs w:val="26"/>
        </w:rPr>
        <w:t xml:space="preserve">Lo que muestran los segmentos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shd w:fill="EFEFEF" w:color="auto" w:val="clear"/>
            <w:tcMar>
              <w:top w:type="dxa" w:w="60"/>
              <w:left w:type="dxa" w:w="90"/>
              <w:bottom w:type="dxa" w:w="60"/>
              <w:right w:type="dxa" w:w="90"/>
            </w:tcMar>
          </w:tcPr>
          <w:p>
            <w:pPr>
              <w:spacing w:after="0"/>
            </w:pPr>
            <w:r>
              <w:rPr>
                <w:b/>
                <w:bCs/>
                <w:color w:val="000000"/>
                <w:sz w:val="18"/>
                <w:szCs w:val="18"/>
              </w:rPr>
              <w:t xml:space="preserve">Segmento</w:t>
            </w:r>
          </w:p>
        </w:tc>
        <w:tc>
          <w:tcPr>
            <w:tcW w:type="dxa" w:w="1337"/>
            <w:shd w:fill="EFEFEF" w:color="auto" w:val="clear"/>
            <w:tcMar>
              <w:top w:type="dxa" w:w="60"/>
              <w:left w:type="dxa" w:w="90"/>
              <w:bottom w:type="dxa" w:w="60"/>
              <w:right w:type="dxa" w:w="90"/>
            </w:tcMar>
          </w:tcPr>
          <w:p>
            <w:pPr>
              <w:spacing w:after="0"/>
            </w:pPr>
            <w:r>
              <w:rPr>
                <w:b/>
                <w:bCs/>
                <w:color w:val="000000"/>
                <w:sz w:val="18"/>
                <w:szCs w:val="18"/>
              </w:rPr>
              <w:t xml:space="preserve">2025</w:t>
            </w:r>
          </w:p>
        </w:tc>
        <w:tc>
          <w:tcPr>
            <w:tcW w:type="dxa" w:w="1337"/>
            <w:shd w:fill="EFEFEF" w:color="auto" w:val="clear"/>
            <w:tcMar>
              <w:top w:type="dxa" w:w="60"/>
              <w:left w:type="dxa" w:w="90"/>
              <w:bottom w:type="dxa" w:w="60"/>
              <w:right w:type="dxa" w:w="90"/>
            </w:tcMar>
          </w:tcPr>
          <w:p>
            <w:pPr>
              <w:spacing w:after="0"/>
            </w:pPr>
            <w:r>
              <w:rPr>
                <w:b/>
                <w:bCs/>
                <w:color w:val="000000"/>
                <w:sz w:val="18"/>
                <w:szCs w:val="18"/>
              </w:rPr>
              <w:t xml:space="preserve">% del total</w:t>
            </w:r>
          </w:p>
        </w:tc>
        <w:tc>
          <w:tcPr>
            <w:tcW w:type="dxa" w:w="1337"/>
            <w:shd w:fill="EFEFEF" w:color="auto" w:val="clear"/>
            <w:tcMar>
              <w:top w:type="dxa" w:w="60"/>
              <w:left w:type="dxa" w:w="90"/>
              <w:bottom w:type="dxa" w:w="60"/>
              <w:right w:type="dxa" w:w="90"/>
            </w:tcMar>
          </w:tcPr>
          <w:p>
            <w:pPr>
              <w:spacing w:after="0"/>
            </w:pPr>
            <w:r>
              <w:rPr>
                <w:b/>
                <w:bCs/>
                <w:color w:val="000000"/>
                <w:sz w:val="18"/>
                <w:szCs w:val="18"/>
              </w:rPr>
              <w:t xml:space="preserve">2026 anualizado</w:t>
            </w:r>
          </w:p>
        </w:tc>
        <w:tc>
          <w:tcPr>
            <w:tcW w:type="dxa" w:w="1337"/>
            <w:shd w:fill="EFEFEF" w:color="auto" w:val="clear"/>
            <w:tcMar>
              <w:top w:type="dxa" w:w="60"/>
              <w:left w:type="dxa" w:w="90"/>
              <w:bottom w:type="dxa" w:w="60"/>
              <w:right w:type="dxa" w:w="90"/>
            </w:tcMar>
          </w:tcPr>
          <w:p>
            <w:pPr>
              <w:spacing w:after="0"/>
            </w:pPr>
            <w:r>
              <w:rPr>
                <w:b/>
                <w:bCs/>
                <w:color w:val="000000"/>
                <w:sz w:val="18"/>
                <w:szCs w:val="18"/>
              </w:rPr>
              <w:t xml:space="preserve">Variación</w:t>
            </w:r>
          </w:p>
        </w:tc>
        <w:tc>
          <w:tcPr>
            <w:tcW w:type="dxa" w:w="1337"/>
            <w:shd w:fill="EFEFEF" w:color="auto" w:val="clear"/>
            <w:tcMar>
              <w:top w:type="dxa" w:w="60"/>
              <w:left w:type="dxa" w:w="90"/>
              <w:bottom w:type="dxa" w:w="60"/>
              <w:right w:type="dxa" w:w="90"/>
            </w:tcMar>
          </w:tcPr>
          <w:p>
            <w:pPr>
              <w:spacing w:after="0"/>
            </w:pPr>
            <w:r>
              <w:rPr>
                <w:b/>
                <w:bCs/>
                <w:color w:val="000000"/>
                <w:sz w:val="18"/>
                <w:szCs w:val="18"/>
              </w:rPr>
              <w:t xml:space="preserve">MB 2025</w:t>
            </w:r>
          </w:p>
        </w:tc>
        <w:tc>
          <w:tcPr>
            <w:tcW w:type="dxa" w:w="1338"/>
            <w:shd w:fill="EFEFEF" w:color="auto" w:val="clear"/>
            <w:tcMar>
              <w:top w:type="dxa" w:w="60"/>
              <w:left w:type="dxa" w:w="90"/>
              <w:bottom w:type="dxa" w:w="60"/>
              <w:right w:type="dxa" w:w="90"/>
            </w:tcMar>
          </w:tcPr>
          <w:p>
            <w:pPr>
              <w:spacing w:after="0"/>
            </w:pPr>
            <w:r>
              <w:rPr>
                <w:b/>
                <w:bCs/>
                <w:color w:val="000000"/>
                <w:sz w:val="18"/>
                <w:szCs w:val="18"/>
              </w:rPr>
              <w:t xml:space="preserve">MB 2026</w:t>
            </w:r>
          </w:p>
        </w:tc>
      </w:tr>
      <w:tr>
        <w:trPr>
          <w:tblHeader w:val="false"/>
        </w:trPr>
        <w:tc>
          <w:tcPr>
            <w:tcW w:type="dxa" w:w="1337"/>
            <w:tcMar>
              <w:top w:type="dxa" w:w="60"/>
              <w:left w:type="dxa" w:w="90"/>
              <w:bottom w:type="dxa" w:w="60"/>
              <w:right w:type="dxa" w:w="90"/>
            </w:tcMar>
          </w:tcPr>
          <w:p>
            <w:pPr>
              <w:spacing w:after="0"/>
            </w:pPr>
            <w:r>
              <w:rPr>
                <w:i w:val="false"/>
                <w:iCs w:val="false"/>
                <w:color w:val="000000"/>
                <w:sz w:val="18"/>
                <w:szCs w:val="18"/>
              </w:rPr>
              <w:t xml:space="preserve">Industria alimentos y bebidas</w:t>
            </w:r>
          </w:p>
        </w:tc>
        <w:tc>
          <w:tcPr>
            <w:tcW w:type="dxa" w:w="1337"/>
            <w:tcMar>
              <w:top w:type="dxa" w:w="60"/>
              <w:left w:type="dxa" w:w="90"/>
              <w:bottom w:type="dxa" w:w="60"/>
              <w:right w:type="dxa" w:w="90"/>
            </w:tcMar>
          </w:tcPr>
          <w:p>
            <w:pPr>
              <w:spacing w:after="0"/>
            </w:pPr>
            <w:r>
              <w:rPr>
                <w:i w:val="false"/>
                <w:iCs w:val="false"/>
                <w:color w:val="000000"/>
                <w:sz w:val="18"/>
                <w:szCs w:val="18"/>
              </w:rPr>
              <w:t xml:space="preserve">2.277</w:t>
            </w:r>
          </w:p>
        </w:tc>
        <w:tc>
          <w:tcPr>
            <w:tcW w:type="dxa" w:w="1337"/>
            <w:tcMar>
              <w:top w:type="dxa" w:w="60"/>
              <w:left w:type="dxa" w:w="90"/>
              <w:bottom w:type="dxa" w:w="60"/>
              <w:right w:type="dxa" w:w="90"/>
            </w:tcMar>
          </w:tcPr>
          <w:p>
            <w:pPr>
              <w:spacing w:after="0"/>
            </w:pPr>
            <w:r>
              <w:rPr>
                <w:i w:val="false"/>
                <w:iCs w:val="false"/>
                <w:color w:val="000000"/>
                <w:sz w:val="18"/>
                <w:szCs w:val="18"/>
              </w:rPr>
              <w:t xml:space="preserve">18,6%</w:t>
            </w:r>
          </w:p>
        </w:tc>
        <w:tc>
          <w:tcPr>
            <w:tcW w:type="dxa" w:w="1337"/>
            <w:tcMar>
              <w:top w:type="dxa" w:w="60"/>
              <w:left w:type="dxa" w:w="90"/>
              <w:bottom w:type="dxa" w:w="60"/>
              <w:right w:type="dxa" w:w="90"/>
            </w:tcMar>
          </w:tcPr>
          <w:p>
            <w:pPr>
              <w:spacing w:after="0"/>
            </w:pPr>
            <w:r>
              <w:rPr>
                <w:i w:val="false"/>
                <w:iCs w:val="false"/>
                <w:color w:val="000000"/>
                <w:sz w:val="18"/>
                <w:szCs w:val="18"/>
              </w:rPr>
              <w:t xml:space="preserve">2.065</w:t>
            </w:r>
          </w:p>
        </w:tc>
        <w:tc>
          <w:tcPr>
            <w:tcW w:type="dxa" w:w="1337"/>
            <w:tcMar>
              <w:top w:type="dxa" w:w="60"/>
              <w:left w:type="dxa" w:w="90"/>
              <w:bottom w:type="dxa" w:w="60"/>
              <w:right w:type="dxa" w:w="90"/>
            </w:tcMar>
          </w:tcPr>
          <w:p>
            <w:pPr>
              <w:spacing w:after="0"/>
            </w:pPr>
            <w:r>
              <w:rPr>
                <w:i w:val="false"/>
                <w:iCs w:val="false"/>
                <w:color w:val="000000"/>
                <w:sz w:val="18"/>
                <w:szCs w:val="18"/>
              </w:rPr>
              <w:t xml:space="preserve">−9,3%</w:t>
            </w:r>
          </w:p>
        </w:tc>
        <w:tc>
          <w:tcPr>
            <w:tcW w:type="dxa" w:w="1337"/>
            <w:tcMar>
              <w:top w:type="dxa" w:w="60"/>
              <w:left w:type="dxa" w:w="90"/>
              <w:bottom w:type="dxa" w:w="60"/>
              <w:right w:type="dxa" w:w="90"/>
            </w:tcMar>
          </w:tcPr>
          <w:p>
            <w:pPr>
              <w:spacing w:after="0"/>
            </w:pPr>
            <w:r>
              <w:rPr>
                <w:i w:val="false"/>
                <w:iCs w:val="false"/>
                <w:color w:val="000000"/>
                <w:sz w:val="18"/>
                <w:szCs w:val="18"/>
              </w:rPr>
              <w:t xml:space="preserve">25,6%</w:t>
            </w:r>
          </w:p>
        </w:tc>
        <w:tc>
          <w:tcPr>
            <w:tcW w:type="dxa" w:w="1338"/>
            <w:tcMar>
              <w:top w:type="dxa" w:w="60"/>
              <w:left w:type="dxa" w:w="90"/>
              <w:bottom w:type="dxa" w:w="60"/>
              <w:right w:type="dxa" w:w="90"/>
            </w:tcMar>
          </w:tcPr>
          <w:p>
            <w:pPr>
              <w:spacing w:after="0"/>
            </w:pPr>
            <w:r>
              <w:rPr>
                <w:i w:val="false"/>
                <w:iCs w:val="false"/>
                <w:color w:val="000000"/>
                <w:sz w:val="18"/>
                <w:szCs w:val="18"/>
              </w:rPr>
              <w:t xml:space="preserve">26,4%</w:t>
            </w:r>
          </w:p>
        </w:tc>
      </w:tr>
      <w:tr>
        <w:trPr>
          <w:tblHeader w:val="false"/>
        </w:trPr>
        <w:tc>
          <w:tcPr>
            <w:tcW w:type="dxa" w:w="1337"/>
            <w:tcMar>
              <w:top w:type="dxa" w:w="60"/>
              <w:left w:type="dxa" w:w="90"/>
              <w:bottom w:type="dxa" w:w="60"/>
              <w:right w:type="dxa" w:w="90"/>
            </w:tcMar>
          </w:tcPr>
          <w:p>
            <w:pPr>
              <w:spacing w:after="0"/>
            </w:pPr>
            <w:r>
              <w:rPr>
                <w:i w:val="false"/>
                <w:iCs w:val="false"/>
                <w:color w:val="000000"/>
                <w:sz w:val="18"/>
                <w:szCs w:val="18"/>
              </w:rPr>
              <w:t xml:space="preserve">Farmacéutico y cosmético</w:t>
            </w:r>
          </w:p>
        </w:tc>
        <w:tc>
          <w:tcPr>
            <w:tcW w:type="dxa" w:w="1337"/>
            <w:tcMar>
              <w:top w:type="dxa" w:w="60"/>
              <w:left w:type="dxa" w:w="90"/>
              <w:bottom w:type="dxa" w:w="60"/>
              <w:right w:type="dxa" w:w="90"/>
            </w:tcMar>
          </w:tcPr>
          <w:p>
            <w:pPr>
              <w:spacing w:after="0"/>
            </w:pPr>
            <w:r>
              <w:rPr>
                <w:i w:val="false"/>
                <w:iCs w:val="false"/>
                <w:color w:val="000000"/>
                <w:sz w:val="18"/>
                <w:szCs w:val="18"/>
              </w:rPr>
              <w:t xml:space="preserve">1.918</w:t>
            </w:r>
          </w:p>
        </w:tc>
        <w:tc>
          <w:tcPr>
            <w:tcW w:type="dxa" w:w="1337"/>
            <w:tcMar>
              <w:top w:type="dxa" w:w="60"/>
              <w:left w:type="dxa" w:w="90"/>
              <w:bottom w:type="dxa" w:w="60"/>
              <w:right w:type="dxa" w:w="90"/>
            </w:tcMar>
          </w:tcPr>
          <w:p>
            <w:pPr>
              <w:spacing w:after="0"/>
            </w:pPr>
            <w:r>
              <w:rPr>
                <w:i w:val="false"/>
                <w:iCs w:val="false"/>
                <w:color w:val="000000"/>
                <w:sz w:val="18"/>
                <w:szCs w:val="18"/>
              </w:rPr>
              <w:t xml:space="preserve">15,7%</w:t>
            </w:r>
          </w:p>
        </w:tc>
        <w:tc>
          <w:tcPr>
            <w:tcW w:type="dxa" w:w="1337"/>
            <w:tcMar>
              <w:top w:type="dxa" w:w="60"/>
              <w:left w:type="dxa" w:w="90"/>
              <w:bottom w:type="dxa" w:w="60"/>
              <w:right w:type="dxa" w:w="90"/>
            </w:tcMar>
          </w:tcPr>
          <w:p>
            <w:pPr>
              <w:spacing w:after="0"/>
            </w:pPr>
            <w:r>
              <w:rPr>
                <w:i w:val="false"/>
                <w:iCs w:val="false"/>
                <w:color w:val="000000"/>
                <w:sz w:val="18"/>
                <w:szCs w:val="18"/>
              </w:rPr>
              <w:t xml:space="preserve">1.751</w:t>
            </w:r>
          </w:p>
        </w:tc>
        <w:tc>
          <w:tcPr>
            <w:tcW w:type="dxa" w:w="1337"/>
            <w:tcMar>
              <w:top w:type="dxa" w:w="60"/>
              <w:left w:type="dxa" w:w="90"/>
              <w:bottom w:type="dxa" w:w="60"/>
              <w:right w:type="dxa" w:w="90"/>
            </w:tcMar>
          </w:tcPr>
          <w:p>
            <w:pPr>
              <w:spacing w:after="0"/>
            </w:pPr>
            <w:r>
              <w:rPr>
                <w:i w:val="false"/>
                <w:iCs w:val="false"/>
                <w:color w:val="000000"/>
                <w:sz w:val="18"/>
                <w:szCs w:val="18"/>
              </w:rPr>
              <w:t xml:space="preserve">−8,7%</w:t>
            </w:r>
          </w:p>
        </w:tc>
        <w:tc>
          <w:tcPr>
            <w:tcW w:type="dxa" w:w="1337"/>
            <w:tcMar>
              <w:top w:type="dxa" w:w="60"/>
              <w:left w:type="dxa" w:w="90"/>
              <w:bottom w:type="dxa" w:w="60"/>
              <w:right w:type="dxa" w:w="90"/>
            </w:tcMar>
          </w:tcPr>
          <w:p>
            <w:pPr>
              <w:spacing w:after="0"/>
            </w:pPr>
            <w:r>
              <w:rPr>
                <w:i w:val="false"/>
                <w:iCs w:val="false"/>
                <w:color w:val="000000"/>
                <w:sz w:val="18"/>
                <w:szCs w:val="18"/>
              </w:rPr>
              <w:t xml:space="preserve">23,6%</w:t>
            </w:r>
          </w:p>
        </w:tc>
        <w:tc>
          <w:tcPr>
            <w:tcW w:type="dxa" w:w="1338"/>
            <w:tcMar>
              <w:top w:type="dxa" w:w="60"/>
              <w:left w:type="dxa" w:w="90"/>
              <w:bottom w:type="dxa" w:w="60"/>
              <w:right w:type="dxa" w:w="90"/>
            </w:tcMar>
          </w:tcPr>
          <w:p>
            <w:pPr>
              <w:spacing w:after="0"/>
            </w:pPr>
            <w:r>
              <w:rPr>
                <w:i w:val="false"/>
                <w:iCs w:val="false"/>
                <w:color w:val="000000"/>
                <w:sz w:val="18"/>
                <w:szCs w:val="18"/>
              </w:rPr>
              <w:t xml:space="preserve">25,3%</w:t>
            </w:r>
          </w:p>
        </w:tc>
      </w:tr>
      <w:tr>
        <w:trPr>
          <w:tblHeader w:val="false"/>
        </w:trPr>
        <w:tc>
          <w:tcPr>
            <w:tcW w:type="dxa" w:w="1337"/>
            <w:tcMar>
              <w:top w:type="dxa" w:w="60"/>
              <w:left w:type="dxa" w:w="90"/>
              <w:bottom w:type="dxa" w:w="60"/>
              <w:right w:type="dxa" w:w="90"/>
            </w:tcMar>
          </w:tcPr>
          <w:p>
            <w:pPr>
              <w:spacing w:after="0"/>
            </w:pPr>
            <w:r>
              <w:rPr>
                <w:i w:val="false"/>
                <w:iCs w:val="false"/>
                <w:color w:val="000000"/>
                <w:sz w:val="18"/>
                <w:szCs w:val="18"/>
              </w:rPr>
              <w:t xml:space="preserve">Comercializadora</w:t>
            </w:r>
          </w:p>
        </w:tc>
        <w:tc>
          <w:tcPr>
            <w:tcW w:type="dxa" w:w="1337"/>
            <w:tcMar>
              <w:top w:type="dxa" w:w="60"/>
              <w:left w:type="dxa" w:w="90"/>
              <w:bottom w:type="dxa" w:w="60"/>
              <w:right w:type="dxa" w:w="90"/>
            </w:tcMar>
          </w:tcPr>
          <w:p>
            <w:pPr>
              <w:spacing w:after="0"/>
            </w:pPr>
            <w:r>
              <w:rPr>
                <w:i w:val="false"/>
                <w:iCs w:val="false"/>
                <w:color w:val="000000"/>
                <w:sz w:val="18"/>
                <w:szCs w:val="18"/>
              </w:rPr>
              <w:t xml:space="preserve">1.871</w:t>
            </w:r>
          </w:p>
        </w:tc>
        <w:tc>
          <w:tcPr>
            <w:tcW w:type="dxa" w:w="1337"/>
            <w:tcMar>
              <w:top w:type="dxa" w:w="60"/>
              <w:left w:type="dxa" w:w="90"/>
              <w:bottom w:type="dxa" w:w="60"/>
              <w:right w:type="dxa" w:w="90"/>
            </w:tcMar>
          </w:tcPr>
          <w:p>
            <w:pPr>
              <w:spacing w:after="0"/>
            </w:pPr>
            <w:r>
              <w:rPr>
                <w:i w:val="false"/>
                <w:iCs w:val="false"/>
                <w:color w:val="000000"/>
                <w:sz w:val="18"/>
                <w:szCs w:val="18"/>
              </w:rPr>
              <w:t xml:space="preserve">15,3%</w:t>
            </w:r>
          </w:p>
        </w:tc>
        <w:tc>
          <w:tcPr>
            <w:tcW w:type="dxa" w:w="1337"/>
            <w:tcMar>
              <w:top w:type="dxa" w:w="60"/>
              <w:left w:type="dxa" w:w="90"/>
              <w:bottom w:type="dxa" w:w="60"/>
              <w:right w:type="dxa" w:w="90"/>
            </w:tcMar>
          </w:tcPr>
          <w:p>
            <w:pPr>
              <w:spacing w:after="0"/>
            </w:pPr>
            <w:r>
              <w:rPr>
                <w:i w:val="false"/>
                <w:iCs w:val="false"/>
                <w:color w:val="000000"/>
                <w:sz w:val="18"/>
                <w:szCs w:val="18"/>
              </w:rPr>
              <w:t xml:space="preserve">1.583</w:t>
            </w:r>
          </w:p>
        </w:tc>
        <w:tc>
          <w:tcPr>
            <w:tcW w:type="dxa" w:w="1337"/>
            <w:tcMar>
              <w:top w:type="dxa" w:w="60"/>
              <w:left w:type="dxa" w:w="90"/>
              <w:bottom w:type="dxa" w:w="60"/>
              <w:right w:type="dxa" w:w="90"/>
            </w:tcMar>
          </w:tcPr>
          <w:p>
            <w:pPr>
              <w:spacing w:after="0"/>
            </w:pPr>
            <w:r>
              <w:rPr>
                <w:i w:val="false"/>
                <w:iCs w:val="false"/>
                <w:color w:val="000000"/>
                <w:sz w:val="18"/>
                <w:szCs w:val="18"/>
              </w:rPr>
              <w:t xml:space="preserve">−15,4%</w:t>
            </w:r>
          </w:p>
        </w:tc>
        <w:tc>
          <w:tcPr>
            <w:tcW w:type="dxa" w:w="1337"/>
            <w:tcMar>
              <w:top w:type="dxa" w:w="60"/>
              <w:left w:type="dxa" w:w="90"/>
              <w:bottom w:type="dxa" w:w="60"/>
              <w:right w:type="dxa" w:w="90"/>
            </w:tcMar>
          </w:tcPr>
          <w:p>
            <w:pPr>
              <w:spacing w:after="0"/>
            </w:pPr>
            <w:r>
              <w:rPr>
                <w:i w:val="false"/>
                <w:iCs w:val="false"/>
                <w:color w:val="000000"/>
                <w:sz w:val="18"/>
                <w:szCs w:val="18"/>
              </w:rPr>
              <w:t xml:space="preserve">22,6%</w:t>
            </w:r>
          </w:p>
        </w:tc>
        <w:tc>
          <w:tcPr>
            <w:tcW w:type="dxa" w:w="1338"/>
            <w:tcMar>
              <w:top w:type="dxa" w:w="60"/>
              <w:left w:type="dxa" w:w="90"/>
              <w:bottom w:type="dxa" w:w="60"/>
              <w:right w:type="dxa" w:w="90"/>
            </w:tcMar>
          </w:tcPr>
          <w:p>
            <w:pPr>
              <w:spacing w:after="0"/>
            </w:pPr>
            <w:r>
              <w:rPr>
                <w:i w:val="false"/>
                <w:iCs w:val="false"/>
                <w:color w:val="000000"/>
                <w:sz w:val="18"/>
                <w:szCs w:val="18"/>
              </w:rPr>
              <w:t xml:space="preserve">26,0%</w:t>
            </w:r>
          </w:p>
        </w:tc>
      </w:tr>
      <w:tr>
        <w:trPr>
          <w:tblHeader w:val="false"/>
        </w:trPr>
        <w:tc>
          <w:tcPr>
            <w:tcW w:type="dxa" w:w="1337"/>
            <w:tcMar>
              <w:top w:type="dxa" w:w="60"/>
              <w:left w:type="dxa" w:w="90"/>
              <w:bottom w:type="dxa" w:w="60"/>
              <w:right w:type="dxa" w:w="90"/>
            </w:tcMar>
          </w:tcPr>
          <w:p>
            <w:pPr>
              <w:spacing w:after="0"/>
            </w:pPr>
            <w:r>
              <w:rPr>
                <w:i w:val="false"/>
                <w:iCs w:val="false"/>
                <w:color w:val="000000"/>
                <w:sz w:val="18"/>
                <w:szCs w:val="18"/>
              </w:rPr>
              <w:t xml:space="preserve">Industria química</w:t>
            </w:r>
          </w:p>
        </w:tc>
        <w:tc>
          <w:tcPr>
            <w:tcW w:type="dxa" w:w="1337"/>
            <w:tcMar>
              <w:top w:type="dxa" w:w="60"/>
              <w:left w:type="dxa" w:w="90"/>
              <w:bottom w:type="dxa" w:w="60"/>
              <w:right w:type="dxa" w:w="90"/>
            </w:tcMar>
          </w:tcPr>
          <w:p>
            <w:pPr>
              <w:spacing w:after="0"/>
            </w:pPr>
            <w:r>
              <w:rPr>
                <w:i w:val="false"/>
                <w:iCs w:val="false"/>
                <w:color w:val="000000"/>
                <w:sz w:val="18"/>
                <w:szCs w:val="18"/>
              </w:rPr>
              <w:t xml:space="preserve">1.649</w:t>
            </w:r>
          </w:p>
        </w:tc>
        <w:tc>
          <w:tcPr>
            <w:tcW w:type="dxa" w:w="1337"/>
            <w:tcMar>
              <w:top w:type="dxa" w:w="60"/>
              <w:left w:type="dxa" w:w="90"/>
              <w:bottom w:type="dxa" w:w="60"/>
              <w:right w:type="dxa" w:w="90"/>
            </w:tcMar>
          </w:tcPr>
          <w:p>
            <w:pPr>
              <w:spacing w:after="0"/>
            </w:pPr>
            <w:r>
              <w:rPr>
                <w:i w:val="false"/>
                <w:iCs w:val="false"/>
                <w:color w:val="000000"/>
                <w:sz w:val="18"/>
                <w:szCs w:val="18"/>
              </w:rPr>
              <w:t xml:space="preserve">13,5%</w:t>
            </w:r>
          </w:p>
        </w:tc>
        <w:tc>
          <w:tcPr>
            <w:tcW w:type="dxa" w:w="1337"/>
            <w:tcMar>
              <w:top w:type="dxa" w:w="60"/>
              <w:left w:type="dxa" w:w="90"/>
              <w:bottom w:type="dxa" w:w="60"/>
              <w:right w:type="dxa" w:w="90"/>
            </w:tcMar>
          </w:tcPr>
          <w:p>
            <w:pPr>
              <w:spacing w:after="0"/>
            </w:pPr>
            <w:r>
              <w:rPr>
                <w:i w:val="false"/>
                <w:iCs w:val="false"/>
                <w:color w:val="000000"/>
                <w:sz w:val="18"/>
                <w:szCs w:val="18"/>
              </w:rPr>
              <w:t xml:space="preserve">1.696</w:t>
            </w:r>
          </w:p>
        </w:tc>
        <w:tc>
          <w:tcPr>
            <w:tcW w:type="dxa" w:w="1337"/>
            <w:tcMar>
              <w:top w:type="dxa" w:w="60"/>
              <w:left w:type="dxa" w:w="90"/>
              <w:bottom w:type="dxa" w:w="60"/>
              <w:right w:type="dxa" w:w="90"/>
            </w:tcMar>
          </w:tcPr>
          <w:p>
            <w:pPr>
              <w:spacing w:after="0"/>
            </w:pPr>
            <w:r>
              <w:rPr>
                <w:i w:val="false"/>
                <w:iCs w:val="false"/>
                <w:color w:val="000000"/>
                <w:sz w:val="18"/>
                <w:szCs w:val="18"/>
              </w:rPr>
              <w:t xml:space="preserve">+2,9%</w:t>
            </w:r>
          </w:p>
        </w:tc>
        <w:tc>
          <w:tcPr>
            <w:tcW w:type="dxa" w:w="1337"/>
            <w:tcMar>
              <w:top w:type="dxa" w:w="60"/>
              <w:left w:type="dxa" w:w="90"/>
              <w:bottom w:type="dxa" w:w="60"/>
              <w:right w:type="dxa" w:w="90"/>
            </w:tcMar>
          </w:tcPr>
          <w:p>
            <w:pPr>
              <w:spacing w:after="0"/>
            </w:pPr>
            <w:r>
              <w:rPr>
                <w:i w:val="false"/>
                <w:iCs w:val="false"/>
                <w:color w:val="000000"/>
                <w:sz w:val="18"/>
                <w:szCs w:val="18"/>
              </w:rPr>
              <w:t xml:space="preserve">26,8%</w:t>
            </w:r>
          </w:p>
        </w:tc>
        <w:tc>
          <w:tcPr>
            <w:tcW w:type="dxa" w:w="1338"/>
            <w:tcMar>
              <w:top w:type="dxa" w:w="60"/>
              <w:left w:type="dxa" w:w="90"/>
              <w:bottom w:type="dxa" w:w="60"/>
              <w:right w:type="dxa" w:w="90"/>
            </w:tcMar>
          </w:tcPr>
          <w:p>
            <w:pPr>
              <w:spacing w:after="0"/>
            </w:pPr>
            <w:r>
              <w:rPr>
                <w:i w:val="false"/>
                <w:iCs w:val="false"/>
                <w:color w:val="000000"/>
                <w:sz w:val="18"/>
                <w:szCs w:val="18"/>
              </w:rPr>
              <w:t xml:space="preserve">28,3%</w:t>
            </w:r>
          </w:p>
        </w:tc>
      </w:tr>
      <w:tr>
        <w:trPr>
          <w:tblHeader w:val="false"/>
        </w:trPr>
        <w:tc>
          <w:tcPr>
            <w:tcW w:type="dxa" w:w="1337"/>
            <w:tcMar>
              <w:top w:type="dxa" w:w="60"/>
              <w:left w:type="dxa" w:w="90"/>
              <w:bottom w:type="dxa" w:w="60"/>
              <w:right w:type="dxa" w:w="90"/>
            </w:tcMar>
          </w:tcPr>
          <w:p>
            <w:pPr>
              <w:spacing w:after="0"/>
            </w:pPr>
            <w:r>
              <w:rPr>
                <w:i w:val="false"/>
                <w:iCs w:val="false"/>
                <w:color w:val="000000"/>
                <w:sz w:val="18"/>
                <w:szCs w:val="18"/>
              </w:rPr>
              <w:t xml:space="preserve">Licitaciones SECOP</w:t>
            </w:r>
          </w:p>
        </w:tc>
        <w:tc>
          <w:tcPr>
            <w:tcW w:type="dxa" w:w="1337"/>
            <w:tcMar>
              <w:top w:type="dxa" w:w="60"/>
              <w:left w:type="dxa" w:w="90"/>
              <w:bottom w:type="dxa" w:w="60"/>
              <w:right w:type="dxa" w:w="90"/>
            </w:tcMar>
          </w:tcPr>
          <w:p>
            <w:pPr>
              <w:spacing w:after="0"/>
            </w:pPr>
            <w:r>
              <w:rPr>
                <w:i w:val="false"/>
                <w:iCs w:val="false"/>
                <w:color w:val="000000"/>
                <w:sz w:val="18"/>
                <w:szCs w:val="18"/>
              </w:rPr>
              <w:t xml:space="preserve">1.626</w:t>
            </w:r>
          </w:p>
        </w:tc>
        <w:tc>
          <w:tcPr>
            <w:tcW w:type="dxa" w:w="1337"/>
            <w:tcMar>
              <w:top w:type="dxa" w:w="60"/>
              <w:left w:type="dxa" w:w="90"/>
              <w:bottom w:type="dxa" w:w="60"/>
              <w:right w:type="dxa" w:w="90"/>
            </w:tcMar>
          </w:tcPr>
          <w:p>
            <w:pPr>
              <w:spacing w:after="0"/>
            </w:pPr>
            <w:r>
              <w:rPr>
                <w:i w:val="false"/>
                <w:iCs w:val="false"/>
                <w:color w:val="000000"/>
                <w:sz w:val="18"/>
                <w:szCs w:val="18"/>
              </w:rPr>
              <w:t xml:space="preserve">13,3%</w:t>
            </w:r>
          </w:p>
        </w:tc>
        <w:tc>
          <w:tcPr>
            <w:tcW w:type="dxa" w:w="1337"/>
            <w:tcMar>
              <w:top w:type="dxa" w:w="60"/>
              <w:left w:type="dxa" w:w="90"/>
              <w:bottom w:type="dxa" w:w="60"/>
              <w:right w:type="dxa" w:w="90"/>
            </w:tcMar>
          </w:tcPr>
          <w:p>
            <w:pPr>
              <w:spacing w:after="0"/>
            </w:pPr>
            <w:r>
              <w:rPr>
                <w:i w:val="false"/>
                <w:iCs w:val="false"/>
                <w:color w:val="000000"/>
                <w:sz w:val="18"/>
                <w:szCs w:val="18"/>
              </w:rPr>
              <w:t xml:space="preserve">1.908</w:t>
            </w:r>
          </w:p>
        </w:tc>
        <w:tc>
          <w:tcPr>
            <w:tcW w:type="dxa" w:w="1337"/>
            <w:tcMar>
              <w:top w:type="dxa" w:w="60"/>
              <w:left w:type="dxa" w:w="90"/>
              <w:bottom w:type="dxa" w:w="60"/>
              <w:right w:type="dxa" w:w="90"/>
            </w:tcMar>
          </w:tcPr>
          <w:p>
            <w:pPr>
              <w:spacing w:after="0"/>
            </w:pPr>
            <w:r>
              <w:rPr>
                <w:i w:val="false"/>
                <w:iCs w:val="false"/>
                <w:color w:val="000000"/>
                <w:sz w:val="18"/>
                <w:szCs w:val="18"/>
              </w:rPr>
              <w:t xml:space="preserve">+17,3%</w:t>
            </w:r>
          </w:p>
        </w:tc>
        <w:tc>
          <w:tcPr>
            <w:tcW w:type="dxa" w:w="1337"/>
            <w:tcMar>
              <w:top w:type="dxa" w:w="60"/>
              <w:left w:type="dxa" w:w="90"/>
              <w:bottom w:type="dxa" w:w="60"/>
              <w:right w:type="dxa" w:w="90"/>
            </w:tcMar>
          </w:tcPr>
          <w:p>
            <w:pPr>
              <w:spacing w:after="0"/>
            </w:pPr>
            <w:r>
              <w:rPr>
                <w:i w:val="false"/>
                <w:iCs w:val="false"/>
                <w:color w:val="000000"/>
                <w:sz w:val="18"/>
                <w:szCs w:val="18"/>
              </w:rPr>
              <w:t xml:space="preserve">27,7%</w:t>
            </w:r>
          </w:p>
        </w:tc>
        <w:tc>
          <w:tcPr>
            <w:tcW w:type="dxa" w:w="1338"/>
            <w:tcMar>
              <w:top w:type="dxa" w:w="60"/>
              <w:left w:type="dxa" w:w="90"/>
              <w:bottom w:type="dxa" w:w="60"/>
              <w:right w:type="dxa" w:w="90"/>
            </w:tcMar>
          </w:tcPr>
          <w:p>
            <w:pPr>
              <w:spacing w:after="0"/>
            </w:pPr>
            <w:r>
              <w:rPr>
                <w:i w:val="false"/>
                <w:iCs w:val="false"/>
                <w:color w:val="000000"/>
                <w:sz w:val="18"/>
                <w:szCs w:val="18"/>
              </w:rPr>
              <w:t xml:space="preserve">28,0%</w:t>
            </w:r>
          </w:p>
        </w:tc>
      </w:tr>
      <w:tr>
        <w:trPr>
          <w:tblHeader w:val="false"/>
        </w:trPr>
        <w:tc>
          <w:tcPr>
            <w:tcW w:type="dxa" w:w="1337"/>
            <w:tcMar>
              <w:top w:type="dxa" w:w="60"/>
              <w:left w:type="dxa" w:w="90"/>
              <w:bottom w:type="dxa" w:w="60"/>
              <w:right w:type="dxa" w:w="90"/>
            </w:tcMar>
          </w:tcPr>
          <w:p>
            <w:pPr>
              <w:spacing w:after="0"/>
            </w:pPr>
            <w:r>
              <w:rPr>
                <w:i w:val="false"/>
                <w:iCs w:val="false"/>
                <w:color w:val="000000"/>
                <w:sz w:val="18"/>
                <w:szCs w:val="18"/>
              </w:rPr>
              <w:t xml:space="preserve">Académico e investigación</w:t>
            </w:r>
          </w:p>
        </w:tc>
        <w:tc>
          <w:tcPr>
            <w:tcW w:type="dxa" w:w="1337"/>
            <w:tcMar>
              <w:top w:type="dxa" w:w="60"/>
              <w:left w:type="dxa" w:w="90"/>
              <w:bottom w:type="dxa" w:w="60"/>
              <w:right w:type="dxa" w:w="90"/>
            </w:tcMar>
          </w:tcPr>
          <w:p>
            <w:pPr>
              <w:spacing w:after="0"/>
            </w:pPr>
            <w:r>
              <w:rPr>
                <w:i w:val="false"/>
                <w:iCs w:val="false"/>
                <w:color w:val="000000"/>
                <w:sz w:val="18"/>
                <w:szCs w:val="18"/>
              </w:rPr>
              <w:t xml:space="preserve">1.328</w:t>
            </w:r>
          </w:p>
        </w:tc>
        <w:tc>
          <w:tcPr>
            <w:tcW w:type="dxa" w:w="1337"/>
            <w:tcMar>
              <w:top w:type="dxa" w:w="60"/>
              <w:left w:type="dxa" w:w="90"/>
              <w:bottom w:type="dxa" w:w="60"/>
              <w:right w:type="dxa" w:w="90"/>
            </w:tcMar>
          </w:tcPr>
          <w:p>
            <w:pPr>
              <w:spacing w:after="0"/>
            </w:pPr>
            <w:r>
              <w:rPr>
                <w:i w:val="false"/>
                <w:iCs w:val="false"/>
                <w:color w:val="000000"/>
                <w:sz w:val="18"/>
                <w:szCs w:val="18"/>
              </w:rPr>
              <w:t xml:space="preserve">10,9%</w:t>
            </w:r>
          </w:p>
        </w:tc>
        <w:tc>
          <w:tcPr>
            <w:tcW w:type="dxa" w:w="1337"/>
            <w:tcMar>
              <w:top w:type="dxa" w:w="60"/>
              <w:left w:type="dxa" w:w="90"/>
              <w:bottom w:type="dxa" w:w="60"/>
              <w:right w:type="dxa" w:w="90"/>
            </w:tcMar>
          </w:tcPr>
          <w:p>
            <w:pPr>
              <w:spacing w:after="0"/>
            </w:pPr>
            <w:r>
              <w:rPr>
                <w:i w:val="false"/>
                <w:iCs w:val="false"/>
                <w:color w:val="000000"/>
                <w:sz w:val="18"/>
                <w:szCs w:val="18"/>
              </w:rPr>
              <w:t xml:space="preserve">1.009</w:t>
            </w:r>
          </w:p>
        </w:tc>
        <w:tc>
          <w:tcPr>
            <w:tcW w:type="dxa" w:w="1337"/>
            <w:tcMar>
              <w:top w:type="dxa" w:w="60"/>
              <w:left w:type="dxa" w:w="90"/>
              <w:bottom w:type="dxa" w:w="60"/>
              <w:right w:type="dxa" w:w="90"/>
            </w:tcMar>
          </w:tcPr>
          <w:p>
            <w:pPr>
              <w:spacing w:after="0"/>
            </w:pPr>
            <w:r>
              <w:rPr>
                <w:i w:val="false"/>
                <w:iCs w:val="false"/>
                <w:color w:val="000000"/>
                <w:sz w:val="18"/>
                <w:szCs w:val="18"/>
              </w:rPr>
              <w:t xml:space="preserve">−24,0%</w:t>
            </w:r>
          </w:p>
        </w:tc>
        <w:tc>
          <w:tcPr>
            <w:tcW w:type="dxa" w:w="1337"/>
            <w:tcMar>
              <w:top w:type="dxa" w:w="60"/>
              <w:left w:type="dxa" w:w="90"/>
              <w:bottom w:type="dxa" w:w="60"/>
              <w:right w:type="dxa" w:w="90"/>
            </w:tcMar>
          </w:tcPr>
          <w:p>
            <w:pPr>
              <w:spacing w:after="0"/>
            </w:pPr>
            <w:r>
              <w:rPr>
                <w:i w:val="false"/>
                <w:iCs w:val="false"/>
                <w:color w:val="000000"/>
                <w:sz w:val="18"/>
                <w:szCs w:val="18"/>
              </w:rPr>
              <w:t xml:space="preserve">23,5%</w:t>
            </w:r>
          </w:p>
        </w:tc>
        <w:tc>
          <w:tcPr>
            <w:tcW w:type="dxa" w:w="1338"/>
            <w:tcMar>
              <w:top w:type="dxa" w:w="60"/>
              <w:left w:type="dxa" w:w="90"/>
              <w:bottom w:type="dxa" w:w="60"/>
              <w:right w:type="dxa" w:w="90"/>
            </w:tcMar>
          </w:tcPr>
          <w:p>
            <w:pPr>
              <w:spacing w:after="0"/>
            </w:pPr>
            <w:r>
              <w:rPr>
                <w:i w:val="false"/>
                <w:iCs w:val="false"/>
                <w:color w:val="000000"/>
                <w:sz w:val="18"/>
                <w:szCs w:val="18"/>
              </w:rPr>
              <w:t xml:space="preserve">22,9%</w:t>
            </w:r>
          </w:p>
        </w:tc>
      </w:tr>
      <w:tr>
        <w:trPr>
          <w:tblHeader w:val="false"/>
        </w:trPr>
        <w:tc>
          <w:tcPr>
            <w:tcW w:type="dxa" w:w="1337"/>
            <w:tcMar>
              <w:top w:type="dxa" w:w="60"/>
              <w:left w:type="dxa" w:w="90"/>
              <w:bottom w:type="dxa" w:w="60"/>
              <w:right w:type="dxa" w:w="90"/>
            </w:tcMar>
          </w:tcPr>
          <w:p>
            <w:pPr>
              <w:spacing w:after="0"/>
            </w:pPr>
            <w:r>
              <w:rPr>
                <w:i w:val="false"/>
                <w:iCs w:val="false"/>
                <w:color w:val="000000"/>
                <w:sz w:val="18"/>
                <w:szCs w:val="18"/>
              </w:rPr>
              <w:t xml:space="preserve">Laboratorios de servicios</w:t>
            </w:r>
          </w:p>
        </w:tc>
        <w:tc>
          <w:tcPr>
            <w:tcW w:type="dxa" w:w="1337"/>
            <w:tcMar>
              <w:top w:type="dxa" w:w="60"/>
              <w:left w:type="dxa" w:w="90"/>
              <w:bottom w:type="dxa" w:w="60"/>
              <w:right w:type="dxa" w:w="90"/>
            </w:tcMar>
          </w:tcPr>
          <w:p>
            <w:pPr>
              <w:spacing w:after="0"/>
            </w:pPr>
            <w:r>
              <w:rPr>
                <w:i w:val="false"/>
                <w:iCs w:val="false"/>
                <w:color w:val="000000"/>
                <w:sz w:val="18"/>
                <w:szCs w:val="18"/>
              </w:rPr>
              <w:t xml:space="preserve">845</w:t>
            </w:r>
          </w:p>
        </w:tc>
        <w:tc>
          <w:tcPr>
            <w:tcW w:type="dxa" w:w="1337"/>
            <w:tcMar>
              <w:top w:type="dxa" w:w="60"/>
              <w:left w:type="dxa" w:w="90"/>
              <w:bottom w:type="dxa" w:w="60"/>
              <w:right w:type="dxa" w:w="90"/>
            </w:tcMar>
          </w:tcPr>
          <w:p>
            <w:pPr>
              <w:spacing w:after="0"/>
            </w:pPr>
            <w:r>
              <w:rPr>
                <w:i w:val="false"/>
                <w:iCs w:val="false"/>
                <w:color w:val="000000"/>
                <w:sz w:val="18"/>
                <w:szCs w:val="18"/>
              </w:rPr>
              <w:t xml:space="preserve">6,9%</w:t>
            </w:r>
          </w:p>
        </w:tc>
        <w:tc>
          <w:tcPr>
            <w:tcW w:type="dxa" w:w="1337"/>
            <w:tcMar>
              <w:top w:type="dxa" w:w="60"/>
              <w:left w:type="dxa" w:w="90"/>
              <w:bottom w:type="dxa" w:w="60"/>
              <w:right w:type="dxa" w:w="90"/>
            </w:tcMar>
          </w:tcPr>
          <w:p>
            <w:pPr>
              <w:spacing w:after="0"/>
            </w:pPr>
            <w:r>
              <w:rPr>
                <w:i w:val="false"/>
                <w:iCs w:val="false"/>
                <w:color w:val="000000"/>
                <w:sz w:val="18"/>
                <w:szCs w:val="18"/>
              </w:rPr>
              <w:t xml:space="preserve">770</w:t>
            </w:r>
          </w:p>
        </w:tc>
        <w:tc>
          <w:tcPr>
            <w:tcW w:type="dxa" w:w="1337"/>
            <w:tcMar>
              <w:top w:type="dxa" w:w="60"/>
              <w:left w:type="dxa" w:w="90"/>
              <w:bottom w:type="dxa" w:w="60"/>
              <w:right w:type="dxa" w:w="90"/>
            </w:tcMar>
          </w:tcPr>
          <w:p>
            <w:pPr>
              <w:spacing w:after="0"/>
            </w:pPr>
            <w:r>
              <w:rPr>
                <w:i w:val="false"/>
                <w:iCs w:val="false"/>
                <w:color w:val="000000"/>
                <w:sz w:val="18"/>
                <w:szCs w:val="18"/>
              </w:rPr>
              <w:t xml:space="preserve">−8,9%</w:t>
            </w:r>
          </w:p>
        </w:tc>
        <w:tc>
          <w:tcPr>
            <w:tcW w:type="dxa" w:w="1337"/>
            <w:tcMar>
              <w:top w:type="dxa" w:w="60"/>
              <w:left w:type="dxa" w:w="90"/>
              <w:bottom w:type="dxa" w:w="60"/>
              <w:right w:type="dxa" w:w="90"/>
            </w:tcMar>
          </w:tcPr>
          <w:p>
            <w:pPr>
              <w:spacing w:after="0"/>
            </w:pPr>
            <w:r>
              <w:rPr>
                <w:i w:val="false"/>
                <w:iCs w:val="false"/>
                <w:color w:val="000000"/>
                <w:sz w:val="18"/>
                <w:szCs w:val="18"/>
              </w:rPr>
              <w:t xml:space="preserve">24,2%</w:t>
            </w:r>
          </w:p>
        </w:tc>
        <w:tc>
          <w:tcPr>
            <w:tcW w:type="dxa" w:w="1338"/>
            <w:tcMar>
              <w:top w:type="dxa" w:w="60"/>
              <w:left w:type="dxa" w:w="90"/>
              <w:bottom w:type="dxa" w:w="60"/>
              <w:right w:type="dxa" w:w="90"/>
            </w:tcMar>
          </w:tcPr>
          <w:p>
            <w:pPr>
              <w:spacing w:after="0"/>
            </w:pPr>
            <w:r>
              <w:rPr>
                <w:i w:val="false"/>
                <w:iCs w:val="false"/>
                <w:color w:val="000000"/>
                <w:sz w:val="18"/>
                <w:szCs w:val="18"/>
              </w:rPr>
              <w:t xml:space="preserve">25,8%</w:t>
            </w:r>
          </w:p>
        </w:tc>
      </w:tr>
      <w:tr>
        <w:trPr>
          <w:tblHeader w:val="false"/>
        </w:trPr>
        <w:tc>
          <w:tcPr>
            <w:tcW w:type="dxa" w:w="1337"/>
            <w:tcMar>
              <w:top w:type="dxa" w:w="60"/>
              <w:left w:type="dxa" w:w="90"/>
              <w:bottom w:type="dxa" w:w="60"/>
              <w:right w:type="dxa" w:w="90"/>
            </w:tcMar>
          </w:tcPr>
          <w:p>
            <w:pPr>
              <w:spacing w:after="0"/>
            </w:pPr>
            <w:r>
              <w:rPr>
                <w:i w:val="false"/>
                <w:iCs w:val="false"/>
                <w:color w:val="000000"/>
                <w:sz w:val="18"/>
                <w:szCs w:val="18"/>
              </w:rPr>
              <w:t xml:space="preserve">Empresas de servicio público</w:t>
            </w:r>
          </w:p>
        </w:tc>
        <w:tc>
          <w:tcPr>
            <w:tcW w:type="dxa" w:w="1337"/>
            <w:tcMar>
              <w:top w:type="dxa" w:w="60"/>
              <w:left w:type="dxa" w:w="90"/>
              <w:bottom w:type="dxa" w:w="60"/>
              <w:right w:type="dxa" w:w="90"/>
            </w:tcMar>
          </w:tcPr>
          <w:p>
            <w:pPr>
              <w:spacing w:after="0"/>
            </w:pPr>
            <w:r>
              <w:rPr>
                <w:i w:val="false"/>
                <w:iCs w:val="false"/>
                <w:color w:val="000000"/>
                <w:sz w:val="18"/>
                <w:szCs w:val="18"/>
              </w:rPr>
              <w:t xml:space="preserve">492</w:t>
            </w:r>
          </w:p>
        </w:tc>
        <w:tc>
          <w:tcPr>
            <w:tcW w:type="dxa" w:w="1337"/>
            <w:tcMar>
              <w:top w:type="dxa" w:w="60"/>
              <w:left w:type="dxa" w:w="90"/>
              <w:bottom w:type="dxa" w:w="60"/>
              <w:right w:type="dxa" w:w="90"/>
            </w:tcMar>
          </w:tcPr>
          <w:p>
            <w:pPr>
              <w:spacing w:after="0"/>
            </w:pPr>
            <w:r>
              <w:rPr>
                <w:i w:val="false"/>
                <w:iCs w:val="false"/>
                <w:color w:val="000000"/>
                <w:sz w:val="18"/>
                <w:szCs w:val="18"/>
              </w:rPr>
              <w:t xml:space="preserve">4,0%</w:t>
            </w:r>
          </w:p>
        </w:tc>
        <w:tc>
          <w:tcPr>
            <w:tcW w:type="dxa" w:w="1337"/>
            <w:tcMar>
              <w:top w:type="dxa" w:w="60"/>
              <w:left w:type="dxa" w:w="90"/>
              <w:bottom w:type="dxa" w:w="60"/>
              <w:right w:type="dxa" w:w="90"/>
            </w:tcMar>
          </w:tcPr>
          <w:p>
            <w:pPr>
              <w:spacing w:after="0"/>
            </w:pPr>
            <w:r>
              <w:rPr>
                <w:i w:val="false"/>
                <w:iCs w:val="false"/>
                <w:color w:val="000000"/>
                <w:sz w:val="18"/>
                <w:szCs w:val="18"/>
              </w:rPr>
              <w:t xml:space="preserve">195</w:t>
            </w:r>
          </w:p>
        </w:tc>
        <w:tc>
          <w:tcPr>
            <w:tcW w:type="dxa" w:w="1337"/>
            <w:tcMar>
              <w:top w:type="dxa" w:w="60"/>
              <w:left w:type="dxa" w:w="90"/>
              <w:bottom w:type="dxa" w:w="60"/>
              <w:right w:type="dxa" w:w="90"/>
            </w:tcMar>
          </w:tcPr>
          <w:p>
            <w:pPr>
              <w:spacing w:after="0"/>
            </w:pPr>
            <w:r>
              <w:rPr>
                <w:i w:val="false"/>
                <w:iCs w:val="false"/>
                <w:color w:val="000000"/>
                <w:sz w:val="18"/>
                <w:szCs w:val="18"/>
              </w:rPr>
              <w:t xml:space="preserve">−60,4%</w:t>
            </w:r>
          </w:p>
        </w:tc>
        <w:tc>
          <w:tcPr>
            <w:tcW w:type="dxa" w:w="1337"/>
            <w:tcMar>
              <w:top w:type="dxa" w:w="60"/>
              <w:left w:type="dxa" w:w="90"/>
              <w:bottom w:type="dxa" w:w="60"/>
              <w:right w:type="dxa" w:w="90"/>
            </w:tcMar>
          </w:tcPr>
          <w:p>
            <w:pPr>
              <w:spacing w:after="0"/>
            </w:pPr>
            <w:r>
              <w:rPr>
                <w:i w:val="false"/>
                <w:iCs w:val="false"/>
                <w:color w:val="000000"/>
                <w:sz w:val="18"/>
                <w:szCs w:val="18"/>
              </w:rPr>
              <w:t xml:space="preserve">25,5%</w:t>
            </w:r>
          </w:p>
        </w:tc>
        <w:tc>
          <w:tcPr>
            <w:tcW w:type="dxa" w:w="1338"/>
            <w:tcMar>
              <w:top w:type="dxa" w:w="60"/>
              <w:left w:type="dxa" w:w="90"/>
              <w:bottom w:type="dxa" w:w="60"/>
              <w:right w:type="dxa" w:w="90"/>
            </w:tcMar>
          </w:tcPr>
          <w:p>
            <w:pPr>
              <w:spacing w:after="0"/>
            </w:pPr>
            <w:r>
              <w:rPr>
                <w:i w:val="false"/>
                <w:iCs w:val="false"/>
                <w:color w:val="000000"/>
                <w:sz w:val="18"/>
                <w:szCs w:val="18"/>
              </w:rPr>
              <w:t xml:space="preserve">17,1%</w:t>
            </w:r>
          </w:p>
        </w:tc>
      </w:tr>
      <w:tr>
        <w:trPr>
          <w:tblHeader w:val="false"/>
        </w:trPr>
        <w:tc>
          <w:tcPr>
            <w:tcW w:type="dxa" w:w="1337"/>
            <w:tcMar>
              <w:top w:type="dxa" w:w="60"/>
              <w:left w:type="dxa" w:w="90"/>
              <w:bottom w:type="dxa" w:w="60"/>
              <w:right w:type="dxa" w:w="90"/>
            </w:tcMar>
          </w:tcPr>
          <w:p>
            <w:pPr>
              <w:spacing w:after="0"/>
            </w:pPr>
            <w:r>
              <w:rPr>
                <w:i w:val="false"/>
                <w:iCs w:val="false"/>
                <w:color w:val="000000"/>
                <w:sz w:val="18"/>
                <w:szCs w:val="18"/>
              </w:rPr>
              <w:t xml:space="preserve">Cannabis</w:t>
            </w:r>
          </w:p>
        </w:tc>
        <w:tc>
          <w:tcPr>
            <w:tcW w:type="dxa" w:w="1337"/>
            <w:tcMar>
              <w:top w:type="dxa" w:w="60"/>
              <w:left w:type="dxa" w:w="90"/>
              <w:bottom w:type="dxa" w:w="60"/>
              <w:right w:type="dxa" w:w="90"/>
            </w:tcMar>
          </w:tcPr>
          <w:p>
            <w:pPr>
              <w:spacing w:after="0"/>
            </w:pPr>
            <w:r>
              <w:rPr>
                <w:i w:val="false"/>
                <w:iCs w:val="false"/>
                <w:color w:val="000000"/>
                <w:sz w:val="18"/>
                <w:szCs w:val="18"/>
              </w:rPr>
              <w:t xml:space="preserve">100</w:t>
            </w:r>
          </w:p>
        </w:tc>
        <w:tc>
          <w:tcPr>
            <w:tcW w:type="dxa" w:w="1337"/>
            <w:tcMar>
              <w:top w:type="dxa" w:w="60"/>
              <w:left w:type="dxa" w:w="90"/>
              <w:bottom w:type="dxa" w:w="60"/>
              <w:right w:type="dxa" w:w="90"/>
            </w:tcMar>
          </w:tcPr>
          <w:p>
            <w:pPr>
              <w:spacing w:after="0"/>
            </w:pPr>
            <w:r>
              <w:rPr>
                <w:i w:val="false"/>
                <w:iCs w:val="false"/>
                <w:color w:val="000000"/>
                <w:sz w:val="18"/>
                <w:szCs w:val="18"/>
              </w:rPr>
              <w:t xml:space="preserve">0,8%</w:t>
            </w:r>
          </w:p>
        </w:tc>
        <w:tc>
          <w:tcPr>
            <w:tcW w:type="dxa" w:w="1337"/>
            <w:tcMar>
              <w:top w:type="dxa" w:w="60"/>
              <w:left w:type="dxa" w:w="90"/>
              <w:bottom w:type="dxa" w:w="60"/>
              <w:right w:type="dxa" w:w="90"/>
            </w:tcMar>
          </w:tcPr>
          <w:p>
            <w:pPr>
              <w:spacing w:after="0"/>
            </w:pPr>
            <w:r>
              <w:rPr>
                <w:i w:val="false"/>
                <w:iCs w:val="false"/>
                <w:color w:val="000000"/>
                <w:sz w:val="18"/>
                <w:szCs w:val="18"/>
              </w:rPr>
              <w:t xml:space="preserve">38</w:t>
            </w:r>
          </w:p>
        </w:tc>
        <w:tc>
          <w:tcPr>
            <w:tcW w:type="dxa" w:w="1337"/>
            <w:tcMar>
              <w:top w:type="dxa" w:w="60"/>
              <w:left w:type="dxa" w:w="90"/>
              <w:bottom w:type="dxa" w:w="60"/>
              <w:right w:type="dxa" w:w="90"/>
            </w:tcMar>
          </w:tcPr>
          <w:p>
            <w:pPr>
              <w:spacing w:after="0"/>
            </w:pPr>
            <w:r>
              <w:rPr>
                <w:i w:val="false"/>
                <w:iCs w:val="false"/>
                <w:color w:val="000000"/>
                <w:sz w:val="18"/>
                <w:szCs w:val="18"/>
              </w:rPr>
              <w:t xml:space="preserve">−61,7%</w:t>
            </w:r>
          </w:p>
        </w:tc>
        <w:tc>
          <w:tcPr>
            <w:tcW w:type="dxa" w:w="1337"/>
            <w:tcMar>
              <w:top w:type="dxa" w:w="60"/>
              <w:left w:type="dxa" w:w="90"/>
              <w:bottom w:type="dxa" w:w="60"/>
              <w:right w:type="dxa" w:w="90"/>
            </w:tcMar>
          </w:tcPr>
          <w:p>
            <w:pPr>
              <w:spacing w:after="0"/>
            </w:pPr>
            <w:r>
              <w:rPr>
                <w:i w:val="false"/>
                <w:iCs w:val="false"/>
                <w:color w:val="000000"/>
                <w:sz w:val="18"/>
                <w:szCs w:val="18"/>
              </w:rPr>
              <w:t xml:space="preserve">30,7%</w:t>
            </w:r>
          </w:p>
        </w:tc>
        <w:tc>
          <w:tcPr>
            <w:tcW w:type="dxa" w:w="1338"/>
            <w:tcMar>
              <w:top w:type="dxa" w:w="60"/>
              <w:left w:type="dxa" w:w="90"/>
              <w:bottom w:type="dxa" w:w="60"/>
              <w:right w:type="dxa" w:w="90"/>
            </w:tcMar>
          </w:tcPr>
          <w:p>
            <w:pPr>
              <w:spacing w:after="0"/>
            </w:pPr>
            <w:r>
              <w:rPr>
                <w:i w:val="false"/>
                <w:iCs w:val="false"/>
                <w:color w:val="000000"/>
                <w:sz w:val="18"/>
                <w:szCs w:val="18"/>
              </w:rPr>
              <w:t xml:space="preserve">39,0%</w:t>
            </w:r>
          </w:p>
        </w:tc>
      </w:tr>
      <w:tr>
        <w:trPr>
          <w:tblHeader w:val="false"/>
        </w:trPr>
        <w:tc>
          <w:tcPr>
            <w:tcW w:type="dxa" w:w="1337"/>
            <w:tcMar>
              <w:top w:type="dxa" w:w="60"/>
              <w:left w:type="dxa" w:w="90"/>
              <w:bottom w:type="dxa" w:w="60"/>
              <w:right w:type="dxa" w:w="90"/>
            </w:tcMar>
          </w:tcPr>
          <w:p>
            <w:pPr>
              <w:spacing w:after="0"/>
            </w:pPr>
            <w:r>
              <w:rPr>
                <w:i w:val="false"/>
                <w:iCs w:val="false"/>
                <w:color w:val="000000"/>
                <w:sz w:val="18"/>
                <w:szCs w:val="18"/>
              </w:rPr>
              <w:t xml:space="preserve">Personas naturales</w:t>
            </w:r>
          </w:p>
        </w:tc>
        <w:tc>
          <w:tcPr>
            <w:tcW w:type="dxa" w:w="1337"/>
            <w:tcMar>
              <w:top w:type="dxa" w:w="60"/>
              <w:left w:type="dxa" w:w="90"/>
              <w:bottom w:type="dxa" w:w="60"/>
              <w:right w:type="dxa" w:w="90"/>
            </w:tcMar>
          </w:tcPr>
          <w:p>
            <w:pPr>
              <w:spacing w:after="0"/>
            </w:pPr>
            <w:r>
              <w:rPr>
                <w:i w:val="false"/>
                <w:iCs w:val="false"/>
                <w:color w:val="000000"/>
                <w:sz w:val="18"/>
                <w:szCs w:val="18"/>
              </w:rPr>
              <w:t xml:space="preserve">70</w:t>
            </w:r>
          </w:p>
        </w:tc>
        <w:tc>
          <w:tcPr>
            <w:tcW w:type="dxa" w:w="1337"/>
            <w:tcMar>
              <w:top w:type="dxa" w:w="60"/>
              <w:left w:type="dxa" w:w="90"/>
              <w:bottom w:type="dxa" w:w="60"/>
              <w:right w:type="dxa" w:w="90"/>
            </w:tcMar>
          </w:tcPr>
          <w:p>
            <w:pPr>
              <w:spacing w:after="0"/>
            </w:pPr>
            <w:r>
              <w:rPr>
                <w:i w:val="false"/>
                <w:iCs w:val="false"/>
                <w:color w:val="000000"/>
                <w:sz w:val="18"/>
                <w:szCs w:val="18"/>
              </w:rPr>
              <w:t xml:space="preserve">0,6%</w:t>
            </w:r>
          </w:p>
        </w:tc>
        <w:tc>
          <w:tcPr>
            <w:tcW w:type="dxa" w:w="1337"/>
            <w:tcMar>
              <w:top w:type="dxa" w:w="60"/>
              <w:left w:type="dxa" w:w="90"/>
              <w:bottom w:type="dxa" w:w="60"/>
              <w:right w:type="dxa" w:w="90"/>
            </w:tcMar>
          </w:tcPr>
          <w:p>
            <w:pPr>
              <w:spacing w:after="0"/>
            </w:pPr>
            <w:r>
              <w:rPr>
                <w:i w:val="false"/>
                <w:iCs w:val="false"/>
                <w:color w:val="000000"/>
                <w:sz w:val="18"/>
                <w:szCs w:val="18"/>
              </w:rPr>
              <w:t xml:space="preserve">103</w:t>
            </w:r>
          </w:p>
        </w:tc>
        <w:tc>
          <w:tcPr>
            <w:tcW w:type="dxa" w:w="1337"/>
            <w:tcMar>
              <w:top w:type="dxa" w:w="60"/>
              <w:left w:type="dxa" w:w="90"/>
              <w:bottom w:type="dxa" w:w="60"/>
              <w:right w:type="dxa" w:w="90"/>
            </w:tcMar>
          </w:tcPr>
          <w:p>
            <w:pPr>
              <w:spacing w:after="0"/>
            </w:pPr>
            <w:r>
              <w:rPr>
                <w:i w:val="false"/>
                <w:iCs w:val="false"/>
                <w:color w:val="000000"/>
                <w:sz w:val="18"/>
                <w:szCs w:val="18"/>
              </w:rPr>
              <w:t xml:space="preserve">+48,3%</w:t>
            </w:r>
          </w:p>
        </w:tc>
        <w:tc>
          <w:tcPr>
            <w:tcW w:type="dxa" w:w="1337"/>
            <w:tcMar>
              <w:top w:type="dxa" w:w="60"/>
              <w:left w:type="dxa" w:w="90"/>
              <w:bottom w:type="dxa" w:w="60"/>
              <w:right w:type="dxa" w:w="90"/>
            </w:tcMar>
          </w:tcPr>
          <w:p>
            <w:pPr>
              <w:spacing w:after="0"/>
            </w:pPr>
            <w:r>
              <w:rPr>
                <w:i w:val="false"/>
                <w:iCs w:val="false"/>
                <w:color w:val="000000"/>
                <w:sz w:val="18"/>
                <w:szCs w:val="18"/>
              </w:rPr>
              <w:t xml:space="preserve">24,6%</w:t>
            </w:r>
          </w:p>
        </w:tc>
        <w:tc>
          <w:tcPr>
            <w:tcW w:type="dxa" w:w="1338"/>
            <w:tcMar>
              <w:top w:type="dxa" w:w="60"/>
              <w:left w:type="dxa" w:w="90"/>
              <w:bottom w:type="dxa" w:w="60"/>
              <w:right w:type="dxa" w:w="90"/>
            </w:tcMar>
          </w:tcPr>
          <w:p>
            <w:pPr>
              <w:spacing w:after="0"/>
            </w:pPr>
            <w:r>
              <w:rPr>
                <w:i w:val="false"/>
                <w:iCs w:val="false"/>
                <w:color w:val="000000"/>
                <w:sz w:val="18"/>
                <w:szCs w:val="18"/>
              </w:rPr>
              <w:t xml:space="preserve">25,6%</w:t>
            </w:r>
          </w:p>
        </w:tc>
      </w:tr>
      <w:tr>
        <w:trPr>
          <w:tblHeader w:val="false"/>
        </w:trPr>
        <w:tc>
          <w:tcPr>
            <w:tcW w:type="dxa" w:w="1337"/>
            <w:tcMar>
              <w:top w:type="dxa" w:w="60"/>
              <w:left w:type="dxa" w:w="90"/>
              <w:bottom w:type="dxa" w:w="60"/>
              <w:right w:type="dxa" w:w="90"/>
            </w:tcMar>
          </w:tcPr>
          <w:p>
            <w:pPr>
              <w:spacing w:after="0"/>
            </w:pPr>
            <w:r>
              <w:rPr>
                <w:i w:val="false"/>
                <w:iCs w:val="false"/>
                <w:color w:val="000000"/>
                <w:sz w:val="18"/>
                <w:szCs w:val="18"/>
              </w:rPr>
              <w:t xml:space="preserve">Clínica</w:t>
            </w:r>
          </w:p>
        </w:tc>
        <w:tc>
          <w:tcPr>
            <w:tcW w:type="dxa" w:w="1337"/>
            <w:tcMar>
              <w:top w:type="dxa" w:w="60"/>
              <w:left w:type="dxa" w:w="90"/>
              <w:bottom w:type="dxa" w:w="60"/>
              <w:right w:type="dxa" w:w="90"/>
            </w:tcMar>
          </w:tcPr>
          <w:p>
            <w:pPr>
              <w:spacing w:after="0"/>
            </w:pPr>
            <w:r>
              <w:rPr>
                <w:i w:val="false"/>
                <w:iCs w:val="false"/>
                <w:color w:val="000000"/>
                <w:sz w:val="18"/>
                <w:szCs w:val="18"/>
              </w:rPr>
              <w:t xml:space="preserve">63</w:t>
            </w:r>
          </w:p>
        </w:tc>
        <w:tc>
          <w:tcPr>
            <w:tcW w:type="dxa" w:w="1337"/>
            <w:tcMar>
              <w:top w:type="dxa" w:w="60"/>
              <w:left w:type="dxa" w:w="90"/>
              <w:bottom w:type="dxa" w:w="60"/>
              <w:right w:type="dxa" w:w="90"/>
            </w:tcMar>
          </w:tcPr>
          <w:p>
            <w:pPr>
              <w:spacing w:after="0"/>
            </w:pPr>
            <w:r>
              <w:rPr>
                <w:i w:val="false"/>
                <w:iCs w:val="false"/>
                <w:color w:val="000000"/>
                <w:sz w:val="18"/>
                <w:szCs w:val="18"/>
              </w:rPr>
              <w:t xml:space="preserve">0,5%</w:t>
            </w:r>
          </w:p>
        </w:tc>
        <w:tc>
          <w:tcPr>
            <w:tcW w:type="dxa" w:w="1337"/>
            <w:tcMar>
              <w:top w:type="dxa" w:w="60"/>
              <w:left w:type="dxa" w:w="90"/>
              <w:bottom w:type="dxa" w:w="60"/>
              <w:right w:type="dxa" w:w="90"/>
            </w:tcMar>
          </w:tcPr>
          <w:p>
            <w:pPr>
              <w:spacing w:after="0"/>
            </w:pPr>
            <w:r>
              <w:rPr>
                <w:i w:val="false"/>
                <w:iCs w:val="false"/>
                <w:color w:val="000000"/>
                <w:sz w:val="18"/>
                <w:szCs w:val="18"/>
              </w:rPr>
              <w:t xml:space="preserve">52</w:t>
            </w:r>
          </w:p>
        </w:tc>
        <w:tc>
          <w:tcPr>
            <w:tcW w:type="dxa" w:w="1337"/>
            <w:tcMar>
              <w:top w:type="dxa" w:w="60"/>
              <w:left w:type="dxa" w:w="90"/>
              <w:bottom w:type="dxa" w:w="60"/>
              <w:right w:type="dxa" w:w="90"/>
            </w:tcMar>
          </w:tcPr>
          <w:p>
            <w:pPr>
              <w:spacing w:after="0"/>
            </w:pPr>
            <w:r>
              <w:rPr>
                <w:i w:val="false"/>
                <w:iCs w:val="false"/>
                <w:color w:val="000000"/>
                <w:sz w:val="18"/>
                <w:szCs w:val="18"/>
              </w:rPr>
              <w:t xml:space="preserve">−17,1%</w:t>
            </w:r>
          </w:p>
        </w:tc>
        <w:tc>
          <w:tcPr>
            <w:tcW w:type="dxa" w:w="1337"/>
            <w:tcMar>
              <w:top w:type="dxa" w:w="60"/>
              <w:left w:type="dxa" w:w="90"/>
              <w:bottom w:type="dxa" w:w="60"/>
              <w:right w:type="dxa" w:w="90"/>
            </w:tcMar>
          </w:tcPr>
          <w:p>
            <w:pPr>
              <w:spacing w:after="0"/>
            </w:pPr>
            <w:r>
              <w:rPr>
                <w:i w:val="false"/>
                <w:iCs w:val="false"/>
                <w:color w:val="000000"/>
                <w:sz w:val="18"/>
                <w:szCs w:val="18"/>
              </w:rPr>
              <w:t xml:space="preserve">28,9%</w:t>
            </w:r>
          </w:p>
        </w:tc>
        <w:tc>
          <w:tcPr>
            <w:tcW w:type="dxa" w:w="1338"/>
            <w:tcMar>
              <w:top w:type="dxa" w:w="60"/>
              <w:left w:type="dxa" w:w="90"/>
              <w:bottom w:type="dxa" w:w="60"/>
              <w:right w:type="dxa" w:w="90"/>
            </w:tcMar>
          </w:tcPr>
          <w:p>
            <w:pPr>
              <w:spacing w:after="0"/>
            </w:pPr>
            <w:r>
              <w:rPr>
                <w:i w:val="false"/>
                <w:iCs w:val="false"/>
                <w:color w:val="000000"/>
                <w:sz w:val="18"/>
                <w:szCs w:val="18"/>
              </w:rPr>
              <w:t xml:space="preserve">33,3%</w:t>
            </w:r>
          </w:p>
        </w:tc>
      </w:tr>
      <w:tr>
        <w:trPr>
          <w:tblHeader w:val="false"/>
        </w:trPr>
        <w:tc>
          <w:tcPr>
            <w:tcW w:type="dxa" w:w="1337"/>
            <w:tcMar>
              <w:top w:type="dxa" w:w="60"/>
              <w:left w:type="dxa" w:w="90"/>
              <w:bottom w:type="dxa" w:w="60"/>
              <w:right w:type="dxa" w:w="90"/>
            </w:tcMar>
          </w:tcPr>
          <w:p>
            <w:pPr>
              <w:spacing w:after="0"/>
            </w:pPr>
            <w:r>
              <w:rPr>
                <w:i w:val="false"/>
                <w:iCs w:val="false"/>
                <w:color w:val="000000"/>
                <w:sz w:val="18"/>
                <w:szCs w:val="18"/>
              </w:rPr>
              <w:t xml:space="preserve">Análisis y control metrológico</w:t>
            </w:r>
          </w:p>
        </w:tc>
        <w:tc>
          <w:tcPr>
            <w:tcW w:type="dxa" w:w="1337"/>
            <w:tcMar>
              <w:top w:type="dxa" w:w="60"/>
              <w:left w:type="dxa" w:w="90"/>
              <w:bottom w:type="dxa" w:w="60"/>
              <w:right w:type="dxa" w:w="90"/>
            </w:tcMar>
          </w:tcPr>
          <w:p>
            <w:pPr>
              <w:spacing w:after="0"/>
            </w:pPr>
            <w:r>
              <w:rPr>
                <w:i w:val="false"/>
                <w:iCs w:val="false"/>
                <w:color w:val="000000"/>
                <w:sz w:val="18"/>
                <w:szCs w:val="18"/>
              </w:rPr>
              <w:t xml:space="preserve">0,5</w:t>
            </w:r>
          </w:p>
        </w:tc>
        <w:tc>
          <w:tcPr>
            <w:tcW w:type="dxa" w:w="1337"/>
            <w:tcMar>
              <w:top w:type="dxa" w:w="60"/>
              <w:left w:type="dxa" w:w="90"/>
              <w:bottom w:type="dxa" w:w="60"/>
              <w:right w:type="dxa" w:w="90"/>
            </w:tcMar>
          </w:tcPr>
          <w:p>
            <w:pPr>
              <w:spacing w:after="0"/>
            </w:pPr>
            <w:r>
              <w:rPr>
                <w:i w:val="false"/>
                <w:iCs w:val="false"/>
                <w:color w:val="000000"/>
                <w:sz w:val="18"/>
                <w:szCs w:val="18"/>
              </w:rPr>
              <w:t xml:space="preserve">0,0%</w:t>
            </w:r>
          </w:p>
        </w:tc>
        <w:tc>
          <w:tcPr>
            <w:tcW w:type="dxa" w:w="1337"/>
            <w:tcMar>
              <w:top w:type="dxa" w:w="60"/>
              <w:left w:type="dxa" w:w="90"/>
              <w:bottom w:type="dxa" w:w="60"/>
              <w:right w:type="dxa" w:w="90"/>
            </w:tcMar>
          </w:tcPr>
          <w:p>
            <w:pPr>
              <w:spacing w:after="0"/>
            </w:pPr>
            <w:r>
              <w:rPr>
                <w:i w:val="false"/>
                <w:iCs w:val="false"/>
                <w:color w:val="000000"/>
                <w:sz w:val="18"/>
                <w:szCs w:val="18"/>
              </w:rPr>
              <w:t xml:space="preserve">7</w:t>
            </w:r>
          </w:p>
        </w:tc>
        <w:tc>
          <w:tcPr>
            <w:tcW w:type="dxa" w:w="1337"/>
            <w:tcMar>
              <w:top w:type="dxa" w:w="60"/>
              <w:left w:type="dxa" w:w="90"/>
              <w:bottom w:type="dxa" w:w="60"/>
              <w:right w:type="dxa" w:w="90"/>
            </w:tcMar>
          </w:tcPr>
          <w:p>
            <w:pPr>
              <w:spacing w:after="0"/>
            </w:pPr>
            <w:r>
              <w:rPr>
                <w:i w:val="false"/>
                <w:iCs w:val="false"/>
                <w:color w:val="000000"/>
                <w:sz w:val="18"/>
                <w:szCs w:val="18"/>
              </w:rPr>
              <w:t xml:space="preserve">—</w:t>
            </w:r>
          </w:p>
        </w:tc>
        <w:tc>
          <w:tcPr>
            <w:tcW w:type="dxa" w:w="1337"/>
            <w:tcMar>
              <w:top w:type="dxa" w:w="60"/>
              <w:left w:type="dxa" w:w="90"/>
              <w:bottom w:type="dxa" w:w="60"/>
              <w:right w:type="dxa" w:w="90"/>
            </w:tcMar>
          </w:tcPr>
          <w:p>
            <w:pPr>
              <w:spacing w:after="0"/>
            </w:pPr>
            <w:r>
              <w:rPr>
                <w:i w:val="false"/>
                <w:iCs w:val="false"/>
                <w:color w:val="000000"/>
                <w:sz w:val="18"/>
                <w:szCs w:val="18"/>
              </w:rPr>
              <w:t xml:space="preserve">30,2%</w:t>
            </w:r>
          </w:p>
        </w:tc>
        <w:tc>
          <w:tcPr>
            <w:tcW w:type="dxa" w:w="1338"/>
            <w:tcMar>
              <w:top w:type="dxa" w:w="60"/>
              <w:left w:type="dxa" w:w="90"/>
              <w:bottom w:type="dxa" w:w="60"/>
              <w:right w:type="dxa" w:w="90"/>
            </w:tcMar>
          </w:tcPr>
          <w:p>
            <w:pPr>
              <w:spacing w:after="0"/>
            </w:pPr>
            <w:r>
              <w:rPr>
                <w:i w:val="false"/>
                <w:iCs w:val="false"/>
                <w:color w:val="000000"/>
                <w:sz w:val="18"/>
                <w:szCs w:val="18"/>
              </w:rPr>
              <w:t xml:space="preserve">28,9%</w:t>
            </w:r>
          </w:p>
        </w:tc>
      </w:tr>
    </w:tbl>
    <w:p>
      <w:pPr>
        <w:spacing w:after="200"/>
      </w:pPr>
      <w:r>
        <w:rPr>
          <w:color w:val="000000"/>
        </w:rPr>
        <w:t xml:space="preserve"/>
      </w:r>
    </w:p>
    <w:p>
      <w:pPr>
        <w:spacing w:after="160" w:line="276"/>
      </w:pPr>
      <w:r>
        <w:rPr>
          <w:i w:val="false"/>
          <w:iCs w:val="false"/>
          <w:color w:val="000000"/>
        </w:rPr>
        <w:t xml:space="preserve">Cifras en millones de pesos.</w:t>
      </w:r>
    </w:p>
    <w:p>
      <w:pPr>
        <w:spacing w:after="160" w:line="276"/>
      </w:pPr>
      <w:r>
        <w:rPr>
          <w:b/>
          <w:bCs/>
          <w:i w:val="false"/>
          <w:iCs w:val="false"/>
          <w:color w:val="000000"/>
        </w:rPr>
        <w:t xml:space="preserve">Licitaciones SECOP no es negocio de baja rentabilidad, y eso contradice la narrativa interna.</w:t>
      </w:r>
      <w:r>
        <w:rPr>
          <w:i w:val="false"/>
          <w:iCs w:val="false"/>
          <w:color w:val="000000"/>
        </w:rPr>
        <w:t xml:space="preserve"> Deja 27,7 por ciento de margen en 2025 y 28,0 por ciento en 2026, por encima del promedio de la empresa en los dos años, y es el segmento que más crece, 17,3 por ciento anualizado. El diagnóstico de las áreas señaló "atender negocios de rentabilidad muy baja" como problema transversal y varias respuestas apuntaban a las licitaciones. Los datos dicen que el problema de rentabilidad no está ahí. Puede ser que el costo real de las licitaciones no sea de margen sino de caja atrapada, reprocesos y carga operativa, que son costos que no aparecen en el margen bruto. Eso es exactamente lo que hay que separar antes de tomar decisiones sobre licitaciones, y refuerza la utilidad del indicador de margen real contra margen esperado que quedó en el manual.</w:t>
      </w:r>
    </w:p>
    <w:p>
      <w:pPr>
        <w:spacing w:after="160" w:line="276"/>
      </w:pPr>
      <w:r>
        <w:rPr>
          <w:b/>
          <w:bCs/>
          <w:i w:val="false"/>
          <w:iCs w:val="false"/>
          <w:color w:val="000000"/>
        </w:rPr>
        <w:t xml:space="preserve">Donde sí está el margen bajo es en comercializadora, o sea los subdistribuidores.</w:t>
      </w:r>
      <w:r>
        <w:rPr>
          <w:i w:val="false"/>
          <w:iCs w:val="false"/>
          <w:color w:val="000000"/>
        </w:rPr>
        <w:t xml:space="preserve"> Es el 15,3 por ciento de la facturación con el margen más bajo de todos los segmentos en 2025, 22,6 por ciento, cuatro puntos por debajo del segmento más rentable de tamaño comparable. Vender a través de subdistribuidores es legítimo y da volumen, pero hay que decidirlo sabiendo que cada peso vendido por ahí deja significativamente menos que uno vendido directo. Buena noticia: en 2026 ese margen subió a 26,0 por ciento, así que algo se corrigió y vale la pena entender qué.</w:t>
      </w:r>
    </w:p>
    <w:p>
      <w:pPr>
        <w:spacing w:after="160" w:line="276"/>
      </w:pPr>
      <w:r>
        <w:rPr>
          <w:b/>
          <w:bCs/>
          <w:i w:val="false"/>
          <w:iCs w:val="false"/>
          <w:color w:val="000000"/>
        </w:rPr>
        <w:t xml:space="preserve">Académico e investigación es el segmento que se está deteriorando de verdad.</w:t>
      </w:r>
      <w:r>
        <w:rPr>
          <w:i w:val="false"/>
          <w:iCs w:val="false"/>
          <w:color w:val="000000"/>
        </w:rPr>
        <w:t xml:space="preserve"> Cae 24 por ciento y es el único segmento grande donde el margen también baja, de 23,5 a 22,9 por ciento. Es donde viven la Universidad de Antioquia, el ITM y el SENA. Pierde volumen y rentabilidad a la vez.</w:t>
      </w:r>
    </w:p>
    <w:p>
      <w:pPr>
        <w:spacing w:after="160" w:line="276"/>
      </w:pPr>
      <w:r>
        <w:rPr>
          <w:b/>
          <w:bCs/>
          <w:i w:val="false"/>
          <w:iCs w:val="false"/>
          <w:color w:val="000000"/>
        </w:rPr>
        <w:t xml:space="preserve">Empresas de servicio público se desplomó</w:t>
      </w:r>
      <w:r>
        <w:rPr>
          <w:i w:val="false"/>
          <w:iCs w:val="false"/>
          <w:color w:val="000000"/>
        </w:rPr>
        <w:t xml:space="preserve">, 60 por ciento menos de venta y el margen cayó de 25,5 a 17,1 por ciento. Es el segmento de EPM.</w:t>
      </w:r>
    </w:p>
    <w:p>
      <w:pPr>
        <w:spacing w:after="160" w:line="276"/>
      </w:pPr>
      <w:r>
        <w:rPr>
          <w:b/>
          <w:bCs/>
          <w:i w:val="false"/>
          <w:iCs w:val="false"/>
          <w:color w:val="000000"/>
        </w:rPr>
        <w:t xml:space="preserve">El segmento de licitaciones está mal construido y contamina el análisis.</w:t>
      </w:r>
      <w:r>
        <w:rPr>
          <w:i w:val="false"/>
          <w:iCs w:val="false"/>
          <w:color w:val="000000"/>
        </w:rPr>
        <w:t xml:space="preserve"> Licitaciones es un canal de venta, no un tipo de cliente. Una universidad que compra por SECOP aparece en Licitaciones y no en Académico, lo que significa que los 1.626 millones de ese renglón pertenecen a clientes que también existen en otros segmentos, y que la caída de Académico puede estar sobreestimada porque parte de su venta migró a la fila de licitaciones. Para el análisis de 2027 hay que poder cruzar las dos dimensiones: segmento de cliente por un lado, canal de venta por otro. La base cruda lo permite; la tabla dinámica actual no.</w:t>
      </w:r>
    </w:p>
    <w:p>
      <w:pPr>
        <w:spacing w:after="160" w:line="276"/>
      </w:pPr>
      <w:r>
        <w:rPr>
          <w:i w:val="false"/>
          <w:iCs w:val="false"/>
          <w:color w:val="000000"/>
        </w:rPr>
        <w:t xml:space="preserve">Nota sobre los once segmentos declarados en la presentación corporativa: el archivo trae doce y no coinciden del todo. Aparece "Análisis y control metrológico", que no estaba declarado, y "Licitaciones SECOP" ocupa el lugar de lo que la presentación llama "entidades públicas". La numeración salta el 04, el 06, el 10 y el 13, así que hay códigos de segmento sin uso o sin mostrar. Conviene unificar la lista antes de fijar metas por segmento en el plan 2027.</w:t>
      </w:r>
    </w:p>
    <w:p>
      <w:pPr>
        <w:pStyle w:val="Heading1"/>
        <w:pBdr>
          <w:bottom w:val="single" w:color="999999" w:sz="4" w:space="4"/>
        </w:pBdr>
        <w:spacing w:after="160" w:before="360"/>
      </w:pPr>
      <w:r>
        <w:rPr>
          <w:b/>
          <w:bCs/>
          <w:color w:val="000000"/>
          <w:sz w:val="26"/>
          <w:szCs w:val="26"/>
        </w:rPr>
        <w:t xml:space="preserve">Clientes: la corrección más importante al diagnóstico</w:t>
      </w:r>
    </w:p>
    <w:p>
      <w:pPr>
        <w:spacing w:after="160" w:line="276"/>
      </w:pPr>
      <w:r>
        <w:rPr>
          <w:i w:val="false"/>
          <w:iCs w:val="false"/>
          <w:color w:val="000000"/>
        </w:rPr>
        <w:t xml:space="preserve">Los seis clientes que las áreas identificaron por nombre como clientes que se están perdiendo siguen comprando. Estas son las cifras del archivo, en número de movimientos, no en pesos.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FEFEF" w:color="auto" w:val="clear"/>
            <w:tcMar>
              <w:top w:type="dxa" w:w="60"/>
              <w:left w:type="dxa" w:w="90"/>
              <w:bottom w:type="dxa" w:w="60"/>
              <w:right w:type="dxa" w:w="90"/>
            </w:tcMar>
          </w:tcPr>
          <w:p>
            <w:pPr>
              <w:spacing w:after="0"/>
            </w:pPr>
            <w:r>
              <w:rPr>
                <w:b/>
                <w:bCs/>
                <w:color w:val="000000"/>
                <w:sz w:val="18"/>
                <w:szCs w:val="18"/>
              </w:rPr>
              <w:t xml:space="preserve">Cliente</w:t>
            </w:r>
          </w:p>
        </w:tc>
        <w:tc>
          <w:tcPr>
            <w:tcW w:type="dxa" w:w="1872"/>
            <w:shd w:fill="EFEFEF" w:color="auto" w:val="clear"/>
            <w:tcMar>
              <w:top w:type="dxa" w:w="60"/>
              <w:left w:type="dxa" w:w="90"/>
              <w:bottom w:type="dxa" w:w="60"/>
              <w:right w:type="dxa" w:w="90"/>
            </w:tcMar>
          </w:tcPr>
          <w:p>
            <w:pPr>
              <w:spacing w:after="0"/>
            </w:pPr>
            <w:r>
              <w:rPr>
                <w:b/>
                <w:bCs/>
                <w:color w:val="000000"/>
                <w:sz w:val="18"/>
                <w:szCs w:val="18"/>
              </w:rPr>
              <w:t xml:space="preserve">2024</w:t>
            </w:r>
          </w:p>
        </w:tc>
        <w:tc>
          <w:tcPr>
            <w:tcW w:type="dxa" w:w="1872"/>
            <w:shd w:fill="EFEFEF" w:color="auto" w:val="clear"/>
            <w:tcMar>
              <w:top w:type="dxa" w:w="60"/>
              <w:left w:type="dxa" w:w="90"/>
              <w:bottom w:type="dxa" w:w="60"/>
              <w:right w:type="dxa" w:w="90"/>
            </w:tcMar>
          </w:tcPr>
          <w:p>
            <w:pPr>
              <w:spacing w:after="0"/>
            </w:pPr>
            <w:r>
              <w:rPr>
                <w:b/>
                <w:bCs/>
                <w:color w:val="000000"/>
                <w:sz w:val="18"/>
                <w:szCs w:val="18"/>
              </w:rPr>
              <w:t xml:space="preserve">2025</w:t>
            </w:r>
          </w:p>
        </w:tc>
        <w:tc>
          <w:tcPr>
            <w:tcW w:type="dxa" w:w="1872"/>
            <w:shd w:fill="EFEFEF" w:color="auto" w:val="clear"/>
            <w:tcMar>
              <w:top w:type="dxa" w:w="60"/>
              <w:left w:type="dxa" w:w="90"/>
              <w:bottom w:type="dxa" w:w="60"/>
              <w:right w:type="dxa" w:w="90"/>
            </w:tcMar>
          </w:tcPr>
          <w:p>
            <w:pPr>
              <w:spacing w:after="0"/>
            </w:pPr>
            <w:r>
              <w:rPr>
                <w:b/>
                <w:bCs/>
                <w:color w:val="000000"/>
                <w:sz w:val="18"/>
                <w:szCs w:val="18"/>
              </w:rPr>
              <w:t xml:space="preserve">2026 a sept 3</w:t>
            </w:r>
          </w:p>
        </w:tc>
        <w:tc>
          <w:tcPr>
            <w:tcW w:type="dxa" w:w="1872"/>
            <w:shd w:fill="EFEFEF" w:color="auto" w:val="clear"/>
            <w:tcMar>
              <w:top w:type="dxa" w:w="60"/>
              <w:left w:type="dxa" w:w="90"/>
              <w:bottom w:type="dxa" w:w="60"/>
              <w:right w:type="dxa" w:w="90"/>
            </w:tcMar>
          </w:tcPr>
          <w:p>
            <w:pPr>
              <w:spacing w:after="0"/>
            </w:pPr>
            <w:r>
              <w:rPr>
                <w:b/>
                <w:bCs/>
                <w:color w:val="000000"/>
                <w:sz w:val="18"/>
                <w:szCs w:val="18"/>
              </w:rPr>
              <w:t xml:space="preserve">2026 anualizado vs 2025</w:t>
            </w:r>
          </w:p>
        </w:tc>
      </w:tr>
      <w:tr>
        <w:trPr>
          <w:tblHeader w:val="false"/>
        </w:trPr>
        <w:tc>
          <w:tcPr>
            <w:tcW w:type="dxa" w:w="1872"/>
            <w:tcMar>
              <w:top w:type="dxa" w:w="60"/>
              <w:left w:type="dxa" w:w="90"/>
              <w:bottom w:type="dxa" w:w="60"/>
              <w:right w:type="dxa" w:w="90"/>
            </w:tcMar>
          </w:tcPr>
          <w:p>
            <w:pPr>
              <w:spacing w:after="0"/>
            </w:pPr>
            <w:r>
              <w:rPr>
                <w:i w:val="false"/>
                <w:iCs w:val="false"/>
                <w:color w:val="000000"/>
                <w:sz w:val="18"/>
                <w:szCs w:val="18"/>
              </w:rPr>
              <w:t xml:space="preserve">SENA</w:t>
            </w:r>
          </w:p>
        </w:tc>
        <w:tc>
          <w:tcPr>
            <w:tcW w:type="dxa" w:w="1872"/>
            <w:tcMar>
              <w:top w:type="dxa" w:w="60"/>
              <w:left w:type="dxa" w:w="90"/>
              <w:bottom w:type="dxa" w:w="60"/>
              <w:right w:type="dxa" w:w="90"/>
            </w:tcMar>
          </w:tcPr>
          <w:p>
            <w:pPr>
              <w:spacing w:after="0"/>
            </w:pPr>
            <w:r>
              <w:rPr>
                <w:i w:val="false"/>
                <w:iCs w:val="false"/>
                <w:color w:val="000000"/>
                <w:sz w:val="18"/>
                <w:szCs w:val="18"/>
              </w:rPr>
              <w:t xml:space="preserve">1.526</w:t>
            </w:r>
          </w:p>
        </w:tc>
        <w:tc>
          <w:tcPr>
            <w:tcW w:type="dxa" w:w="1872"/>
            <w:tcMar>
              <w:top w:type="dxa" w:w="60"/>
              <w:left w:type="dxa" w:w="90"/>
              <w:bottom w:type="dxa" w:w="60"/>
              <w:right w:type="dxa" w:w="90"/>
            </w:tcMar>
          </w:tcPr>
          <w:p>
            <w:pPr>
              <w:spacing w:after="0"/>
            </w:pPr>
            <w:r>
              <w:rPr>
                <w:i w:val="false"/>
                <w:iCs w:val="false"/>
                <w:color w:val="000000"/>
                <w:sz w:val="18"/>
                <w:szCs w:val="18"/>
              </w:rPr>
              <w:t xml:space="preserve">1.633</w:t>
            </w:r>
          </w:p>
        </w:tc>
        <w:tc>
          <w:tcPr>
            <w:tcW w:type="dxa" w:w="1872"/>
            <w:tcMar>
              <w:top w:type="dxa" w:w="60"/>
              <w:left w:type="dxa" w:w="90"/>
              <w:bottom w:type="dxa" w:w="60"/>
              <w:right w:type="dxa" w:w="90"/>
            </w:tcMar>
          </w:tcPr>
          <w:p>
            <w:pPr>
              <w:spacing w:after="0"/>
            </w:pPr>
            <w:r>
              <w:rPr>
                <w:i w:val="false"/>
                <w:iCs w:val="false"/>
                <w:color w:val="000000"/>
                <w:sz w:val="18"/>
                <w:szCs w:val="18"/>
              </w:rPr>
              <w:t xml:space="preserve">872</w:t>
            </w:r>
          </w:p>
        </w:tc>
        <w:tc>
          <w:tcPr>
            <w:tcW w:type="dxa" w:w="1872"/>
            <w:tcMar>
              <w:top w:type="dxa" w:w="60"/>
              <w:left w:type="dxa" w:w="90"/>
              <w:bottom w:type="dxa" w:w="60"/>
              <w:right w:type="dxa" w:w="90"/>
            </w:tcMar>
          </w:tcPr>
          <w:p>
            <w:pPr>
              <w:spacing w:after="0"/>
            </w:pPr>
            <w:r>
              <w:rPr>
                <w:i w:val="false"/>
                <w:iCs w:val="false"/>
                <w:color w:val="000000"/>
                <w:sz w:val="18"/>
                <w:szCs w:val="18"/>
              </w:rPr>
              <w:t xml:space="preserve">−21%</w:t>
            </w:r>
          </w:p>
        </w:tc>
      </w:tr>
      <w:tr>
        <w:trPr>
          <w:tblHeader w:val="false"/>
        </w:trPr>
        <w:tc>
          <w:tcPr>
            <w:tcW w:type="dxa" w:w="1872"/>
            <w:tcMar>
              <w:top w:type="dxa" w:w="60"/>
              <w:left w:type="dxa" w:w="90"/>
              <w:bottom w:type="dxa" w:w="60"/>
              <w:right w:type="dxa" w:w="90"/>
            </w:tcMar>
          </w:tcPr>
          <w:p>
            <w:pPr>
              <w:spacing w:after="0"/>
            </w:pPr>
            <w:r>
              <w:rPr>
                <w:i w:val="false"/>
                <w:iCs w:val="false"/>
                <w:color w:val="000000"/>
                <w:sz w:val="18"/>
                <w:szCs w:val="18"/>
              </w:rPr>
              <w:t xml:space="preserve">Nutresa</w:t>
            </w:r>
          </w:p>
        </w:tc>
        <w:tc>
          <w:tcPr>
            <w:tcW w:type="dxa" w:w="1872"/>
            <w:tcMar>
              <w:top w:type="dxa" w:w="60"/>
              <w:left w:type="dxa" w:w="90"/>
              <w:bottom w:type="dxa" w:w="60"/>
              <w:right w:type="dxa" w:w="90"/>
            </w:tcMar>
          </w:tcPr>
          <w:p>
            <w:pPr>
              <w:spacing w:after="0"/>
            </w:pPr>
            <w:r>
              <w:rPr>
                <w:i w:val="false"/>
                <w:iCs w:val="false"/>
                <w:color w:val="000000"/>
                <w:sz w:val="18"/>
                <w:szCs w:val="18"/>
              </w:rPr>
              <w:t xml:space="preserve">1.303</w:t>
            </w:r>
          </w:p>
        </w:tc>
        <w:tc>
          <w:tcPr>
            <w:tcW w:type="dxa" w:w="1872"/>
            <w:tcMar>
              <w:top w:type="dxa" w:w="60"/>
              <w:left w:type="dxa" w:w="90"/>
              <w:bottom w:type="dxa" w:w="60"/>
              <w:right w:type="dxa" w:w="90"/>
            </w:tcMar>
          </w:tcPr>
          <w:p>
            <w:pPr>
              <w:spacing w:after="0"/>
            </w:pPr>
            <w:r>
              <w:rPr>
                <w:i w:val="false"/>
                <w:iCs w:val="false"/>
                <w:color w:val="000000"/>
                <w:sz w:val="18"/>
                <w:szCs w:val="18"/>
              </w:rPr>
              <w:t xml:space="preserve">1.163</w:t>
            </w:r>
          </w:p>
        </w:tc>
        <w:tc>
          <w:tcPr>
            <w:tcW w:type="dxa" w:w="1872"/>
            <w:tcMar>
              <w:top w:type="dxa" w:w="60"/>
              <w:left w:type="dxa" w:w="90"/>
              <w:bottom w:type="dxa" w:w="60"/>
              <w:right w:type="dxa" w:w="90"/>
            </w:tcMar>
          </w:tcPr>
          <w:p>
            <w:pPr>
              <w:spacing w:after="0"/>
            </w:pPr>
            <w:r>
              <w:rPr>
                <w:i w:val="false"/>
                <w:iCs w:val="false"/>
                <w:color w:val="000000"/>
                <w:sz w:val="18"/>
                <w:szCs w:val="18"/>
              </w:rPr>
              <w:t xml:space="preserve">686</w:t>
            </w:r>
          </w:p>
        </w:tc>
        <w:tc>
          <w:tcPr>
            <w:tcW w:type="dxa" w:w="1872"/>
            <w:tcMar>
              <w:top w:type="dxa" w:w="60"/>
              <w:left w:type="dxa" w:w="90"/>
              <w:bottom w:type="dxa" w:w="60"/>
              <w:right w:type="dxa" w:w="90"/>
            </w:tcMar>
          </w:tcPr>
          <w:p>
            <w:pPr>
              <w:spacing w:after="0"/>
            </w:pPr>
            <w:r>
              <w:rPr>
                <w:i w:val="false"/>
                <w:iCs w:val="false"/>
                <w:color w:val="000000"/>
                <w:sz w:val="18"/>
                <w:szCs w:val="18"/>
              </w:rPr>
              <w:t xml:space="preserve">−12%</w:t>
            </w:r>
          </w:p>
        </w:tc>
      </w:tr>
      <w:tr>
        <w:trPr>
          <w:tblHeader w:val="false"/>
        </w:trPr>
        <w:tc>
          <w:tcPr>
            <w:tcW w:type="dxa" w:w="1872"/>
            <w:tcMar>
              <w:top w:type="dxa" w:w="60"/>
              <w:left w:type="dxa" w:w="90"/>
              <w:bottom w:type="dxa" w:w="60"/>
              <w:right w:type="dxa" w:w="90"/>
            </w:tcMar>
          </w:tcPr>
          <w:p>
            <w:pPr>
              <w:spacing w:after="0"/>
            </w:pPr>
            <w:r>
              <w:rPr>
                <w:i w:val="false"/>
                <w:iCs w:val="false"/>
                <w:color w:val="000000"/>
                <w:sz w:val="18"/>
                <w:szCs w:val="18"/>
              </w:rPr>
              <w:t xml:space="preserve">U. de Antioquia</w:t>
            </w:r>
          </w:p>
        </w:tc>
        <w:tc>
          <w:tcPr>
            <w:tcW w:type="dxa" w:w="1872"/>
            <w:tcMar>
              <w:top w:type="dxa" w:w="60"/>
              <w:left w:type="dxa" w:w="90"/>
              <w:bottom w:type="dxa" w:w="60"/>
              <w:right w:type="dxa" w:w="90"/>
            </w:tcMar>
          </w:tcPr>
          <w:p>
            <w:pPr>
              <w:spacing w:after="0"/>
            </w:pPr>
            <w:r>
              <w:rPr>
                <w:i w:val="false"/>
                <w:iCs w:val="false"/>
                <w:color w:val="000000"/>
                <w:sz w:val="18"/>
                <w:szCs w:val="18"/>
              </w:rPr>
              <w:t xml:space="preserve">1.149</w:t>
            </w:r>
          </w:p>
        </w:tc>
        <w:tc>
          <w:tcPr>
            <w:tcW w:type="dxa" w:w="1872"/>
            <w:tcMar>
              <w:top w:type="dxa" w:w="60"/>
              <w:left w:type="dxa" w:w="90"/>
              <w:bottom w:type="dxa" w:w="60"/>
              <w:right w:type="dxa" w:w="90"/>
            </w:tcMar>
          </w:tcPr>
          <w:p>
            <w:pPr>
              <w:spacing w:after="0"/>
            </w:pPr>
            <w:r>
              <w:rPr>
                <w:i w:val="false"/>
                <w:iCs w:val="false"/>
                <w:color w:val="000000"/>
                <w:sz w:val="18"/>
                <w:szCs w:val="18"/>
              </w:rPr>
              <w:t xml:space="preserve">1.123</w:t>
            </w:r>
          </w:p>
        </w:tc>
        <w:tc>
          <w:tcPr>
            <w:tcW w:type="dxa" w:w="1872"/>
            <w:tcMar>
              <w:top w:type="dxa" w:w="60"/>
              <w:left w:type="dxa" w:w="90"/>
              <w:bottom w:type="dxa" w:w="60"/>
              <w:right w:type="dxa" w:w="90"/>
            </w:tcMar>
          </w:tcPr>
          <w:p>
            <w:pPr>
              <w:spacing w:after="0"/>
            </w:pPr>
            <w:r>
              <w:rPr>
                <w:i w:val="false"/>
                <w:iCs w:val="false"/>
                <w:color w:val="000000"/>
                <w:sz w:val="18"/>
                <w:szCs w:val="18"/>
              </w:rPr>
              <w:t xml:space="preserve">701</w:t>
            </w:r>
          </w:p>
        </w:tc>
        <w:tc>
          <w:tcPr>
            <w:tcW w:type="dxa" w:w="1872"/>
            <w:tcMar>
              <w:top w:type="dxa" w:w="60"/>
              <w:left w:type="dxa" w:w="90"/>
              <w:bottom w:type="dxa" w:w="60"/>
              <w:right w:type="dxa" w:w="90"/>
            </w:tcMar>
          </w:tcPr>
          <w:p>
            <w:pPr>
              <w:spacing w:after="0"/>
            </w:pPr>
            <w:r>
              <w:rPr>
                <w:i w:val="false"/>
                <w:iCs w:val="false"/>
                <w:color w:val="000000"/>
                <w:sz w:val="18"/>
                <w:szCs w:val="18"/>
              </w:rPr>
              <w:t xml:space="preserve">−7%</w:t>
            </w:r>
          </w:p>
        </w:tc>
      </w:tr>
      <w:tr>
        <w:trPr>
          <w:tblHeader w:val="false"/>
        </w:trPr>
        <w:tc>
          <w:tcPr>
            <w:tcW w:type="dxa" w:w="1872"/>
            <w:tcMar>
              <w:top w:type="dxa" w:w="60"/>
              <w:left w:type="dxa" w:w="90"/>
              <w:bottom w:type="dxa" w:w="60"/>
              <w:right w:type="dxa" w:w="90"/>
            </w:tcMar>
          </w:tcPr>
          <w:p>
            <w:pPr>
              <w:spacing w:after="0"/>
            </w:pPr>
            <w:r>
              <w:rPr>
                <w:i w:val="false"/>
                <w:iCs w:val="false"/>
                <w:color w:val="000000"/>
                <w:sz w:val="18"/>
                <w:szCs w:val="18"/>
              </w:rPr>
              <w:t xml:space="preserve">ITM</w:t>
            </w:r>
          </w:p>
        </w:tc>
        <w:tc>
          <w:tcPr>
            <w:tcW w:type="dxa" w:w="1872"/>
            <w:tcMar>
              <w:top w:type="dxa" w:w="60"/>
              <w:left w:type="dxa" w:w="90"/>
              <w:bottom w:type="dxa" w:w="60"/>
              <w:right w:type="dxa" w:w="90"/>
            </w:tcMar>
          </w:tcPr>
          <w:p>
            <w:pPr>
              <w:spacing w:after="0"/>
            </w:pPr>
            <w:r>
              <w:rPr>
                <w:i w:val="false"/>
                <w:iCs w:val="false"/>
                <w:color w:val="000000"/>
                <w:sz w:val="18"/>
                <w:szCs w:val="18"/>
              </w:rPr>
              <w:t xml:space="preserve">453</w:t>
            </w:r>
          </w:p>
        </w:tc>
        <w:tc>
          <w:tcPr>
            <w:tcW w:type="dxa" w:w="1872"/>
            <w:tcMar>
              <w:top w:type="dxa" w:w="60"/>
              <w:left w:type="dxa" w:w="90"/>
              <w:bottom w:type="dxa" w:w="60"/>
              <w:right w:type="dxa" w:w="90"/>
            </w:tcMar>
          </w:tcPr>
          <w:p>
            <w:pPr>
              <w:spacing w:after="0"/>
            </w:pPr>
            <w:r>
              <w:rPr>
                <w:i w:val="false"/>
                <w:iCs w:val="false"/>
                <w:color w:val="000000"/>
                <w:sz w:val="18"/>
                <w:szCs w:val="18"/>
              </w:rPr>
              <w:t xml:space="preserve">695</w:t>
            </w:r>
          </w:p>
        </w:tc>
        <w:tc>
          <w:tcPr>
            <w:tcW w:type="dxa" w:w="1872"/>
            <w:tcMar>
              <w:top w:type="dxa" w:w="60"/>
              <w:left w:type="dxa" w:w="90"/>
              <w:bottom w:type="dxa" w:w="60"/>
              <w:right w:type="dxa" w:w="90"/>
            </w:tcMar>
          </w:tcPr>
          <w:p>
            <w:pPr>
              <w:spacing w:after="0"/>
            </w:pPr>
            <w:r>
              <w:rPr>
                <w:i w:val="false"/>
                <w:iCs w:val="false"/>
                <w:color w:val="000000"/>
                <w:sz w:val="18"/>
                <w:szCs w:val="18"/>
              </w:rPr>
              <w:t xml:space="preserve">339</w:t>
            </w:r>
          </w:p>
        </w:tc>
        <w:tc>
          <w:tcPr>
            <w:tcW w:type="dxa" w:w="1872"/>
            <w:tcMar>
              <w:top w:type="dxa" w:w="60"/>
              <w:left w:type="dxa" w:w="90"/>
              <w:bottom w:type="dxa" w:w="60"/>
              <w:right w:type="dxa" w:w="90"/>
            </w:tcMar>
          </w:tcPr>
          <w:p>
            <w:pPr>
              <w:spacing w:after="0"/>
            </w:pPr>
            <w:r>
              <w:rPr>
                <w:i w:val="false"/>
                <w:iCs w:val="false"/>
                <w:color w:val="000000"/>
                <w:sz w:val="18"/>
                <w:szCs w:val="18"/>
              </w:rPr>
              <w:t xml:space="preserve">−28%</w:t>
            </w:r>
          </w:p>
        </w:tc>
      </w:tr>
      <w:tr>
        <w:trPr>
          <w:tblHeader w:val="false"/>
        </w:trPr>
        <w:tc>
          <w:tcPr>
            <w:tcW w:type="dxa" w:w="1872"/>
            <w:tcMar>
              <w:top w:type="dxa" w:w="60"/>
              <w:left w:type="dxa" w:w="90"/>
              <w:bottom w:type="dxa" w:w="60"/>
              <w:right w:type="dxa" w:w="90"/>
            </w:tcMar>
          </w:tcPr>
          <w:p>
            <w:pPr>
              <w:spacing w:after="0"/>
            </w:pPr>
            <w:r>
              <w:rPr>
                <w:i w:val="false"/>
                <w:iCs w:val="false"/>
                <w:color w:val="000000"/>
                <w:sz w:val="18"/>
                <w:szCs w:val="18"/>
              </w:rPr>
              <w:t xml:space="preserve">EPM</w:t>
            </w:r>
          </w:p>
        </w:tc>
        <w:tc>
          <w:tcPr>
            <w:tcW w:type="dxa" w:w="1872"/>
            <w:tcMar>
              <w:top w:type="dxa" w:w="60"/>
              <w:left w:type="dxa" w:w="90"/>
              <w:bottom w:type="dxa" w:w="60"/>
              <w:right w:type="dxa" w:w="90"/>
            </w:tcMar>
          </w:tcPr>
          <w:p>
            <w:pPr>
              <w:spacing w:after="0"/>
            </w:pPr>
            <w:r>
              <w:rPr>
                <w:i w:val="false"/>
                <w:iCs w:val="false"/>
                <w:color w:val="000000"/>
                <w:sz w:val="18"/>
                <w:szCs w:val="18"/>
              </w:rPr>
              <w:t xml:space="preserve">188</w:t>
            </w:r>
          </w:p>
        </w:tc>
        <w:tc>
          <w:tcPr>
            <w:tcW w:type="dxa" w:w="1872"/>
            <w:tcMar>
              <w:top w:type="dxa" w:w="60"/>
              <w:left w:type="dxa" w:w="90"/>
              <w:bottom w:type="dxa" w:w="60"/>
              <w:right w:type="dxa" w:w="90"/>
            </w:tcMar>
          </w:tcPr>
          <w:p>
            <w:pPr>
              <w:spacing w:after="0"/>
            </w:pPr>
            <w:r>
              <w:rPr>
                <w:i w:val="false"/>
                <w:iCs w:val="false"/>
                <w:color w:val="000000"/>
                <w:sz w:val="18"/>
                <w:szCs w:val="18"/>
              </w:rPr>
              <w:t xml:space="preserve">332</w:t>
            </w:r>
          </w:p>
        </w:tc>
        <w:tc>
          <w:tcPr>
            <w:tcW w:type="dxa" w:w="1872"/>
            <w:tcMar>
              <w:top w:type="dxa" w:w="60"/>
              <w:left w:type="dxa" w:w="90"/>
              <w:bottom w:type="dxa" w:w="60"/>
              <w:right w:type="dxa" w:w="90"/>
            </w:tcMar>
          </w:tcPr>
          <w:p>
            <w:pPr>
              <w:spacing w:after="0"/>
            </w:pPr>
            <w:r>
              <w:rPr>
                <w:i w:val="false"/>
                <w:iCs w:val="false"/>
                <w:color w:val="000000"/>
                <w:sz w:val="18"/>
                <w:szCs w:val="18"/>
              </w:rPr>
              <w:t xml:space="preserve">86</w:t>
            </w:r>
          </w:p>
        </w:tc>
        <w:tc>
          <w:tcPr>
            <w:tcW w:type="dxa" w:w="1872"/>
            <w:tcMar>
              <w:top w:type="dxa" w:w="60"/>
              <w:left w:type="dxa" w:w="90"/>
              <w:bottom w:type="dxa" w:w="60"/>
              <w:right w:type="dxa" w:w="90"/>
            </w:tcMar>
          </w:tcPr>
          <w:p>
            <w:pPr>
              <w:spacing w:after="0"/>
            </w:pPr>
            <w:r>
              <w:rPr>
                <w:i w:val="false"/>
                <w:iCs w:val="false"/>
                <w:color w:val="000000"/>
                <w:sz w:val="18"/>
                <w:szCs w:val="18"/>
              </w:rPr>
              <w:t xml:space="preserve">−61%</w:t>
            </w:r>
          </w:p>
        </w:tc>
      </w:tr>
      <w:tr>
        <w:trPr>
          <w:tblHeader w:val="false"/>
        </w:trPr>
        <w:tc>
          <w:tcPr>
            <w:tcW w:type="dxa" w:w="1872"/>
            <w:tcMar>
              <w:top w:type="dxa" w:w="60"/>
              <w:left w:type="dxa" w:w="90"/>
              <w:bottom w:type="dxa" w:w="60"/>
              <w:right w:type="dxa" w:w="90"/>
            </w:tcMar>
          </w:tcPr>
          <w:p>
            <w:pPr>
              <w:spacing w:after="0"/>
            </w:pPr>
            <w:r>
              <w:rPr>
                <w:i w:val="false"/>
                <w:iCs w:val="false"/>
                <w:color w:val="000000"/>
                <w:sz w:val="18"/>
                <w:szCs w:val="18"/>
              </w:rPr>
              <w:t xml:space="preserve">Ecar</w:t>
            </w:r>
          </w:p>
        </w:tc>
        <w:tc>
          <w:tcPr>
            <w:tcW w:type="dxa" w:w="1872"/>
            <w:tcMar>
              <w:top w:type="dxa" w:w="60"/>
              <w:left w:type="dxa" w:w="90"/>
              <w:bottom w:type="dxa" w:w="60"/>
              <w:right w:type="dxa" w:w="90"/>
            </w:tcMar>
          </w:tcPr>
          <w:p>
            <w:pPr>
              <w:spacing w:after="0"/>
            </w:pPr>
            <w:r>
              <w:rPr>
                <w:i w:val="false"/>
                <w:iCs w:val="false"/>
                <w:color w:val="000000"/>
                <w:sz w:val="18"/>
                <w:szCs w:val="18"/>
              </w:rPr>
              <w:t xml:space="preserve">172</w:t>
            </w:r>
          </w:p>
        </w:tc>
        <w:tc>
          <w:tcPr>
            <w:tcW w:type="dxa" w:w="1872"/>
            <w:tcMar>
              <w:top w:type="dxa" w:w="60"/>
              <w:left w:type="dxa" w:w="90"/>
              <w:bottom w:type="dxa" w:w="60"/>
              <w:right w:type="dxa" w:w="90"/>
            </w:tcMar>
          </w:tcPr>
          <w:p>
            <w:pPr>
              <w:spacing w:after="0"/>
            </w:pPr>
            <w:r>
              <w:rPr>
                <w:i w:val="false"/>
                <w:iCs w:val="false"/>
                <w:color w:val="000000"/>
                <w:sz w:val="18"/>
                <w:szCs w:val="18"/>
              </w:rPr>
              <w:t xml:space="preserve">225</w:t>
            </w:r>
          </w:p>
        </w:tc>
        <w:tc>
          <w:tcPr>
            <w:tcW w:type="dxa" w:w="1872"/>
            <w:tcMar>
              <w:top w:type="dxa" w:w="60"/>
              <w:left w:type="dxa" w:w="90"/>
              <w:bottom w:type="dxa" w:w="60"/>
              <w:right w:type="dxa" w:w="90"/>
            </w:tcMar>
          </w:tcPr>
          <w:p>
            <w:pPr>
              <w:spacing w:after="0"/>
            </w:pPr>
            <w:r>
              <w:rPr>
                <w:i w:val="false"/>
                <w:iCs w:val="false"/>
                <w:color w:val="000000"/>
                <w:sz w:val="18"/>
                <w:szCs w:val="18"/>
              </w:rPr>
              <w:t xml:space="preserve">104</w:t>
            </w:r>
          </w:p>
        </w:tc>
        <w:tc>
          <w:tcPr>
            <w:tcW w:type="dxa" w:w="1872"/>
            <w:tcMar>
              <w:top w:type="dxa" w:w="60"/>
              <w:left w:type="dxa" w:w="90"/>
              <w:bottom w:type="dxa" w:w="60"/>
              <w:right w:type="dxa" w:w="90"/>
            </w:tcMar>
          </w:tcPr>
          <w:p>
            <w:pPr>
              <w:spacing w:after="0"/>
            </w:pPr>
            <w:r>
              <w:rPr>
                <w:i w:val="false"/>
                <w:iCs w:val="false"/>
                <w:color w:val="000000"/>
                <w:sz w:val="18"/>
                <w:szCs w:val="18"/>
              </w:rPr>
              <w:t xml:space="preserve">−31%</w:t>
            </w:r>
          </w:p>
        </w:tc>
      </w:tr>
    </w:tbl>
    <w:p>
      <w:pPr>
        <w:spacing w:after="200"/>
      </w:pPr>
      <w:r>
        <w:rPr>
          <w:color w:val="000000"/>
        </w:rPr>
        <w:t xml:space="preserve"/>
      </w:r>
    </w:p>
    <w:p>
      <w:pPr>
        <w:spacing w:after="160" w:line="276"/>
      </w:pPr>
      <w:r>
        <w:rPr>
          <w:i w:val="false"/>
          <w:iCs w:val="false"/>
          <w:color w:val="000000"/>
        </w:rPr>
        <w:t xml:space="preserve">Cuatro de los seis crecieron en 2025 frente a 2024. El SENA, el ITM, EPM y Ecar tuvieron más movimiento en 2025 que en 2024. En 2026 los seis caen, algunos con fuerza, pero ninguno está perdido: todos siguen transando.</w:t>
      </w:r>
    </w:p>
    <w:p>
      <w:pPr>
        <w:spacing w:after="160" w:line="276"/>
      </w:pPr>
      <w:r>
        <w:rPr>
          <w:i w:val="false"/>
          <w:iCs w:val="false"/>
          <w:color w:val="000000"/>
        </w:rPr>
        <w:t xml:space="preserve">La lectura correcta no es "perdimos estos clientes" sino "estos clientes se están enfriando en 2026". Es un problema distinto y se ataca distinto: no hay que recuperar una cuenta cerrada, hay que entender por qué bajó el ritmo de una cuenta activa, que es más barato y más rápido.</w:t>
      </w:r>
    </w:p>
    <w:p>
      <w:pPr>
        <w:spacing w:after="160" w:line="276"/>
      </w:pPr>
      <w:r>
        <w:rPr>
          <w:i w:val="false"/>
          <w:iCs w:val="false"/>
          <w:color w:val="000000"/>
        </w:rPr>
        <w:t xml:space="preserve">Y hay algo que el diagnóstico no vio. Tres clientes sí están efectivamente perdidos y ninguna de las áreas los mencionó.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1360"/>
        <w:gridCol w:w="2800"/>
      </w:tblGrid>
      <w:tr>
        <w:trPr>
          <w:tblHeader/>
        </w:trPr>
        <w:tc>
          <w:tcPr>
            <w:tcW w:type="dxa" w:w="2500"/>
            <w:shd w:fill="EFEFEF" w:color="auto" w:val="clear"/>
            <w:tcMar>
              <w:top w:type="dxa" w:w="60"/>
              <w:left w:type="dxa" w:w="90"/>
              <w:bottom w:type="dxa" w:w="60"/>
              <w:right w:type="dxa" w:w="90"/>
            </w:tcMar>
          </w:tcPr>
          <w:p>
            <w:pPr>
              <w:spacing w:after="0"/>
            </w:pPr>
            <w:r>
              <w:rPr>
                <w:b/>
                <w:bCs/>
                <w:color w:val="000000"/>
                <w:sz w:val="18"/>
                <w:szCs w:val="18"/>
              </w:rPr>
              <w:t xml:space="preserve">Cliente</w:t>
            </w:r>
          </w:p>
        </w:tc>
        <w:tc>
          <w:tcPr>
            <w:tcW w:type="dxa" w:w="2700"/>
            <w:shd w:fill="EFEFEF" w:color="auto" w:val="clear"/>
            <w:tcMar>
              <w:top w:type="dxa" w:w="60"/>
              <w:left w:type="dxa" w:w="90"/>
              <w:bottom w:type="dxa" w:w="60"/>
              <w:right w:type="dxa" w:w="90"/>
            </w:tcMar>
          </w:tcPr>
          <w:p>
            <w:pPr>
              <w:spacing w:after="0"/>
            </w:pPr>
            <w:r>
              <w:rPr>
                <w:b/>
                <w:bCs/>
                <w:color w:val="000000"/>
                <w:sz w:val="18"/>
                <w:szCs w:val="18"/>
              </w:rPr>
              <w:t xml:space="preserve">2024</w:t>
            </w:r>
          </w:p>
        </w:tc>
        <w:tc>
          <w:tcPr>
            <w:tcW w:type="dxa" w:w="1360"/>
            <w:shd w:fill="EFEFEF" w:color="auto" w:val="clear"/>
            <w:tcMar>
              <w:top w:type="dxa" w:w="60"/>
              <w:left w:type="dxa" w:w="90"/>
              <w:bottom w:type="dxa" w:w="60"/>
              <w:right w:type="dxa" w:w="90"/>
            </w:tcMar>
          </w:tcPr>
          <w:p>
            <w:pPr>
              <w:spacing w:after="0"/>
            </w:pPr>
            <w:r>
              <w:rPr>
                <w:b/>
                <w:bCs/>
                <w:color w:val="000000"/>
                <w:sz w:val="18"/>
                <w:szCs w:val="18"/>
              </w:rPr>
              <w:t xml:space="preserve">2025</w:t>
            </w:r>
          </w:p>
        </w:tc>
        <w:tc>
          <w:tcPr>
            <w:tcW w:type="dxa" w:w="2800"/>
            <w:shd w:fill="EFEFEF" w:color="auto" w:val="clear"/>
            <w:tcMar>
              <w:top w:type="dxa" w:w="60"/>
              <w:left w:type="dxa" w:w="90"/>
              <w:bottom w:type="dxa" w:w="60"/>
              <w:right w:type="dxa" w:w="90"/>
            </w:tcMar>
          </w:tcPr>
          <w:p>
            <w:pPr>
              <w:spacing w:after="0"/>
            </w:pPr>
            <w:r>
              <w:rPr>
                <w:b/>
                <w:bCs/>
                <w:color w:val="000000"/>
                <w:sz w:val="18"/>
                <w:szCs w:val="18"/>
              </w:rPr>
              <w:t xml:space="preserve">2026 a sept 3</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Tecnológico de Antioquia</w:t>
            </w:r>
          </w:p>
        </w:tc>
        <w:tc>
          <w:tcPr>
            <w:tcW w:type="dxa" w:w="2700"/>
            <w:tcMar>
              <w:top w:type="dxa" w:w="60"/>
              <w:left w:type="dxa" w:w="90"/>
              <w:bottom w:type="dxa" w:w="60"/>
              <w:right w:type="dxa" w:w="90"/>
            </w:tcMar>
          </w:tcPr>
          <w:p>
            <w:pPr>
              <w:spacing w:after="0"/>
            </w:pPr>
            <w:r>
              <w:rPr>
                <w:i w:val="false"/>
                <w:iCs w:val="false"/>
                <w:color w:val="000000"/>
                <w:sz w:val="18"/>
                <w:szCs w:val="18"/>
              </w:rPr>
              <w:t xml:space="preserve">196</w:t>
            </w:r>
          </w:p>
        </w:tc>
        <w:tc>
          <w:tcPr>
            <w:tcW w:type="dxa" w:w="1360"/>
            <w:tcMar>
              <w:top w:type="dxa" w:w="60"/>
              <w:left w:type="dxa" w:w="90"/>
              <w:bottom w:type="dxa" w:w="60"/>
              <w:right w:type="dxa" w:w="90"/>
            </w:tcMar>
          </w:tcPr>
          <w:p>
            <w:pPr>
              <w:spacing w:after="0"/>
            </w:pPr>
            <w:r>
              <w:rPr>
                <w:i w:val="false"/>
                <w:iCs w:val="false"/>
                <w:color w:val="000000"/>
                <w:sz w:val="18"/>
                <w:szCs w:val="18"/>
              </w:rPr>
              <w:t xml:space="preserve">111</w:t>
            </w:r>
          </w:p>
        </w:tc>
        <w:tc>
          <w:tcPr>
            <w:tcW w:type="dxa" w:w="2800"/>
            <w:tcMar>
              <w:top w:type="dxa" w:w="60"/>
              <w:left w:type="dxa" w:w="90"/>
              <w:bottom w:type="dxa" w:w="60"/>
              <w:right w:type="dxa" w:w="90"/>
            </w:tcMar>
          </w:tcPr>
          <w:p>
            <w:pPr>
              <w:spacing w:after="0"/>
            </w:pPr>
            <w:r>
              <w:rPr>
                <w:i w:val="false"/>
                <w:iCs w:val="false"/>
                <w:color w:val="000000"/>
                <w:sz w:val="18"/>
                <w:szCs w:val="18"/>
              </w:rPr>
              <w:t xml:space="preserve">1</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Colegio Mayor de Antioquia</w:t>
            </w:r>
          </w:p>
        </w:tc>
        <w:tc>
          <w:tcPr>
            <w:tcW w:type="dxa" w:w="2700"/>
            <w:tcMar>
              <w:top w:type="dxa" w:w="60"/>
              <w:left w:type="dxa" w:w="90"/>
              <w:bottom w:type="dxa" w:w="60"/>
              <w:right w:type="dxa" w:w="90"/>
            </w:tcMar>
          </w:tcPr>
          <w:p>
            <w:pPr>
              <w:spacing w:after="0"/>
            </w:pPr>
            <w:r>
              <w:rPr>
                <w:i w:val="false"/>
                <w:iCs w:val="false"/>
                <w:color w:val="000000"/>
                <w:sz w:val="18"/>
                <w:szCs w:val="18"/>
              </w:rPr>
              <w:t xml:space="preserve">241</w:t>
            </w:r>
          </w:p>
        </w:tc>
        <w:tc>
          <w:tcPr>
            <w:tcW w:type="dxa" w:w="1360"/>
            <w:tcMar>
              <w:top w:type="dxa" w:w="60"/>
              <w:left w:type="dxa" w:w="90"/>
              <w:bottom w:type="dxa" w:w="60"/>
              <w:right w:type="dxa" w:w="90"/>
            </w:tcMar>
          </w:tcPr>
          <w:p>
            <w:pPr>
              <w:spacing w:after="0"/>
            </w:pPr>
            <w:r>
              <w:rPr>
                <w:i w:val="false"/>
                <w:iCs w:val="false"/>
                <w:color w:val="000000"/>
                <w:sz w:val="18"/>
                <w:szCs w:val="18"/>
              </w:rPr>
              <w:t xml:space="preserve">130</w:t>
            </w:r>
          </w:p>
        </w:tc>
        <w:tc>
          <w:tcPr>
            <w:tcW w:type="dxa" w:w="2800"/>
            <w:tcMar>
              <w:top w:type="dxa" w:w="60"/>
              <w:left w:type="dxa" w:w="90"/>
              <w:bottom w:type="dxa" w:w="60"/>
              <w:right w:type="dxa" w:w="90"/>
            </w:tcMar>
          </w:tcPr>
          <w:p>
            <w:pPr>
              <w:spacing w:after="0"/>
            </w:pPr>
            <w:r>
              <w:rPr>
                <w:i w:val="false"/>
                <w:iCs w:val="false"/>
                <w:color w:val="000000"/>
                <w:sz w:val="18"/>
                <w:szCs w:val="18"/>
              </w:rPr>
              <w:t xml:space="preserve">14</w:t>
            </w:r>
          </w:p>
        </w:tc>
      </w:tr>
      <w:tr>
        <w:trPr>
          <w:tblHeader w:val="false"/>
        </w:trPr>
        <w:tc>
          <w:tcPr>
            <w:tcW w:type="dxa" w:w="2500"/>
            <w:tcMar>
              <w:top w:type="dxa" w:w="60"/>
              <w:left w:type="dxa" w:w="90"/>
              <w:bottom w:type="dxa" w:w="60"/>
              <w:right w:type="dxa" w:w="90"/>
            </w:tcMar>
          </w:tcPr>
          <w:p>
            <w:pPr>
              <w:spacing w:after="0"/>
            </w:pPr>
            <w:r>
              <w:rPr>
                <w:i w:val="false"/>
                <w:iCs w:val="false"/>
                <w:color w:val="000000"/>
                <w:sz w:val="18"/>
                <w:szCs w:val="18"/>
              </w:rPr>
              <w:t xml:space="preserve">Empresas Públicas de La Ceja</w:t>
            </w:r>
          </w:p>
        </w:tc>
        <w:tc>
          <w:tcPr>
            <w:tcW w:type="dxa" w:w="2700"/>
            <w:tcMar>
              <w:top w:type="dxa" w:w="60"/>
              <w:left w:type="dxa" w:w="90"/>
              <w:bottom w:type="dxa" w:w="60"/>
              <w:right w:type="dxa" w:w="90"/>
            </w:tcMar>
          </w:tcPr>
          <w:p>
            <w:pPr>
              <w:spacing w:after="0"/>
            </w:pPr>
            <w:r>
              <w:rPr>
                <w:i w:val="false"/>
                <w:iCs w:val="false"/>
                <w:color w:val="000000"/>
                <w:sz w:val="18"/>
                <w:szCs w:val="18"/>
              </w:rPr>
              <w:t xml:space="preserve">41</w:t>
            </w:r>
          </w:p>
        </w:tc>
        <w:tc>
          <w:tcPr>
            <w:tcW w:type="dxa" w:w="1360"/>
            <w:tcMar>
              <w:top w:type="dxa" w:w="60"/>
              <w:left w:type="dxa" w:w="90"/>
              <w:bottom w:type="dxa" w:w="60"/>
              <w:right w:type="dxa" w:w="90"/>
            </w:tcMar>
          </w:tcPr>
          <w:p>
            <w:pPr>
              <w:spacing w:after="0"/>
            </w:pPr>
            <w:r>
              <w:rPr>
                <w:i w:val="false"/>
                <w:iCs w:val="false"/>
                <w:color w:val="000000"/>
                <w:sz w:val="18"/>
                <w:szCs w:val="18"/>
              </w:rPr>
              <w:t xml:space="preserve">0</w:t>
            </w:r>
          </w:p>
        </w:tc>
        <w:tc>
          <w:tcPr>
            <w:tcW w:type="dxa" w:w="2800"/>
            <w:tcMar>
              <w:top w:type="dxa" w:w="60"/>
              <w:left w:type="dxa" w:w="90"/>
              <w:bottom w:type="dxa" w:w="60"/>
              <w:right w:type="dxa" w:w="90"/>
            </w:tcMar>
          </w:tcPr>
          <w:p>
            <w:pPr>
              <w:spacing w:after="0"/>
            </w:pPr>
            <w:r>
              <w:rPr>
                <w:i w:val="false"/>
                <w:iCs w:val="false"/>
                <w:color w:val="000000"/>
                <w:sz w:val="18"/>
                <w:szCs w:val="18"/>
              </w:rPr>
              <w:t xml:space="preserve">0</w:t>
            </w:r>
          </w:p>
        </w:tc>
      </w:tr>
    </w:tbl>
    <w:p>
      <w:pPr>
        <w:spacing w:after="200"/>
      </w:pPr>
      <w:r>
        <w:rPr>
          <w:color w:val="000000"/>
        </w:rPr>
        <w:t xml:space="preserve"/>
      </w:r>
    </w:p>
    <w:p>
      <w:pPr>
        <w:spacing w:after="160" w:line="276"/>
      </w:pPr>
      <w:r>
        <w:rPr>
          <w:i w:val="false"/>
          <w:iCs w:val="false"/>
          <w:color w:val="000000"/>
        </w:rPr>
        <w:t xml:space="preserve">Esto dice algo sobre el método de diagnóstico que conviene registrar: cuando se le pregunta a las áreas qué clientes se están perdiendo, responden con los nombres grandes y visibles, no con los que efectivamente se fueron. Es una razón concreta para que el diagnóstico de 2027 se haga con datos primero y con percepción después, y no al revés.</w:t>
      </w:r>
    </w:p>
    <w:p>
      <w:pPr>
        <w:spacing w:after="160" w:line="276"/>
      </w:pPr>
      <w:r>
        <w:rPr>
          <w:b/>
          <w:bCs/>
          <w:i w:val="false"/>
          <w:iCs w:val="false"/>
          <w:color w:val="000000"/>
        </w:rPr>
        <w:t xml:space="preserve">Advertencia necesaria sobre estas cifras.</w:t>
      </w:r>
      <w:r>
        <w:rPr>
          <w:i w:val="false"/>
          <w:iCs w:val="false"/>
          <w:color w:val="000000"/>
        </w:rPr>
        <w:t xml:space="preserve"> Son conteos de movimientos, no pesos. Un cliente puede tener muchos movimientos pequeños o pocos movimientos grandes, así que estas variaciones indican dirección pero no materialidad. Para saber cuánto pesa cada una de estas caídas en la facturación hace falta exactamente el dato que no llegó en el ítem 2.4.</w:t>
      </w:r>
    </w:p>
    <w:p>
      <w:pPr>
        <w:pStyle w:val="Heading1"/>
        <w:pBdr>
          <w:bottom w:val="single" w:color="999999" w:sz="4" w:space="4"/>
        </w:pBdr>
        <w:spacing w:after="160" w:before="360"/>
      </w:pPr>
      <w:r>
        <w:rPr>
          <w:b/>
          <w:bCs/>
          <w:color w:val="000000"/>
          <w:sz w:val="26"/>
          <w:szCs w:val="26"/>
        </w:rPr>
        <w:t xml:space="preserve">Recurrencia de clientes</w:t>
      </w:r>
    </w:p>
    <w:p>
      <w:pPr>
        <w:spacing w:after="160" w:line="276"/>
      </w:pPr>
      <w:r>
        <w:rPr>
          <w:i w:val="false"/>
          <w:iCs w:val="false"/>
          <w:color w:val="000000"/>
        </w:rPr>
        <w:t xml:space="preserve">El archivo mide dos poblaciones distintas y conviene no confundirlas. Los clientes que compraron en el año fueron 502 en 2024, 527 en 2025 y 419 en 2026 hasta septiembre. Sobre una base depurada que el archivo llama "sin oficina", fueron 318, 306 y 242.</w:t>
      </w:r>
    </w:p>
    <w:p>
      <w:pPr>
        <w:spacing w:after="160" w:line="276"/>
      </w:pPr>
      <w:r>
        <w:rPr>
          <w:i w:val="false"/>
          <w:iCs w:val="false"/>
          <w:color w:val="000000"/>
        </w:rPr>
        <w:t xml:space="preserve">Sobre esa base depurada, la frecuencia de compra en 2025 se reparte así: 57 clientes compraron los doce meses, 22 compraron once, 18 compraron diez, 16 compraron nueve, 20 compraron ocho, 17 compraron siete y 18 compraron seis. Eso da 168 clientes que compraron en seis meses o más, el 54,9 por ciento de la base. En el otro extremo, 69 clientes compraron una sola vez en el año y 30 compraron dos veces, es decir 99 clientes, el 32,4 por ciento, que son compradores ocasionales.</w:t>
      </w:r>
    </w:p>
    <w:p>
      <w:pPr>
        <w:spacing w:after="160" w:line="276"/>
      </w:pPr>
      <w:r>
        <w:rPr>
          <w:i w:val="false"/>
          <w:iCs w:val="false"/>
          <w:color w:val="000000"/>
        </w:rPr>
        <w:t xml:space="preserve">La comparación con 2024 muestra estabilidad en el núcleo recurrente, 53,5 por ciento entonces contra 54,9 por ciento ahora, pero un deterioro en la cola: los clientes de una sola compra al año pasaron de 56 a 69, del 17,6 al 22,6 por ciento de la base. Está entrando más cliente ocasional y eso encaja con que el número total de clientes creciera de 502 a 527 mientras la facturación caía. Se está vendiendo a más gente y menos volumen a cada uno.</w:t>
      </w:r>
    </w:p>
    <w:p>
      <w:pPr>
        <w:spacing w:after="160" w:line="276"/>
      </w:pPr>
      <w:r>
        <w:rPr>
          <w:i w:val="false"/>
          <w:iCs w:val="false"/>
          <w:color w:val="000000"/>
        </w:rPr>
        <w:t xml:space="preserve">Es una base de recurrencia utilizable, y es la primera que existe. Lo que le falta para servir en el plan 2027 es el peso en pesos de cada grupo. Saber que 168 clientes compran seis meses o más no dice si representan el 60 por ciento de la facturación o el 95, y esa diferencia cambia por completo la estrategia comercial.</w:t>
      </w:r>
    </w:p>
    <w:p>
      <w:pPr>
        <w:pStyle w:val="Heading1"/>
        <w:pBdr>
          <w:bottom w:val="single" w:color="999999" w:sz="4" w:space="4"/>
        </w:pBdr>
        <w:spacing w:after="160" w:before="360"/>
      </w:pPr>
      <w:r>
        <w:rPr>
          <w:b/>
          <w:bCs/>
          <w:color w:val="000000"/>
          <w:sz w:val="26"/>
          <w:szCs w:val="26"/>
        </w:rPr>
        <w:t xml:space="preserve">Calidad del archivo</w:t>
      </w:r>
    </w:p>
    <w:p>
      <w:pPr>
        <w:spacing w:after="160" w:line="276"/>
      </w:pPr>
      <w:r>
        <w:rPr>
          <w:i w:val="false"/>
          <w:iCs w:val="false"/>
          <w:color w:val="000000"/>
        </w:rPr>
        <w:t xml:space="preserve">Dos cosas menores que conviene corregir en la fuente antes de que alguien cite estas tablas.</w:t>
      </w:r>
    </w:p>
    <w:p>
      <w:pPr>
        <w:spacing w:after="160" w:line="276"/>
      </w:pPr>
      <w:r>
        <w:rPr>
          <w:i w:val="false"/>
          <w:iCs w:val="false"/>
          <w:color w:val="000000"/>
        </w:rPr>
        <w:t xml:space="preserve">La fila "50 OTROS - FLETES" de la hoja de líneas está desalineada: en las columnas de 2025 aparecen valores corridos que no corresponden a los encabezados, y la fila de total general que le sigue queda malformada. Los totales correctos son los de la fila "Total general" anterior, más esa fila de fletes.</w:t>
      </w:r>
    </w:p>
    <w:p>
      <w:pPr>
        <w:spacing w:after="160" w:line="276"/>
      </w:pPr>
      <w:r>
        <w:rPr>
          <w:i w:val="false"/>
          <w:iCs w:val="false"/>
          <w:color w:val="000000"/>
        </w:rPr>
        <w:t xml:space="preserve">La columna "Promedio Utilidad APL" no es utilizable en las filas de total, porque promedia porcentajes de líneas de tamaño muy distinto. En la fila de total general marca 1,2057 para 2024, que no significa nada. La columna de margen bruto sí está bien calculada y es la que hay que usar.</w:t>
      </w:r>
    </w:p>
    <w:p>
      <w:pPr>
        <w:pStyle w:val="Heading1"/>
        <w:pBdr>
          <w:bottom w:val="single" w:color="999999" w:sz="4" w:space="4"/>
        </w:pBdr>
        <w:spacing w:after="160" w:before="360"/>
      </w:pPr>
      <w:r>
        <w:rPr>
          <w:b/>
          <w:bCs/>
          <w:color w:val="000000"/>
          <w:sz w:val="26"/>
          <w:szCs w:val="26"/>
        </w:rPr>
        <w:t xml:space="preserve">Qué propondría hacer</w:t>
      </w:r>
    </w:p>
    <w:p>
      <w:pPr>
        <w:spacing w:after="160" w:line="276"/>
      </w:pPr>
      <w:r>
        <w:rPr>
          <w:i w:val="false"/>
          <w:iCs w:val="false"/>
          <w:color w:val="000000"/>
        </w:rPr>
        <w:t xml:space="preserve">Resolver con contabilidad la brecha de 2,66 puntos entre el margen de APL y el margen contable de 2025, y decidir cuál de las dos fuentes alimenta el tablero. Es la decisión que bloquea el bloque 3 y la que puede invalidar las metas de margen del manual de funciones.</w:t>
      </w:r>
    </w:p>
    <w:p>
      <w:pPr>
        <w:spacing w:after="160" w:line="276"/>
      </w:pPr>
      <w:r>
        <w:rPr>
          <w:i w:val="false"/>
          <w:iCs w:val="false"/>
          <w:color w:val="000000"/>
        </w:rPr>
        <w:t xml:space="preserve">Completar el ítem 2.4 con lo que falta: facturación por cliente, participación de cada uno en el total, y antigüedad. Con la base cruda de cincuenta mil registros que ya está en el archivo, es un trabajo de tabla dinámica, no de levantamiento nuevo.</w:t>
      </w:r>
    </w:p>
    <w:p>
      <w:pPr>
        <w:spacing w:after="160" w:line="276"/>
      </w:pPr>
      <w:r>
        <w:rPr>
          <w:i w:val="false"/>
          <w:iCs w:val="false"/>
          <w:color w:val="000000"/>
        </w:rPr>
        <w:t xml:space="preserve">Pedir que el análisis de segmento se pueda cruzar con canal, para separar cliente de forma de venta y poder leer bien tanto Académico como Licitaciones.</w:t>
      </w:r>
    </w:p>
    <w:p>
      <w:pPr>
        <w:spacing w:after="160" w:line="276"/>
      </w:pPr>
      <w:r>
        <w:rPr>
          <w:i w:val="false"/>
          <w:iCs w:val="false"/>
          <w:color w:val="000000"/>
        </w:rPr>
        <w:t xml:space="preserve">Hacerle tres preguntas concretas a Pacho, que salen directamente de los datos y no estaban sobre la mesa: qué pasó con la línea de equipos de marca propia, que perdió el 94 por ciento de su venta siendo la más rentable; qué explica el salto de mobiliario, que se multiplicó por 2,4 con el mejor margen del portafolio; y si la percepción de que las licitaciones son negocio de baja rentabilidad se sostiene, dado que el margen bruto dice lo contrario y el costo real puede estar en caja y reprocesos en lugar de en margen.</w:t>
      </w:r>
    </w:p>
    <w:p>
      <w:pPr>
        <w:spacing w:after="160" w:line="276"/>
      </w:pPr>
      <w:r>
        <w:rPr>
          <w:i w:val="false"/>
          <w:iCs w:val="false"/>
          <w:color w:val="000000"/>
        </w:rPr>
        <w:t xml:space="preserve">Y revisar la meta de margen bruto del manual de funciones cuando la fuente de medición quede decidida, porque hoy está anclada a una cifra contable que el sistema operativo no reproduce.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2026-09-10T23:28:49.528Z</dcterms:created>
  <dcterms:modified xsi:type="dcterms:W3CDTF">2026-09-10T23:28:49.536Z</dcterms:modified>
</cp:coreProperties>
</file>

<file path=docProps/custom.xml><?xml version="1.0" encoding="utf-8"?>
<Properties xmlns="http://schemas.openxmlformats.org/officeDocument/2006/custom-properties" xmlns:vt="http://schemas.openxmlformats.org/officeDocument/2006/docPropsVTypes"/>
</file>