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240"/>
      </w:pPr>
      <w:r>
        <w:rPr>
          <w:b/>
          <w:bCs/>
          <w:color w:val="000000"/>
          <w:sz w:val="32"/>
          <w:szCs w:val="32"/>
        </w:rPr>
        <w:t xml:space="preserve">Backlog septiembre-diciembre 2026: construcción de la planeación estratégica 2027-2031</w:t>
      </w:r>
    </w:p>
    <w:p>
      <w:pPr>
        <w:spacing w:after="160" w:line="276"/>
      </w:pPr>
      <w:r>
        <w:rPr>
          <w:i w:val="false"/>
          <w:iCs w:val="false"/>
          <w:color w:val="000000"/>
        </w:rPr>
        <w:t xml:space="preserve">Documento de trabajo para que Luis Felipe le proponga a Pacho. Es una propuesta, no una decisión ejecutable directamente por el asesor.</w:t>
      </w:r>
    </w:p>
    <w:p>
      <w:pPr>
        <w:spacing w:after="160" w:line="276"/>
      </w:pPr>
      <w:r>
        <w:rPr>
          <w:i w:val="false"/>
          <w:iCs w:val="false"/>
          <w:color w:val="000000"/>
        </w:rPr>
        <w:t xml:space="preserve">Versión actualizada al 10 de septiembre de 2026. La versión anterior es del 19 de agosto.</w:t>
      </w:r>
    </w:p>
    <w:p>
      <w:pPr>
        <w:pStyle w:val="Heading1"/>
        <w:pBdr>
          <w:bottom w:val="single" w:color="999999" w:sz="4" w:space="4"/>
        </w:pBdr>
        <w:spacing w:after="160" w:before="360"/>
      </w:pPr>
      <w:r>
        <w:rPr>
          <w:b/>
          <w:bCs/>
          <w:color w:val="000000"/>
          <w:sz w:val="26"/>
          <w:szCs w:val="26"/>
        </w:rPr>
        <w:t xml:space="preserve">Estado al 10 de septiembre</w:t>
      </w:r>
    </w:p>
    <w:p>
      <w:pPr>
        <w:spacing w:after="160" w:line="276"/>
      </w:pPr>
      <w:r>
        <w:rPr>
          <w:i w:val="false"/>
          <w:iCs w:val="false"/>
          <w:color w:val="000000"/>
        </w:rPr>
        <w:t xml:space="preserve">En tres semanas se cerraron cinco ítems y se entregó el grueso de dos bloques. Los bloques 1 y 2, que son los que dependen del trabajo de las áreas, avanzaron mucho más rápido de lo que yo estimé al armar el backlog: once perfiles de cargo completos y tres extracciones de datos que nunca antes se habían producido. La estimación de capacidad de la versión anterior era pesimista y conviene decirlo.</w:t>
      </w:r>
    </w:p>
    <w:p>
      <w:pPr>
        <w:spacing w:after="160" w:line="276"/>
      </w:pPr>
      <w:r>
        <w:rPr>
          <w:i w:val="false"/>
          <w:iCs w:val="false"/>
          <w:color w:val="000000"/>
        </w:rPr>
        <w:t xml:space="preserve">Lo que no se movió en esas mismas tres semanas son las decisiones. El margen mínimo permitido sigue sin fijarse, el cargo de asesor de licitaciones sigue sin ratificarse, la disponibilidad de presupuesto para componente variable sigue sin respuesta, y las fechas concretas del backlog siguen sin asignarse. Ninguna de esas cuatro requiere trabajo de nadie: requieren que alguien decida.</w:t>
      </w:r>
    </w:p>
    <w:p>
      <w:pPr>
        <w:spacing w:after="160" w:line="276"/>
      </w:pPr>
      <w:r>
        <w:rPr>
          <w:b/>
          <w:bCs/>
          <w:i w:val="false"/>
          <w:iCs w:val="false"/>
          <w:color w:val="000000"/>
        </w:rPr>
        <w:t xml:space="preserve">El cuello de botella se movió de la ejecución a la decisión.</w:t>
      </w:r>
      <w:r>
        <w:rPr>
          <w:i w:val="false"/>
          <w:iCs w:val="false"/>
          <w:color w:val="000000"/>
        </w:rPr>
        <w:t xml:space="preserve"> Es exactamente el patrón que mató la planeación de 2024 y el mismo que las áreas reportaron en el diagnóstico cuando dijeron que los indicadores existen pero nadie toma decisiones frente a ellos. Vale la pena nombrarlo ahora que todavía es corregible.</w:t>
      </w:r>
    </w:p>
    <w:p>
      <w:pPr>
        <w:spacing w:after="160" w:line="276"/>
      </w:pPr>
      <w:r>
        <w:rPr>
          <w:i w:val="false"/>
          <w:iCs w:val="false"/>
          <w:color w:val="000000"/>
        </w:rPr>
        <w:t xml:space="preserve">Resumen: de 29 ítems originales hay 5 cerrados, 6 entregados a la espera de aprobación o completamiento, y 18 sin arrancar. Se agregan 10 ítems nuevos que salieron de las dos verificaciones, con lo que el backlog queda en 39. La ventana pasó de cuatro meses a poco menos de dieciséis semanas, y diciembre sigue siendo mes corto.</w:t>
      </w:r>
    </w:p>
    <w:p>
      <w:pPr>
        <w:pStyle w:val="Heading1"/>
        <w:pBdr>
          <w:bottom w:val="single" w:color="999999" w:sz="4" w:space="4"/>
        </w:pBdr>
        <w:spacing w:after="160" w:before="360"/>
      </w:pPr>
      <w:r>
        <w:rPr>
          <w:b/>
          <w:bCs/>
          <w:color w:val="000000"/>
          <w:sz w:val="26"/>
          <w:szCs w:val="26"/>
        </w:rPr>
        <w:t xml:space="preserve">Objetivo</w:t>
      </w:r>
    </w:p>
    <w:p>
      <w:pPr>
        <w:spacing w:after="160" w:line="276"/>
      </w:pPr>
      <w:r>
        <w:rPr>
          <w:i w:val="false"/>
          <w:iCs w:val="false"/>
          <w:color w:val="000000"/>
        </w:rPr>
        <w:t xml:space="preserve">Definir el norte de la empresa mediante una planeación estratégica que se construye en lo que resta de 2026, con meta a cinco años, y que empieza a regir en enero de 2027.</w:t>
      </w:r>
    </w:p>
    <w:p>
      <w:pPr>
        <w:spacing w:after="160" w:line="276"/>
      </w:pPr>
      <w:r>
        <w:rPr>
          <w:i w:val="false"/>
          <w:iCs w:val="false"/>
          <w:color w:val="000000"/>
        </w:rPr>
        <w:t xml:space="preserve">Los cinco frentes que sostienen ese objetivo son los definidos por Luis Felipe: funciones de los cargos, procesos automatizables mediante IA, tablero de control por área, sistema de evaluación de desempeño, y crecimiento en ventas sostenible conservando o mejorando los márgenes. No hay frentes adicionales.</w:t>
      </w:r>
    </w:p>
    <w:p>
      <w:pPr>
        <w:pStyle w:val="Heading1"/>
        <w:pBdr>
          <w:bottom w:val="single" w:color="999999" w:sz="4" w:space="4"/>
        </w:pBdr>
        <w:spacing w:after="160" w:before="360"/>
      </w:pPr>
      <w:r>
        <w:rPr>
          <w:b/>
          <w:bCs/>
          <w:color w:val="000000"/>
          <w:sz w:val="26"/>
          <w:szCs w:val="26"/>
        </w:rPr>
        <w:t xml:space="preserve">Reglas de operación</w:t>
      </w:r>
    </w:p>
    <w:p>
      <w:pPr>
        <w:spacing w:after="160" w:line="276"/>
      </w:pPr>
      <w:r>
        <w:rPr>
          <w:i w:val="false"/>
          <w:iCs w:val="false"/>
          <w:color w:val="000000"/>
        </w:rPr>
        <w:t xml:space="preserve">Un ítem se cierra únicamente cuando el entregable nombrado existe como archivo y Pacho lo aprobó. Trabajo sin entregable producido cuenta como cero.</w:t>
      </w:r>
    </w:p>
    <w:p>
      <w:pPr>
        <w:spacing w:after="160" w:line="276"/>
      </w:pPr>
      <w:r>
        <w:rPr>
          <w:i w:val="false"/>
          <w:iCs w:val="false"/>
          <w:color w:val="000000"/>
        </w:rPr>
        <w:t xml:space="preserve">Ningún entregable que contenga una tabla de metas se cierra si alguna celda numérica está vacía.</w:t>
      </w:r>
    </w:p>
    <w:p>
      <w:pPr>
        <w:spacing w:after="160" w:line="276"/>
      </w:pPr>
      <w:r>
        <w:rPr>
          <w:i w:val="false"/>
          <w:iCs w:val="false"/>
          <w:color w:val="000000"/>
        </w:rPr>
        <w:t xml:space="preserve">Cada ítem tiene un solo responsable. Los que requieren aporte de varias áreas tienen un responsable de entrega y el resto son insumos suyos.</w:t>
      </w:r>
    </w:p>
    <w:p>
      <w:pPr>
        <w:spacing w:after="160" w:line="276"/>
      </w:pPr>
      <w:r>
        <w:rPr>
          <w:i w:val="false"/>
          <w:iCs w:val="false"/>
          <w:color w:val="000000"/>
        </w:rPr>
        <w:t xml:space="preserve">Pacho aprueba o devuelve dentro de los cinco días hábiles siguientes a la entrega. Sin respuesta en ese plazo, el entregable se considera aprobado.</w:t>
      </w:r>
    </w:p>
    <w:p>
      <w:pPr>
        <w:spacing w:after="160" w:line="276"/>
      </w:pPr>
      <w:r>
        <w:rPr>
          <w:i w:val="false"/>
          <w:iCs w:val="false"/>
          <w:color w:val="000000"/>
        </w:rPr>
        <w:t xml:space="preserve">Luis Felipe no es responsable de ningún entregable operativo. Los produce la empresa.</w:t>
      </w:r>
    </w:p>
    <w:p>
      <w:pPr>
        <w:spacing w:after="160" w:line="276"/>
      </w:pPr>
      <w:r>
        <w:rPr>
          <w:i w:val="false"/>
          <w:iCs w:val="false"/>
          <w:color w:val="000000"/>
        </w:rPr>
        <w:t xml:space="preserve">Estados posibles: </w:t>
      </w:r>
      <w:r>
        <w:rPr>
          <w:b/>
          <w:bCs/>
          <w:i w:val="false"/>
          <w:iCs w:val="false"/>
          <w:color w:val="000000"/>
        </w:rPr>
        <w:t xml:space="preserve">Cerrado</w:t>
      </w:r>
      <w:r>
        <w:rPr>
          <w:i w:val="false"/>
          <w:iCs w:val="false"/>
          <w:color w:val="000000"/>
        </w:rPr>
        <w:t xml:space="preserve">, </w:t>
      </w:r>
      <w:r>
        <w:rPr>
          <w:b/>
          <w:bCs/>
          <w:i w:val="false"/>
          <w:iCs w:val="false"/>
          <w:color w:val="000000"/>
        </w:rPr>
        <w:t xml:space="preserve">Entregado</w:t>
      </w:r>
      <w:r>
        <w:rPr>
          <w:i w:val="false"/>
          <w:iCs w:val="false"/>
          <w:color w:val="000000"/>
        </w:rPr>
        <w:t xml:space="preserve"> (existe pero falta aprobación o le falta contenido), </w:t>
      </w:r>
      <w:r>
        <w:rPr>
          <w:b/>
          <w:bCs/>
          <w:i w:val="false"/>
          <w:iCs w:val="false"/>
          <w:color w:val="000000"/>
        </w:rPr>
        <w:t xml:space="preserve">Abierto</w:t>
      </w:r>
      <w:r>
        <w:rPr>
          <w:i w:val="false"/>
          <w:iCs w:val="false"/>
          <w:color w:val="000000"/>
        </w:rPr>
        <w:t xml:space="preserve">, </w:t>
      </w:r>
      <w:r>
        <w:rPr>
          <w:b/>
          <w:bCs/>
          <w:i w:val="false"/>
          <w:iCs w:val="false"/>
          <w:color w:val="000000"/>
        </w:rPr>
        <w:t xml:space="preserve">Bloqueado</w:t>
      </w:r>
      <w:r>
        <w:rPr>
          <w:i w:val="false"/>
          <w:iCs w:val="false"/>
          <w:color w:val="000000"/>
        </w:rPr>
        <w:t xml:space="preserve">.</w:t>
      </w:r>
    </w:p>
    <w:p>
      <w:pPr>
        <w:pStyle w:val="Heading1"/>
        <w:pBdr>
          <w:bottom w:val="single" w:color="999999" w:sz="4" w:space="4"/>
        </w:pBdr>
        <w:spacing w:after="160" w:before="360"/>
      </w:pPr>
      <w:r>
        <w:rPr>
          <w:b/>
          <w:bCs/>
          <w:color w:val="000000"/>
          <w:sz w:val="26"/>
          <w:szCs w:val="26"/>
        </w:rPr>
        <w:t xml:space="preserve">Los dos bloqueos activos</w:t>
      </w:r>
    </w:p>
    <w:p>
      <w:pPr>
        <w:spacing w:after="160" w:line="276"/>
      </w:pPr>
      <w:r>
        <w:rPr>
          <w:i w:val="false"/>
          <w:iCs w:val="false"/>
          <w:color w:val="000000"/>
        </w:rPr>
        <w:t xml:space="preserve">Antes de las tablas, porque condicionan todo lo demás.</w:t>
      </w:r>
    </w:p>
    <w:p>
      <w:pPr>
        <w:spacing w:after="160" w:line="276"/>
      </w:pPr>
      <w:r>
        <w:rPr>
          <w:b/>
          <w:bCs/>
          <w:i w:val="false"/>
          <w:iCs w:val="false"/>
          <w:color w:val="000000"/>
        </w:rPr>
        <w:t xml:space="preserve">Bloqueo 1: no existe un margen mínimo definido.</w:t>
      </w:r>
      <w:r>
        <w:rPr>
          <w:i w:val="false"/>
          <w:iCs w:val="false"/>
          <w:color w:val="000000"/>
        </w:rPr>
        <w:t xml:space="preserve"> La autoridad para autorizar ventas bajo el margen permitido quedó en la Dirección Administrativa, pero nadie ha fijado cuál es ese mínimo. Autorizar excepciones a un umbral inexistente no controla nada, y el manual de funciones tiene tres indicadores que dependen de ese número. Lo define la gerencia y es la decisión más barata y más urgente del backlog.</w:t>
      </w:r>
    </w:p>
    <w:p>
      <w:pPr>
        <w:spacing w:after="160" w:line="276"/>
      </w:pPr>
      <w:r>
        <w:rPr>
          <w:b/>
          <w:bCs/>
          <w:i w:val="false"/>
          <w:iCs w:val="false"/>
          <w:color w:val="000000"/>
        </w:rPr>
        <w:t xml:space="preserve">Bloqueo 2: el margen de APL no coincide con el margen contable.</w:t>
      </w:r>
      <w:r>
        <w:rPr>
          <w:i w:val="false"/>
          <w:iCs w:val="false"/>
          <w:color w:val="000000"/>
        </w:rPr>
        <w:t xml:space="preserve"> Para 2025, APL reporta 24,98 por ciento y el estado de resultados auditado 27,64 por ciento. Las ventas coinciden con 0,03 por ciento de diferencia, así que la brecha de 2,66 puntos, unos 325 millones, está toda en el costo. Hasta que no se decida cuál de las dos fuentes alimenta el tablero, el bloque 3 no puede arrancar sin arrancar mal: las metas de margen del manual están ancladas al dato contable y APL no ha mostrado más de 26,3 por ciento en tres años.</w:t>
      </w:r>
    </w:p>
    <w:p>
      <w:pPr>
        <w:pStyle w:val="Heading1"/>
        <w:pBdr>
          <w:bottom w:val="single" w:color="999999" w:sz="4" w:space="4"/>
        </w:pBdr>
        <w:spacing w:after="160" w:before="360"/>
      </w:pPr>
      <w:r>
        <w:rPr>
          <w:b/>
          <w:bCs/>
          <w:color w:val="000000"/>
          <w:sz w:val="26"/>
          <w:szCs w:val="26"/>
        </w:rPr>
        <w:t xml:space="preserve">Bloque 1. Funciones de los cargos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ID</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Actividad</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Entregable</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Responsable</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Estado</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1.1</w:t>
            </w:r>
          </w:p>
        </w:tc>
        <w:tc>
          <w:tcPr>
            <w:tcW w:type="dxa" w:w="1872"/>
            <w:tcMar>
              <w:top w:type="dxa" w:w="60"/>
              <w:left w:type="dxa" w:w="90"/>
              <w:bottom w:type="dxa" w:w="60"/>
              <w:right w:type="dxa" w:w="90"/>
            </w:tcMar>
          </w:tcPr>
          <w:p>
            <w:pPr>
              <w:spacing w:after="0"/>
            </w:pPr>
            <w:r>
              <w:rPr>
                <w:i w:val="false"/>
                <w:iCs w:val="false"/>
                <w:color w:val="000000"/>
                <w:sz w:val="18"/>
                <w:szCs w:val="18"/>
              </w:rPr>
              <w:t xml:space="preserve">Decidir la ubicación de licitaciones</w:t>
            </w:r>
          </w:p>
        </w:tc>
        <w:tc>
          <w:tcPr>
            <w:tcW w:type="dxa" w:w="1872"/>
            <w:tcMar>
              <w:top w:type="dxa" w:w="60"/>
              <w:left w:type="dxa" w:w="90"/>
              <w:bottom w:type="dxa" w:w="60"/>
              <w:right w:type="dxa" w:w="90"/>
            </w:tcMar>
          </w:tcPr>
          <w:p>
            <w:pPr>
              <w:spacing w:after="0"/>
            </w:pPr>
            <w:r>
              <w:rPr>
                <w:i w:val="false"/>
                <w:iCs w:val="false"/>
                <w:color w:val="000000"/>
                <w:sz w:val="18"/>
                <w:szCs w:val="18"/>
              </w:rPr>
              <w:t xml:space="preserve">Decisión escrita</w:t>
            </w:r>
          </w:p>
        </w:tc>
        <w:tc>
          <w:tcPr>
            <w:tcW w:type="dxa" w:w="1872"/>
            <w:tcMar>
              <w:top w:type="dxa" w:w="60"/>
              <w:left w:type="dxa" w:w="90"/>
              <w:bottom w:type="dxa" w:w="60"/>
              <w:right w:type="dxa" w:w="90"/>
            </w:tcMar>
          </w:tcPr>
          <w:p>
            <w:pPr>
              <w:spacing w:after="0"/>
            </w:pPr>
            <w:r>
              <w:rPr>
                <w:i w:val="false"/>
                <w:iCs w:val="false"/>
                <w:color w:val="000000"/>
                <w:sz w:val="18"/>
                <w:szCs w:val="18"/>
              </w:rPr>
              <w:t xml:space="preserve">Pacho</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Cerrado.</w:t>
            </w:r>
            <w:r>
              <w:rPr>
                <w:i w:val="false"/>
                <w:iCs w:val="false"/>
                <w:color w:val="000000"/>
                <w:sz w:val="18"/>
                <w:szCs w:val="18"/>
              </w:rPr>
              <w:t xml:space="preserve"> Función compartida entre Comercial y Compras y Logística, con regla de cuatro fases documentada</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1.2</w:t>
            </w:r>
          </w:p>
        </w:tc>
        <w:tc>
          <w:tcPr>
            <w:tcW w:type="dxa" w:w="1872"/>
            <w:tcMar>
              <w:top w:type="dxa" w:w="60"/>
              <w:left w:type="dxa" w:w="90"/>
              <w:bottom w:type="dxa" w:w="60"/>
              <w:right w:type="dxa" w:w="90"/>
            </w:tcMar>
          </w:tcPr>
          <w:p>
            <w:pPr>
              <w:spacing w:after="0"/>
            </w:pPr>
            <w:r>
              <w:rPr>
                <w:i w:val="false"/>
                <w:iCs w:val="false"/>
                <w:color w:val="000000"/>
                <w:sz w:val="18"/>
                <w:szCs w:val="18"/>
              </w:rPr>
              <w:t xml:space="preserve">Fichas del área comercial</w:t>
            </w:r>
          </w:p>
        </w:tc>
        <w:tc>
          <w:tcPr>
            <w:tcW w:type="dxa" w:w="1872"/>
            <w:tcMar>
              <w:top w:type="dxa" w:w="60"/>
              <w:left w:type="dxa" w:w="90"/>
              <w:bottom w:type="dxa" w:w="60"/>
              <w:right w:type="dxa" w:w="90"/>
            </w:tcMar>
          </w:tcPr>
          <w:p>
            <w:pPr>
              <w:spacing w:after="0"/>
            </w:pPr>
            <w:r>
              <w:rPr>
                <w:i w:val="false"/>
                <w:iCs w:val="false"/>
                <w:color w:val="000000"/>
                <w:sz w:val="18"/>
                <w:szCs w:val="18"/>
              </w:rPr>
              <w:t xml:space="preserve">Cinco fichas</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Dirección Comercial</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Entregado.</w:t>
            </w:r>
            <w:r>
              <w:rPr>
                <w:i w:val="false"/>
                <w:iCs w:val="false"/>
                <w:color w:val="000000"/>
                <w:sz w:val="18"/>
                <w:szCs w:val="18"/>
              </w:rPr>
              <w:t xml:space="preserve"> Llegaron las cinco, incluida la de asesor de licitaciones. Brechas cerradas en el manual consolidado; falta aprobación</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1.3</w:t>
            </w:r>
          </w:p>
        </w:tc>
        <w:tc>
          <w:tcPr>
            <w:tcW w:type="dxa" w:w="1872"/>
            <w:tcMar>
              <w:top w:type="dxa" w:w="60"/>
              <w:left w:type="dxa" w:w="90"/>
              <w:bottom w:type="dxa" w:w="60"/>
              <w:right w:type="dxa" w:w="90"/>
            </w:tcMar>
          </w:tcPr>
          <w:p>
            <w:pPr>
              <w:spacing w:after="0"/>
            </w:pPr>
            <w:r>
              <w:rPr>
                <w:i w:val="false"/>
                <w:iCs w:val="false"/>
                <w:color w:val="000000"/>
                <w:sz w:val="18"/>
                <w:szCs w:val="18"/>
              </w:rPr>
              <w:t xml:space="preserve">Fichas de compras y logística</w:t>
            </w:r>
          </w:p>
        </w:tc>
        <w:tc>
          <w:tcPr>
            <w:tcW w:type="dxa" w:w="1872"/>
            <w:tcMar>
              <w:top w:type="dxa" w:w="60"/>
              <w:left w:type="dxa" w:w="90"/>
              <w:bottom w:type="dxa" w:w="60"/>
              <w:right w:type="dxa" w:w="90"/>
            </w:tcMar>
          </w:tcPr>
          <w:p>
            <w:pPr>
              <w:spacing w:after="0"/>
            </w:pPr>
            <w:r>
              <w:rPr>
                <w:i w:val="false"/>
                <w:iCs w:val="false"/>
                <w:color w:val="000000"/>
                <w:sz w:val="18"/>
                <w:szCs w:val="18"/>
              </w:rPr>
              <w:t xml:space="preserve">Tres fichas</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Dirección de Compras y Logística</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Entregado.</w:t>
            </w:r>
            <w:r>
              <w:rPr>
                <w:i w:val="false"/>
                <w:iCs w:val="false"/>
                <w:color w:val="000000"/>
                <w:sz w:val="18"/>
                <w:szCs w:val="18"/>
              </w:rPr>
              <w:t xml:space="preserve"> El alcance cambió: el auxiliar de bodega no existe. Los cargos son almacenista, asistente de logística y transportador</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1.4</w:t>
            </w:r>
          </w:p>
        </w:tc>
        <w:tc>
          <w:tcPr>
            <w:tcW w:type="dxa" w:w="1872"/>
            <w:tcMar>
              <w:top w:type="dxa" w:w="60"/>
              <w:left w:type="dxa" w:w="90"/>
              <w:bottom w:type="dxa" w:w="60"/>
              <w:right w:type="dxa" w:w="90"/>
            </w:tcMar>
          </w:tcPr>
          <w:p>
            <w:pPr>
              <w:spacing w:after="0"/>
            </w:pPr>
            <w:r>
              <w:rPr>
                <w:i w:val="false"/>
                <w:iCs w:val="false"/>
                <w:color w:val="000000"/>
                <w:sz w:val="18"/>
                <w:szCs w:val="18"/>
              </w:rPr>
              <w:t xml:space="preserve">Fichas del área administrativa</w:t>
            </w:r>
          </w:p>
        </w:tc>
        <w:tc>
          <w:tcPr>
            <w:tcW w:type="dxa" w:w="1872"/>
            <w:tcMar>
              <w:top w:type="dxa" w:w="60"/>
              <w:left w:type="dxa" w:w="90"/>
              <w:bottom w:type="dxa" w:w="60"/>
              <w:right w:type="dxa" w:w="90"/>
            </w:tcMar>
          </w:tcPr>
          <w:p>
            <w:pPr>
              <w:spacing w:after="0"/>
            </w:pPr>
            <w:r>
              <w:rPr>
                <w:i w:val="false"/>
                <w:iCs w:val="false"/>
                <w:color w:val="000000"/>
                <w:sz w:val="18"/>
                <w:szCs w:val="18"/>
              </w:rPr>
              <w:t xml:space="preserve">Dos fichas</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Dirección Administrativa</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Entregado.</w:t>
            </w:r>
            <w:r>
              <w:rPr>
                <w:i w:val="false"/>
                <w:iCs w:val="false"/>
                <w:color w:val="000000"/>
                <w:sz w:val="18"/>
                <w:szCs w:val="18"/>
              </w:rPr>
              <w:t xml:space="preserve"> Asistente administrativa y servicios generales. Brechas cerradas en el manual</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1.5</w:t>
            </w:r>
          </w:p>
        </w:tc>
        <w:tc>
          <w:tcPr>
            <w:tcW w:type="dxa" w:w="1872"/>
            <w:tcMar>
              <w:top w:type="dxa" w:w="60"/>
              <w:left w:type="dxa" w:w="90"/>
              <w:bottom w:type="dxa" w:w="60"/>
              <w:right w:type="dxa" w:w="90"/>
            </w:tcMar>
          </w:tcPr>
          <w:p>
            <w:pPr>
              <w:spacing w:after="0"/>
            </w:pPr>
            <w:r>
              <w:rPr>
                <w:i w:val="false"/>
                <w:iCs w:val="false"/>
                <w:color w:val="000000"/>
                <w:sz w:val="18"/>
                <w:szCs w:val="18"/>
              </w:rPr>
              <w:t xml:space="preserve">Ficha de gerencia con la función de control financiero</w:t>
            </w:r>
          </w:p>
        </w:tc>
        <w:tc>
          <w:tcPr>
            <w:tcW w:type="dxa" w:w="1872"/>
            <w:tcMar>
              <w:top w:type="dxa" w:w="60"/>
              <w:left w:type="dxa" w:w="90"/>
              <w:bottom w:type="dxa" w:w="60"/>
              <w:right w:type="dxa" w:w="90"/>
            </w:tcMar>
          </w:tcPr>
          <w:p>
            <w:pPr>
              <w:spacing w:after="0"/>
            </w:pPr>
            <w:r>
              <w:rPr>
                <w:i w:val="false"/>
                <w:iCs w:val="false"/>
                <w:color w:val="000000"/>
                <w:sz w:val="18"/>
                <w:szCs w:val="18"/>
              </w:rPr>
              <w:t xml:space="preserve">Una ficha</w:t>
            </w:r>
          </w:p>
        </w:tc>
        <w:tc>
          <w:tcPr>
            <w:tcW w:type="dxa" w:w="1872"/>
            <w:tcMar>
              <w:top w:type="dxa" w:w="60"/>
              <w:left w:type="dxa" w:w="90"/>
              <w:bottom w:type="dxa" w:w="60"/>
              <w:right w:type="dxa" w:w="90"/>
            </w:tcMar>
          </w:tcPr>
          <w:p>
            <w:pPr>
              <w:spacing w:after="0"/>
            </w:pPr>
            <w:r>
              <w:rPr>
                <w:i w:val="false"/>
                <w:iCs w:val="false"/>
                <w:color w:val="000000"/>
                <w:sz w:val="18"/>
                <w:szCs w:val="18"/>
              </w:rPr>
              <w:t xml:space="preserve">Pacho</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Entregado.</w:t>
            </w:r>
            <w:r>
              <w:rPr>
                <w:i w:val="false"/>
                <w:iCs w:val="false"/>
                <w:color w:val="000000"/>
                <w:sz w:val="18"/>
                <w:szCs w:val="18"/>
              </w:rPr>
              <w:t xml:space="preserve"> La entrega original no contenía ninguna mención a margen bruto, EBITDA, utilidad neta ni liquidez. Corregido en el manual consolidado; falta aprobación</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1.6</w:t>
            </w:r>
          </w:p>
        </w:tc>
        <w:tc>
          <w:tcPr>
            <w:tcW w:type="dxa" w:w="1872"/>
            <w:tcMar>
              <w:top w:type="dxa" w:w="60"/>
              <w:left w:type="dxa" w:w="90"/>
              <w:bottom w:type="dxa" w:w="60"/>
              <w:right w:type="dxa" w:w="90"/>
            </w:tcMar>
          </w:tcPr>
          <w:p>
            <w:pPr>
              <w:spacing w:after="0"/>
            </w:pPr>
            <w:r>
              <w:rPr>
                <w:i w:val="false"/>
                <w:iCs w:val="false"/>
                <w:color w:val="000000"/>
                <w:sz w:val="18"/>
                <w:szCs w:val="18"/>
              </w:rPr>
              <w:t xml:space="preserve">Consolidar, aprobar, publicar y comunicar el manual</w:t>
            </w:r>
          </w:p>
        </w:tc>
        <w:tc>
          <w:tcPr>
            <w:tcW w:type="dxa" w:w="1872"/>
            <w:tcMar>
              <w:top w:type="dxa" w:w="60"/>
              <w:left w:type="dxa" w:w="90"/>
              <w:bottom w:type="dxa" w:w="60"/>
              <w:right w:type="dxa" w:w="90"/>
            </w:tcMar>
          </w:tcPr>
          <w:p>
            <w:pPr>
              <w:spacing w:after="0"/>
            </w:pPr>
            <w:r>
              <w:rPr>
                <w:i w:val="false"/>
                <w:iCs w:val="false"/>
                <w:color w:val="000000"/>
                <w:sz w:val="18"/>
                <w:szCs w:val="18"/>
              </w:rPr>
              <w:t xml:space="preserve">Manual aprobado, publicado en SharePoint, con constancia de socialización</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Dirección Administrativa</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Abierto.</w:t>
            </w:r>
            <w:r>
              <w:rPr>
                <w:i w:val="false"/>
                <w:iCs w:val="false"/>
                <w:color w:val="000000"/>
                <w:sz w:val="18"/>
                <w:szCs w:val="18"/>
              </w:rPr>
              <w:t xml:space="preserve"> El manual consolidado existe con los trece cargos. Falta aprobación de Pacho, publicación y socialización</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1.7</w:t>
            </w:r>
          </w:p>
        </w:tc>
        <w:tc>
          <w:tcPr>
            <w:tcW w:type="dxa" w:w="1872"/>
            <w:tcMar>
              <w:top w:type="dxa" w:w="60"/>
              <w:left w:type="dxa" w:w="90"/>
              <w:bottom w:type="dxa" w:w="60"/>
              <w:right w:type="dxa" w:w="90"/>
            </w:tcMar>
          </w:tcPr>
          <w:p>
            <w:pPr>
              <w:spacing w:after="0"/>
            </w:pPr>
            <w:r>
              <w:rPr>
                <w:i w:val="false"/>
                <w:iCs w:val="false"/>
                <w:color w:val="000000"/>
                <w:sz w:val="18"/>
                <w:szCs w:val="18"/>
              </w:rPr>
              <w:t xml:space="preserve">Incorporar al formato FOTH01 los tres campos que no tiene: decisiones sin consultar, indicadores propios con meta, y de quién recibe y a quién entrega</w:t>
            </w:r>
          </w:p>
        </w:tc>
        <w:tc>
          <w:tcPr>
            <w:tcW w:type="dxa" w:w="1872"/>
            <w:tcMar>
              <w:top w:type="dxa" w:w="60"/>
              <w:left w:type="dxa" w:w="90"/>
              <w:bottom w:type="dxa" w:w="60"/>
              <w:right w:type="dxa" w:w="90"/>
            </w:tcMar>
          </w:tcPr>
          <w:p>
            <w:pPr>
              <w:spacing w:after="0"/>
            </w:pPr>
            <w:r>
              <w:rPr>
                <w:i w:val="false"/>
                <w:iCs w:val="false"/>
                <w:color w:val="000000"/>
                <w:sz w:val="18"/>
                <w:szCs w:val="18"/>
              </w:rPr>
              <w:t xml:space="preserve">Formato FOTH01 actualizado</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Dirección Administrativa</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Abierto.</w:t>
            </w:r>
            <w:r>
              <w:rPr>
                <w:i w:val="false"/>
                <w:iCs w:val="false"/>
                <w:color w:val="000000"/>
                <w:sz w:val="18"/>
                <w:szCs w:val="18"/>
              </w:rPr>
              <w:t xml:space="preserve"> Nuevo</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1.8</w:t>
            </w:r>
          </w:p>
        </w:tc>
        <w:tc>
          <w:tcPr>
            <w:tcW w:type="dxa" w:w="1872"/>
            <w:tcMar>
              <w:top w:type="dxa" w:w="60"/>
              <w:left w:type="dxa" w:w="90"/>
              <w:bottom w:type="dxa" w:w="60"/>
              <w:right w:type="dxa" w:w="90"/>
            </w:tcMar>
          </w:tcPr>
          <w:p>
            <w:pPr>
              <w:spacing w:after="0"/>
            </w:pPr>
            <w:r>
              <w:rPr>
                <w:i w:val="false"/>
                <w:iCs w:val="false"/>
                <w:color w:val="000000"/>
                <w:sz w:val="18"/>
                <w:szCs w:val="18"/>
              </w:rPr>
              <w:t xml:space="preserve">Ratificar el cargo de asesor de licitaciones como parte del organigrama</w:t>
            </w:r>
          </w:p>
        </w:tc>
        <w:tc>
          <w:tcPr>
            <w:tcW w:type="dxa" w:w="1872"/>
            <w:tcMar>
              <w:top w:type="dxa" w:w="60"/>
              <w:left w:type="dxa" w:w="90"/>
              <w:bottom w:type="dxa" w:w="60"/>
              <w:right w:type="dxa" w:w="90"/>
            </w:tcMar>
          </w:tcPr>
          <w:p>
            <w:pPr>
              <w:spacing w:after="0"/>
            </w:pPr>
            <w:r>
              <w:rPr>
                <w:i w:val="false"/>
                <w:iCs w:val="false"/>
                <w:color w:val="000000"/>
                <w:sz w:val="18"/>
                <w:szCs w:val="18"/>
              </w:rPr>
              <w:t xml:space="preserve">Decisión escrita y organigrama actualizado</w:t>
            </w:r>
          </w:p>
        </w:tc>
        <w:tc>
          <w:tcPr>
            <w:tcW w:type="dxa" w:w="1872"/>
            <w:tcMar>
              <w:top w:type="dxa" w:w="60"/>
              <w:left w:type="dxa" w:w="90"/>
              <w:bottom w:type="dxa" w:w="60"/>
              <w:right w:type="dxa" w:w="90"/>
            </w:tcMar>
          </w:tcPr>
          <w:p>
            <w:pPr>
              <w:spacing w:after="0"/>
            </w:pPr>
            <w:r>
              <w:rPr>
                <w:i w:val="false"/>
                <w:iCs w:val="false"/>
                <w:color w:val="000000"/>
                <w:sz w:val="18"/>
                <w:szCs w:val="18"/>
              </w:rPr>
              <w:t xml:space="preserve">Pacho</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Abierto.</w:t>
            </w:r>
            <w:r>
              <w:rPr>
                <w:i w:val="false"/>
                <w:iCs w:val="false"/>
                <w:color w:val="000000"/>
                <w:sz w:val="18"/>
                <w:szCs w:val="18"/>
              </w:rPr>
              <w:t xml:space="preserve"> Nuevo. El cargo apareció en la entrega y no estaba en la estructura aprobada</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1.9</w:t>
            </w:r>
          </w:p>
        </w:tc>
        <w:tc>
          <w:tcPr>
            <w:tcW w:type="dxa" w:w="1872"/>
            <w:tcMar>
              <w:top w:type="dxa" w:w="60"/>
              <w:left w:type="dxa" w:w="90"/>
              <w:bottom w:type="dxa" w:w="60"/>
              <w:right w:type="dxa" w:w="90"/>
            </w:tcMar>
          </w:tcPr>
          <w:p>
            <w:pPr>
              <w:spacing w:after="0"/>
            </w:pPr>
            <w:r>
              <w:rPr>
                <w:i w:val="false"/>
                <w:iCs w:val="false"/>
                <w:color w:val="000000"/>
                <w:sz w:val="18"/>
                <w:szCs w:val="18"/>
              </w:rPr>
              <w:t xml:space="preserve">Fijar el margen mínimo permitido, general o por línea</w:t>
            </w:r>
          </w:p>
        </w:tc>
        <w:tc>
          <w:tcPr>
            <w:tcW w:type="dxa" w:w="1872"/>
            <w:tcMar>
              <w:top w:type="dxa" w:w="60"/>
              <w:left w:type="dxa" w:w="90"/>
              <w:bottom w:type="dxa" w:w="60"/>
              <w:right w:type="dxa" w:w="90"/>
            </w:tcMar>
          </w:tcPr>
          <w:p>
            <w:pPr>
              <w:spacing w:after="0"/>
            </w:pPr>
            <w:r>
              <w:rPr>
                <w:i w:val="false"/>
                <w:iCs w:val="false"/>
                <w:color w:val="000000"/>
                <w:sz w:val="18"/>
                <w:szCs w:val="18"/>
              </w:rPr>
              <w:t xml:space="preserve">Política de margen mínimo escrita</w:t>
            </w:r>
          </w:p>
        </w:tc>
        <w:tc>
          <w:tcPr>
            <w:tcW w:type="dxa" w:w="1872"/>
            <w:tcMar>
              <w:top w:type="dxa" w:w="60"/>
              <w:left w:type="dxa" w:w="90"/>
              <w:bottom w:type="dxa" w:w="60"/>
              <w:right w:type="dxa" w:w="90"/>
            </w:tcMar>
          </w:tcPr>
          <w:p>
            <w:pPr>
              <w:spacing w:after="0"/>
            </w:pPr>
            <w:r>
              <w:rPr>
                <w:i w:val="false"/>
                <w:iCs w:val="false"/>
                <w:color w:val="000000"/>
                <w:sz w:val="18"/>
                <w:szCs w:val="18"/>
              </w:rPr>
              <w:t xml:space="preserve">Pacho</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Abierto.</w:t>
            </w:r>
            <w:r>
              <w:rPr>
                <w:i w:val="false"/>
                <w:iCs w:val="false"/>
                <w:color w:val="000000"/>
                <w:sz w:val="18"/>
                <w:szCs w:val="18"/>
              </w:rPr>
              <w:t xml:space="preserve"> Nuevo. Es el bloqueo 1</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1.10</w:t>
            </w:r>
          </w:p>
        </w:tc>
        <w:tc>
          <w:tcPr>
            <w:tcW w:type="dxa" w:w="1872"/>
            <w:tcMar>
              <w:top w:type="dxa" w:w="60"/>
              <w:left w:type="dxa" w:w="90"/>
              <w:bottom w:type="dxa" w:w="60"/>
              <w:right w:type="dxa" w:w="90"/>
            </w:tcMar>
          </w:tcPr>
          <w:p>
            <w:pPr>
              <w:spacing w:after="0"/>
            </w:pPr>
            <w:r>
              <w:rPr>
                <w:i w:val="false"/>
                <w:iCs w:val="false"/>
                <w:color w:val="000000"/>
                <w:sz w:val="18"/>
                <w:szCs w:val="18"/>
              </w:rPr>
              <w:t xml:space="preserve">Fijar el umbral de diferencia de inventario que el almacenista escala, y el rango de descuento que la Dirección Comercial delega por escrito a cada asesor</w:t>
            </w:r>
          </w:p>
        </w:tc>
        <w:tc>
          <w:tcPr>
            <w:tcW w:type="dxa" w:w="1872"/>
            <w:tcMar>
              <w:top w:type="dxa" w:w="60"/>
              <w:left w:type="dxa" w:w="90"/>
              <w:bottom w:type="dxa" w:w="60"/>
              <w:right w:type="dxa" w:w="90"/>
            </w:tcMar>
          </w:tcPr>
          <w:p>
            <w:pPr>
              <w:spacing w:after="0"/>
            </w:pPr>
            <w:r>
              <w:rPr>
                <w:i w:val="false"/>
                <w:iCs w:val="false"/>
                <w:color w:val="000000"/>
                <w:sz w:val="18"/>
                <w:szCs w:val="18"/>
              </w:rPr>
              <w:t xml:space="preserve">Dos umbrales escritos</w:t>
            </w:r>
          </w:p>
        </w:tc>
        <w:tc>
          <w:tcPr>
            <w:tcW w:type="dxa" w:w="1872"/>
            <w:tcMar>
              <w:top w:type="dxa" w:w="60"/>
              <w:left w:type="dxa" w:w="90"/>
              <w:bottom w:type="dxa" w:w="60"/>
              <w:right w:type="dxa" w:w="90"/>
            </w:tcMar>
          </w:tcPr>
          <w:p>
            <w:pPr>
              <w:spacing w:after="0"/>
            </w:pPr>
            <w:r>
              <w:rPr>
                <w:i w:val="false"/>
                <w:iCs w:val="false"/>
                <w:color w:val="000000"/>
                <w:sz w:val="18"/>
                <w:szCs w:val="18"/>
              </w:rPr>
              <w:t xml:space="preserve">Pacho y Dirección Comercial</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Abierto.</w:t>
            </w:r>
            <w:r>
              <w:rPr>
                <w:i w:val="false"/>
                <w:iCs w:val="false"/>
                <w:color w:val="000000"/>
                <w:sz w:val="18"/>
                <w:szCs w:val="18"/>
              </w:rPr>
              <w:t xml:space="preserve"> Nuevo</w:t>
            </w:r>
          </w:p>
        </w:tc>
      </w:tr>
    </w:tbl>
    <w:p>
      <w:pPr>
        <w:spacing w:after="200"/>
      </w:pPr>
      <w:r>
        <w:rPr>
          <w:color w:val="000000"/>
        </w:rPr>
        <w:t xml:space="preserve"/>
      </w:r>
    </w:p>
    <w:p>
      <w:pPr>
        <w:spacing w:after="160" w:line="276"/>
      </w:pPr>
      <w:r>
        <w:rPr>
          <w:i w:val="false"/>
          <w:iCs w:val="false"/>
          <w:color w:val="000000"/>
        </w:rPr>
        <w:t xml:space="preserve">Regla de método que sigue vigente: ninguna ficha puede ser escrita exclusivamente por quien ocupa el cargo. Al socializar el manual conviene ser explícito en que las fichas no se escribieron para evaluar a nadie hacia atrás, sino para que cada persona sepa qué se espera de su cargo y qué puede decidir sin pedir permiso. El campo de decisiones sin consulta existe precisamente contra el "temor" y la falta de empoderamiento que reportó el diagnóstico.</w:t>
      </w:r>
    </w:p>
    <w:p>
      <w:pPr>
        <w:pStyle w:val="Heading1"/>
        <w:pBdr>
          <w:bottom w:val="single" w:color="999999" w:sz="4" w:space="4"/>
        </w:pBdr>
        <w:spacing w:after="160" w:before="360"/>
      </w:pPr>
      <w:r>
        <w:rPr>
          <w:b/>
          <w:bCs/>
          <w:color w:val="000000"/>
          <w:sz w:val="26"/>
          <w:szCs w:val="26"/>
        </w:rPr>
        <w:t xml:space="preserve">Bloque 2. Línea base de ventas, margen y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ID</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Actividad</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Entregable</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Responsable</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Estado</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2.1</w:t>
            </w:r>
          </w:p>
        </w:tc>
        <w:tc>
          <w:tcPr>
            <w:tcW w:type="dxa" w:w="1872"/>
            <w:tcMar>
              <w:top w:type="dxa" w:w="60"/>
              <w:left w:type="dxa" w:w="90"/>
              <w:bottom w:type="dxa" w:w="60"/>
              <w:right w:type="dxa" w:w="90"/>
            </w:tcMar>
          </w:tcPr>
          <w:p>
            <w:pPr>
              <w:spacing w:after="0"/>
            </w:pPr>
            <w:r>
              <w:rPr>
                <w:i w:val="false"/>
                <w:iCs w:val="false"/>
                <w:color w:val="000000"/>
                <w:sz w:val="18"/>
                <w:szCs w:val="18"/>
              </w:rPr>
              <w:t xml:space="preserve">Solicitar formalmente los tres archivos</w:t>
            </w:r>
          </w:p>
        </w:tc>
        <w:tc>
          <w:tcPr>
            <w:tcW w:type="dxa" w:w="1872"/>
            <w:tcMar>
              <w:top w:type="dxa" w:w="60"/>
              <w:left w:type="dxa" w:w="90"/>
              <w:bottom w:type="dxa" w:w="60"/>
              <w:right w:type="dxa" w:w="90"/>
            </w:tcMar>
          </w:tcPr>
          <w:p>
            <w:pPr>
              <w:spacing w:after="0"/>
            </w:pPr>
            <w:r>
              <w:rPr>
                <w:i w:val="false"/>
                <w:iCs w:val="false"/>
                <w:color w:val="000000"/>
                <w:sz w:val="18"/>
                <w:szCs w:val="18"/>
              </w:rPr>
              <w:t xml:space="preserve">Correo con alcance y fecha comprometida</w:t>
            </w:r>
          </w:p>
        </w:tc>
        <w:tc>
          <w:tcPr>
            <w:tcW w:type="dxa" w:w="1872"/>
            <w:tcMar>
              <w:top w:type="dxa" w:w="60"/>
              <w:left w:type="dxa" w:w="90"/>
              <w:bottom w:type="dxa" w:w="60"/>
              <w:right w:type="dxa" w:w="90"/>
            </w:tcMar>
          </w:tcPr>
          <w:p>
            <w:pPr>
              <w:spacing w:after="0"/>
            </w:pPr>
            <w:r>
              <w:rPr>
                <w:i w:val="false"/>
                <w:iCs w:val="false"/>
                <w:color w:val="000000"/>
                <w:sz w:val="18"/>
                <w:szCs w:val="18"/>
              </w:rPr>
              <w:t xml:space="preserve">Pacho</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Cerrado</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2.2</w:t>
            </w:r>
          </w:p>
        </w:tc>
        <w:tc>
          <w:tcPr>
            <w:tcW w:type="dxa" w:w="1872"/>
            <w:tcMar>
              <w:top w:type="dxa" w:w="60"/>
              <w:left w:type="dxa" w:w="90"/>
              <w:bottom w:type="dxa" w:w="60"/>
              <w:right w:type="dxa" w:w="90"/>
            </w:tcMar>
          </w:tcPr>
          <w:p>
            <w:pPr>
              <w:spacing w:after="0"/>
            </w:pPr>
            <w:r>
              <w:rPr>
                <w:i w:val="false"/>
                <w:iCs w:val="false"/>
                <w:color w:val="000000"/>
                <w:sz w:val="18"/>
                <w:szCs w:val="18"/>
              </w:rPr>
              <w:t xml:space="preserve">Ventas y margen bruto por línea de producto, 2024, 2025 y 2026</w:t>
            </w:r>
          </w:p>
        </w:tc>
        <w:tc>
          <w:tcPr>
            <w:tcW w:type="dxa" w:w="1872"/>
            <w:tcMar>
              <w:top w:type="dxa" w:w="60"/>
              <w:left w:type="dxa" w:w="90"/>
              <w:bottom w:type="dxa" w:w="60"/>
              <w:right w:type="dxa" w:w="90"/>
            </w:tcMar>
          </w:tcPr>
          <w:p>
            <w:pPr>
              <w:spacing w:after="0"/>
            </w:pPr>
            <w:r>
              <w:rPr>
                <w:i w:val="false"/>
                <w:iCs w:val="false"/>
                <w:color w:val="000000"/>
                <w:sz w:val="18"/>
                <w:szCs w:val="18"/>
              </w:rPr>
              <w:t xml:space="preserve">Archivo por línea</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Dirección Administrativa</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Cerrado.</w:t>
            </w:r>
            <w:r>
              <w:rPr>
                <w:i w:val="false"/>
                <w:iCs w:val="false"/>
                <w:color w:val="000000"/>
                <w:sz w:val="18"/>
                <w:szCs w:val="18"/>
              </w:rPr>
              <w:t xml:space="preserve"> Cuatro líneas, tres años, con margen y contribución</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2.3</w:t>
            </w:r>
          </w:p>
        </w:tc>
        <w:tc>
          <w:tcPr>
            <w:tcW w:type="dxa" w:w="1872"/>
            <w:tcMar>
              <w:top w:type="dxa" w:w="60"/>
              <w:left w:type="dxa" w:w="90"/>
              <w:bottom w:type="dxa" w:w="60"/>
              <w:right w:type="dxa" w:w="90"/>
            </w:tcMar>
          </w:tcPr>
          <w:p>
            <w:pPr>
              <w:spacing w:after="0"/>
            </w:pPr>
            <w:r>
              <w:rPr>
                <w:i w:val="false"/>
                <w:iCs w:val="false"/>
                <w:color w:val="000000"/>
                <w:sz w:val="18"/>
                <w:szCs w:val="18"/>
              </w:rPr>
              <w:t xml:space="preserve">Ventas y margen bruto por segmento de cliente</w:t>
            </w:r>
          </w:p>
        </w:tc>
        <w:tc>
          <w:tcPr>
            <w:tcW w:type="dxa" w:w="1872"/>
            <w:tcMar>
              <w:top w:type="dxa" w:w="60"/>
              <w:left w:type="dxa" w:w="90"/>
              <w:bottom w:type="dxa" w:w="60"/>
              <w:right w:type="dxa" w:w="90"/>
            </w:tcMar>
          </w:tcPr>
          <w:p>
            <w:pPr>
              <w:spacing w:after="0"/>
            </w:pPr>
            <w:r>
              <w:rPr>
                <w:i w:val="false"/>
                <w:iCs w:val="false"/>
                <w:color w:val="000000"/>
                <w:sz w:val="18"/>
                <w:szCs w:val="18"/>
              </w:rPr>
              <w:t xml:space="preserve">Archivo por segmento</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Dirección Comercial</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Cerrado con reserva.</w:t>
            </w:r>
            <w:r>
              <w:rPr>
                <w:i w:val="false"/>
                <w:iCs w:val="false"/>
                <w:color w:val="000000"/>
                <w:sz w:val="18"/>
                <w:szCs w:val="18"/>
              </w:rPr>
              <w:t xml:space="preserve"> Doce segmentos contra los once declarados. "Licitaciones SECOP" es un canal y no un segmento, lo que contamina la lectura de Académico</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2.4</w:t>
            </w:r>
          </w:p>
        </w:tc>
        <w:tc>
          <w:tcPr>
            <w:tcW w:type="dxa" w:w="1872"/>
            <w:tcMar>
              <w:top w:type="dxa" w:w="60"/>
              <w:left w:type="dxa" w:w="90"/>
              <w:bottom w:type="dxa" w:w="60"/>
              <w:right w:type="dxa" w:w="90"/>
            </w:tcMar>
          </w:tcPr>
          <w:p>
            <w:pPr>
              <w:spacing w:after="0"/>
            </w:pPr>
            <w:r>
              <w:rPr>
                <w:i w:val="false"/>
                <w:iCs w:val="false"/>
                <w:color w:val="000000"/>
                <w:sz w:val="18"/>
                <w:szCs w:val="18"/>
              </w:rPr>
              <w:t xml:space="preserve">Base de clientes recurrentes: cuántos son, cuánto factura cada uno, qué porcentaje representan y desde cuándo son clientes</w:t>
            </w:r>
          </w:p>
        </w:tc>
        <w:tc>
          <w:tcPr>
            <w:tcW w:type="dxa" w:w="1872"/>
            <w:tcMar>
              <w:top w:type="dxa" w:w="60"/>
              <w:left w:type="dxa" w:w="90"/>
              <w:bottom w:type="dxa" w:w="60"/>
              <w:right w:type="dxa" w:w="90"/>
            </w:tcMar>
          </w:tcPr>
          <w:p>
            <w:pPr>
              <w:spacing w:after="0"/>
            </w:pPr>
            <w:r>
              <w:rPr>
                <w:i w:val="false"/>
                <w:iCs w:val="false"/>
                <w:color w:val="000000"/>
                <w:sz w:val="18"/>
                <w:szCs w:val="18"/>
              </w:rPr>
              <w:t xml:space="preserve">Archivo de clientes recurrentes</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Dirección Comercial</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Entregado parcial.</w:t>
            </w:r>
            <w:r>
              <w:rPr>
                <w:i w:val="false"/>
                <w:iCs w:val="false"/>
                <w:color w:val="000000"/>
                <w:sz w:val="18"/>
                <w:szCs w:val="18"/>
              </w:rPr>
              <w:t xml:space="preserve"> Llegó el conteo de clientes y la frecuencia por meses con compra. Falta facturación por cliente, participación en el total y antigüedad</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2.5</w:t>
            </w:r>
          </w:p>
        </w:tc>
        <w:tc>
          <w:tcPr>
            <w:tcW w:type="dxa" w:w="1872"/>
            <w:tcMar>
              <w:top w:type="dxa" w:w="60"/>
              <w:left w:type="dxa" w:w="90"/>
              <w:bottom w:type="dxa" w:w="60"/>
              <w:right w:type="dxa" w:w="90"/>
            </w:tcMar>
          </w:tcPr>
          <w:p>
            <w:pPr>
              <w:spacing w:after="0"/>
            </w:pPr>
            <w:r>
              <w:rPr>
                <w:i w:val="false"/>
                <w:iCs w:val="false"/>
                <w:color w:val="000000"/>
                <w:sz w:val="18"/>
                <w:szCs w:val="18"/>
              </w:rPr>
              <w:t xml:space="preserve">Consolidar la lectura de la línea base</w:t>
            </w:r>
          </w:p>
        </w:tc>
        <w:tc>
          <w:tcPr>
            <w:tcW w:type="dxa" w:w="1872"/>
            <w:tcMar>
              <w:top w:type="dxa" w:w="60"/>
              <w:left w:type="dxa" w:w="90"/>
              <w:bottom w:type="dxa" w:w="60"/>
              <w:right w:type="dxa" w:w="90"/>
            </w:tcMar>
          </w:tcPr>
          <w:p>
            <w:pPr>
              <w:spacing w:after="0"/>
            </w:pPr>
            <w:r>
              <w:rPr>
                <w:i w:val="false"/>
                <w:iCs w:val="false"/>
                <w:color w:val="000000"/>
                <w:sz w:val="18"/>
                <w:szCs w:val="18"/>
              </w:rPr>
              <w:t xml:space="preserve">Documento de línea base</w:t>
            </w:r>
          </w:p>
        </w:tc>
        <w:tc>
          <w:tcPr>
            <w:tcW w:type="dxa" w:w="1872"/>
            <w:tcMar>
              <w:top w:type="dxa" w:w="60"/>
              <w:left w:type="dxa" w:w="90"/>
              <w:bottom w:type="dxa" w:w="60"/>
              <w:right w:type="dxa" w:w="90"/>
            </w:tcMar>
          </w:tcPr>
          <w:p>
            <w:pPr>
              <w:spacing w:after="0"/>
            </w:pPr>
            <w:r>
              <w:rPr>
                <w:i w:val="false"/>
                <w:iCs w:val="false"/>
                <w:color w:val="000000"/>
                <w:sz w:val="18"/>
                <w:szCs w:val="18"/>
              </w:rPr>
              <w:t xml:space="preserve">Luis Felipe, aprobado por Pacho</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Cerrado.</w:t>
            </w:r>
            <w:r>
              <w:rPr>
                <w:i w:val="false"/>
                <w:iCs w:val="false"/>
                <w:color w:val="000000"/>
                <w:sz w:val="18"/>
                <w:szCs w:val="18"/>
              </w:rPr>
              <w:t xml:space="preserve"> Documento de verificación del bloque 2 entregado el 10 de septiembre</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2.6</w:t>
            </w:r>
          </w:p>
        </w:tc>
        <w:tc>
          <w:tcPr>
            <w:tcW w:type="dxa" w:w="1872"/>
            <w:tcMar>
              <w:top w:type="dxa" w:w="60"/>
              <w:left w:type="dxa" w:w="90"/>
              <w:bottom w:type="dxa" w:w="60"/>
              <w:right w:type="dxa" w:w="90"/>
            </w:tcMar>
          </w:tcPr>
          <w:p>
            <w:pPr>
              <w:spacing w:after="0"/>
            </w:pPr>
            <w:r>
              <w:rPr>
                <w:i w:val="false"/>
                <w:iCs w:val="false"/>
                <w:color w:val="000000"/>
                <w:sz w:val="18"/>
                <w:szCs w:val="18"/>
              </w:rPr>
              <w:t xml:space="preserve">Resolver con contabilidad la brecha de 2,66 puntos entre el margen de APL y el margen contable de 2025, y decidir cuál fuente alimenta el tablero</w:t>
            </w:r>
          </w:p>
        </w:tc>
        <w:tc>
          <w:tcPr>
            <w:tcW w:type="dxa" w:w="1872"/>
            <w:tcMar>
              <w:top w:type="dxa" w:w="60"/>
              <w:left w:type="dxa" w:w="90"/>
              <w:bottom w:type="dxa" w:w="60"/>
              <w:right w:type="dxa" w:w="90"/>
            </w:tcMar>
          </w:tcPr>
          <w:p>
            <w:pPr>
              <w:spacing w:after="0"/>
            </w:pPr>
            <w:r>
              <w:rPr>
                <w:i w:val="false"/>
                <w:iCs w:val="false"/>
                <w:color w:val="000000"/>
                <w:sz w:val="18"/>
                <w:szCs w:val="18"/>
              </w:rPr>
              <w:t xml:space="preserve">Nota escrita con la explicación de la brecha y la fuente elegida</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Dirección Administrativa, decide Pacho</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Abierto.</w:t>
            </w:r>
            <w:r>
              <w:rPr>
                <w:i w:val="false"/>
                <w:iCs w:val="false"/>
                <w:color w:val="000000"/>
                <w:sz w:val="18"/>
                <w:szCs w:val="18"/>
              </w:rPr>
              <w:t xml:space="preserve"> Nuevo. Es el bloqueo 2</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2.7</w:t>
            </w:r>
          </w:p>
        </w:tc>
        <w:tc>
          <w:tcPr>
            <w:tcW w:type="dxa" w:w="1872"/>
            <w:tcMar>
              <w:top w:type="dxa" w:w="60"/>
              <w:left w:type="dxa" w:w="90"/>
              <w:bottom w:type="dxa" w:w="60"/>
              <w:right w:type="dxa" w:w="90"/>
            </w:tcMar>
          </w:tcPr>
          <w:p>
            <w:pPr>
              <w:spacing w:after="0"/>
            </w:pPr>
            <w:r>
              <w:rPr>
                <w:i w:val="false"/>
                <w:iCs w:val="false"/>
                <w:color w:val="000000"/>
                <w:sz w:val="18"/>
                <w:szCs w:val="18"/>
              </w:rPr>
              <w:t xml:space="preserve">Completar el ítem 2.4 con facturación por cliente, participación en el total y antigüedad</w:t>
            </w:r>
          </w:p>
        </w:tc>
        <w:tc>
          <w:tcPr>
            <w:tcW w:type="dxa" w:w="1872"/>
            <w:tcMar>
              <w:top w:type="dxa" w:w="60"/>
              <w:left w:type="dxa" w:w="90"/>
              <w:bottom w:type="dxa" w:w="60"/>
              <w:right w:type="dxa" w:w="90"/>
            </w:tcMar>
          </w:tcPr>
          <w:p>
            <w:pPr>
              <w:spacing w:after="0"/>
            </w:pPr>
            <w:r>
              <w:rPr>
                <w:i w:val="false"/>
                <w:iCs w:val="false"/>
                <w:color w:val="000000"/>
                <w:sz w:val="18"/>
                <w:szCs w:val="18"/>
              </w:rPr>
              <w:t xml:space="preserve">Archivo completo de clientes</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Dirección Comercial</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Abierto.</w:t>
            </w:r>
            <w:r>
              <w:rPr>
                <w:i w:val="false"/>
                <w:iCs w:val="false"/>
                <w:color w:val="000000"/>
                <w:sz w:val="18"/>
                <w:szCs w:val="18"/>
              </w:rPr>
              <w:t xml:space="preserve"> Nuevo. Se saca de la base cruda que ya está en el archivo entregado</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2.8</w:t>
            </w:r>
          </w:p>
        </w:tc>
        <w:tc>
          <w:tcPr>
            <w:tcW w:type="dxa" w:w="1872"/>
            <w:tcMar>
              <w:top w:type="dxa" w:w="60"/>
              <w:left w:type="dxa" w:w="90"/>
              <w:bottom w:type="dxa" w:w="60"/>
              <w:right w:type="dxa" w:w="90"/>
            </w:tcMar>
          </w:tcPr>
          <w:p>
            <w:pPr>
              <w:spacing w:after="0"/>
            </w:pPr>
            <w:r>
              <w:rPr>
                <w:i w:val="false"/>
                <w:iCs w:val="false"/>
                <w:color w:val="000000"/>
                <w:sz w:val="18"/>
                <w:szCs w:val="18"/>
              </w:rPr>
              <w:t xml:space="preserve">Producir la vista cruzada de segmento de cliente por canal de venta, para separar tipo de cliente de forma de venta</w:t>
            </w:r>
          </w:p>
        </w:tc>
        <w:tc>
          <w:tcPr>
            <w:tcW w:type="dxa" w:w="1872"/>
            <w:tcMar>
              <w:top w:type="dxa" w:w="60"/>
              <w:left w:type="dxa" w:w="90"/>
              <w:bottom w:type="dxa" w:w="60"/>
              <w:right w:type="dxa" w:w="90"/>
            </w:tcMar>
          </w:tcPr>
          <w:p>
            <w:pPr>
              <w:spacing w:after="0"/>
            </w:pPr>
            <w:r>
              <w:rPr>
                <w:i w:val="false"/>
                <w:iCs w:val="false"/>
                <w:color w:val="000000"/>
                <w:sz w:val="18"/>
                <w:szCs w:val="18"/>
              </w:rPr>
              <w:t xml:space="preserve">Tabla cruzada segmento por canal</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Dirección Comercial</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Abierto.</w:t>
            </w:r>
            <w:r>
              <w:rPr>
                <w:i w:val="false"/>
                <w:iCs w:val="false"/>
                <w:color w:val="000000"/>
                <w:sz w:val="18"/>
                <w:szCs w:val="18"/>
              </w:rPr>
              <w:t xml:space="preserve"> Nuevo</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2.9</w:t>
            </w:r>
          </w:p>
        </w:tc>
        <w:tc>
          <w:tcPr>
            <w:tcW w:type="dxa" w:w="1872"/>
            <w:tcMar>
              <w:top w:type="dxa" w:w="60"/>
              <w:left w:type="dxa" w:w="90"/>
              <w:bottom w:type="dxa" w:w="60"/>
              <w:right w:type="dxa" w:w="90"/>
            </w:tcMar>
          </w:tcPr>
          <w:p>
            <w:pPr>
              <w:spacing w:after="0"/>
            </w:pPr>
            <w:r>
              <w:rPr>
                <w:i w:val="false"/>
                <w:iCs w:val="false"/>
                <w:color w:val="000000"/>
                <w:sz w:val="18"/>
                <w:szCs w:val="18"/>
              </w:rPr>
              <w:t xml:space="preserve">Responder tres preguntas de portafolio que salieron de los datos: qué pasó con equipos de marca propia, que perdió el 94 por ciento de su venta siendo la línea más rentable; qué explica el salto de mobiliario, que se multiplicó por 2,4 con el mejor margen; y si la percepción de que las licitaciones son de baja rentabilidad se sostiene, dado que su margen bruto está por encima del promedio</w:t>
            </w:r>
          </w:p>
        </w:tc>
        <w:tc>
          <w:tcPr>
            <w:tcW w:type="dxa" w:w="1872"/>
            <w:tcMar>
              <w:top w:type="dxa" w:w="60"/>
              <w:left w:type="dxa" w:w="90"/>
              <w:bottom w:type="dxa" w:w="60"/>
              <w:right w:type="dxa" w:w="90"/>
            </w:tcMar>
          </w:tcPr>
          <w:p>
            <w:pPr>
              <w:spacing w:after="0"/>
            </w:pPr>
            <w:r>
              <w:rPr>
                <w:i w:val="false"/>
                <w:iCs w:val="false"/>
                <w:color w:val="000000"/>
                <w:sz w:val="18"/>
                <w:szCs w:val="18"/>
              </w:rPr>
              <w:t xml:space="preserve">Nota de una página por pregunta</w:t>
            </w:r>
          </w:p>
        </w:tc>
        <w:tc>
          <w:tcPr>
            <w:tcW w:type="dxa" w:w="1872"/>
            <w:tcMar>
              <w:top w:type="dxa" w:w="60"/>
              <w:left w:type="dxa" w:w="90"/>
              <w:bottom w:type="dxa" w:w="60"/>
              <w:right w:type="dxa" w:w="90"/>
            </w:tcMar>
          </w:tcPr>
          <w:p>
            <w:pPr>
              <w:spacing w:after="0"/>
            </w:pPr>
            <w:r>
              <w:rPr>
                <w:i w:val="false"/>
                <w:iCs w:val="false"/>
                <w:color w:val="000000"/>
                <w:sz w:val="18"/>
                <w:szCs w:val="18"/>
              </w:rPr>
              <w:t xml:space="preserve">Pacho, con las áreas</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Abierto.</w:t>
            </w:r>
            <w:r>
              <w:rPr>
                <w:i w:val="false"/>
                <w:iCs w:val="false"/>
                <w:color w:val="000000"/>
                <w:sz w:val="18"/>
                <w:szCs w:val="18"/>
              </w:rPr>
              <w:t xml:space="preserve"> Nuevo</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2.10</w:t>
            </w:r>
          </w:p>
        </w:tc>
        <w:tc>
          <w:tcPr>
            <w:tcW w:type="dxa" w:w="1872"/>
            <w:tcMar>
              <w:top w:type="dxa" w:w="60"/>
              <w:left w:type="dxa" w:w="90"/>
              <w:bottom w:type="dxa" w:w="60"/>
              <w:right w:type="dxa" w:w="90"/>
            </w:tcMar>
          </w:tcPr>
          <w:p>
            <w:pPr>
              <w:spacing w:after="0"/>
            </w:pPr>
            <w:r>
              <w:rPr>
                <w:i w:val="false"/>
                <w:iCs w:val="false"/>
                <w:color w:val="000000"/>
                <w:sz w:val="18"/>
                <w:szCs w:val="18"/>
              </w:rPr>
              <w:t xml:space="preserve">Unificar la lista oficial de segmentos entre APL y la presentación corporativa</w:t>
            </w:r>
          </w:p>
        </w:tc>
        <w:tc>
          <w:tcPr>
            <w:tcW w:type="dxa" w:w="1872"/>
            <w:tcMar>
              <w:top w:type="dxa" w:w="60"/>
              <w:left w:type="dxa" w:w="90"/>
              <w:bottom w:type="dxa" w:w="60"/>
              <w:right w:type="dxa" w:w="90"/>
            </w:tcMar>
          </w:tcPr>
          <w:p>
            <w:pPr>
              <w:spacing w:after="0"/>
            </w:pPr>
            <w:r>
              <w:rPr>
                <w:i w:val="false"/>
                <w:iCs w:val="false"/>
                <w:color w:val="000000"/>
                <w:sz w:val="18"/>
                <w:szCs w:val="18"/>
              </w:rPr>
              <w:t xml:space="preserve">Lista única de segmentos</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Dirección Comercial</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Abierto.</w:t>
            </w:r>
            <w:r>
              <w:rPr>
                <w:i w:val="false"/>
                <w:iCs w:val="false"/>
                <w:color w:val="000000"/>
                <w:sz w:val="18"/>
                <w:szCs w:val="18"/>
              </w:rPr>
              <w:t xml:space="preserve"> Nuevo</w:t>
            </w:r>
          </w:p>
        </w:tc>
      </w:tr>
    </w:tbl>
    <w:p>
      <w:pPr>
        <w:spacing w:after="200"/>
      </w:pPr>
      <w:r>
        <w:rPr>
          <w:color w:val="000000"/>
        </w:rPr>
        <w:t xml:space="preserve"/>
      </w:r>
    </w:p>
    <w:p>
      <w:pPr>
        <w:pStyle w:val="Heading1"/>
        <w:pBdr>
          <w:bottom w:val="single" w:color="999999" w:sz="4" w:space="4"/>
        </w:pBdr>
        <w:spacing w:after="160" w:before="360"/>
      </w:pPr>
      <w:r>
        <w:rPr>
          <w:b/>
          <w:bCs/>
          <w:color w:val="000000"/>
          <w:sz w:val="26"/>
          <w:szCs w:val="26"/>
        </w:rPr>
        <w:t xml:space="preserve">Bloque 3. Tablero de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ID</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Actividad</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Entregable</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Responsable</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Estado</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3.1</w:t>
            </w:r>
          </w:p>
        </w:tc>
        <w:tc>
          <w:tcPr>
            <w:tcW w:type="dxa" w:w="1872"/>
            <w:tcMar>
              <w:top w:type="dxa" w:w="60"/>
              <w:left w:type="dxa" w:w="90"/>
              <w:bottom w:type="dxa" w:w="60"/>
              <w:right w:type="dxa" w:w="90"/>
            </w:tcMar>
          </w:tcPr>
          <w:p>
            <w:pPr>
              <w:spacing w:after="0"/>
            </w:pPr>
            <w:r>
              <w:rPr>
                <w:i w:val="false"/>
                <w:iCs w:val="false"/>
                <w:color w:val="000000"/>
                <w:sz w:val="18"/>
                <w:szCs w:val="18"/>
              </w:rPr>
              <w:t xml:space="preserve">Definir el conjunto de indicadores del tablero, cada uno con dueño único, fuente del dato y periodicidad</w:t>
            </w:r>
          </w:p>
        </w:tc>
        <w:tc>
          <w:tcPr>
            <w:tcW w:type="dxa" w:w="1872"/>
            <w:tcMar>
              <w:top w:type="dxa" w:w="60"/>
              <w:left w:type="dxa" w:w="90"/>
              <w:bottom w:type="dxa" w:w="60"/>
              <w:right w:type="dxa" w:w="90"/>
            </w:tcMar>
          </w:tcPr>
          <w:p>
            <w:pPr>
              <w:spacing w:after="0"/>
            </w:pPr>
            <w:r>
              <w:rPr>
                <w:i w:val="false"/>
                <w:iCs w:val="false"/>
                <w:color w:val="000000"/>
                <w:sz w:val="18"/>
                <w:szCs w:val="18"/>
              </w:rPr>
              <w:t xml:space="preserve">Lista de indicadores con dueño y fuente</w:t>
            </w:r>
          </w:p>
        </w:tc>
        <w:tc>
          <w:tcPr>
            <w:tcW w:type="dxa" w:w="1872"/>
            <w:tcMar>
              <w:top w:type="dxa" w:w="60"/>
              <w:left w:type="dxa" w:w="90"/>
              <w:bottom w:type="dxa" w:w="60"/>
              <w:right w:type="dxa" w:w="90"/>
            </w:tcMar>
          </w:tcPr>
          <w:p>
            <w:pPr>
              <w:spacing w:after="0"/>
            </w:pPr>
            <w:r>
              <w:rPr>
                <w:i w:val="false"/>
                <w:iCs w:val="false"/>
                <w:color w:val="000000"/>
                <w:sz w:val="18"/>
                <w:szCs w:val="18"/>
              </w:rPr>
              <w:t xml:space="preserve">Pacho</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Bloqueado</w:t>
            </w:r>
            <w:r>
              <w:rPr>
                <w:i w:val="false"/>
                <w:iCs w:val="false"/>
                <w:color w:val="000000"/>
                <w:sz w:val="18"/>
                <w:szCs w:val="18"/>
              </w:rPr>
              <w:t xml:space="preserve"> por 1.6 y por 2.6. Los indicadores con dueño ya están propuestos en el manual; falta aprobarlos y decidir la fuente del margen</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3.2</w:t>
            </w:r>
          </w:p>
        </w:tc>
        <w:tc>
          <w:tcPr>
            <w:tcW w:type="dxa" w:w="1872"/>
            <w:tcMar>
              <w:top w:type="dxa" w:w="60"/>
              <w:left w:type="dxa" w:w="90"/>
              <w:bottom w:type="dxa" w:w="60"/>
              <w:right w:type="dxa" w:w="90"/>
            </w:tcMar>
          </w:tcPr>
          <w:p>
            <w:pPr>
              <w:spacing w:after="0"/>
            </w:pPr>
            <w:r>
              <w:rPr>
                <w:i w:val="false"/>
                <w:iCs w:val="false"/>
                <w:color w:val="000000"/>
                <w:sz w:val="18"/>
                <w:szCs w:val="18"/>
              </w:rPr>
              <w:t xml:space="preserve">Construir la plantilla sobre lo que APL ya reporta, sin desarrollo de sistema nuevo</w:t>
            </w:r>
          </w:p>
        </w:tc>
        <w:tc>
          <w:tcPr>
            <w:tcW w:type="dxa" w:w="1872"/>
            <w:tcMar>
              <w:top w:type="dxa" w:w="60"/>
              <w:left w:type="dxa" w:w="90"/>
              <w:bottom w:type="dxa" w:w="60"/>
              <w:right w:type="dxa" w:w="90"/>
            </w:tcMar>
          </w:tcPr>
          <w:p>
            <w:pPr>
              <w:spacing w:after="0"/>
            </w:pPr>
            <w:r>
              <w:rPr>
                <w:i w:val="false"/>
                <w:iCs w:val="false"/>
                <w:color w:val="000000"/>
                <w:sz w:val="18"/>
                <w:szCs w:val="18"/>
              </w:rPr>
              <w:t xml:space="preserve">Plantilla en uso con el primer mes cargado</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Dirección Administrativa</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Bloqueado</w:t>
            </w:r>
            <w:r>
              <w:rPr>
                <w:i w:val="false"/>
                <w:iCs w:val="false"/>
                <w:color w:val="000000"/>
                <w:sz w:val="18"/>
                <w:szCs w:val="18"/>
              </w:rPr>
              <w:t xml:space="preserve"> por 3.1</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3.3</w:t>
            </w:r>
          </w:p>
        </w:tc>
        <w:tc>
          <w:tcPr>
            <w:tcW w:type="dxa" w:w="1872"/>
            <w:tcMar>
              <w:top w:type="dxa" w:w="60"/>
              <w:left w:type="dxa" w:w="90"/>
              <w:bottom w:type="dxa" w:w="60"/>
              <w:right w:type="dxa" w:w="90"/>
            </w:tcMar>
          </w:tcPr>
          <w:p>
            <w:pPr>
              <w:spacing w:after="0"/>
            </w:pPr>
            <w:r>
              <w:rPr>
                <w:i w:val="false"/>
                <w:iCs w:val="false"/>
                <w:color w:val="000000"/>
                <w:sz w:val="18"/>
                <w:szCs w:val="18"/>
              </w:rPr>
              <w:t xml:space="preserve">Ejecutar el primer cierre mensual con el tablero</w:t>
            </w:r>
          </w:p>
        </w:tc>
        <w:tc>
          <w:tcPr>
            <w:tcW w:type="dxa" w:w="1872"/>
            <w:tcMar>
              <w:top w:type="dxa" w:w="60"/>
              <w:left w:type="dxa" w:w="90"/>
              <w:bottom w:type="dxa" w:w="60"/>
              <w:right w:type="dxa" w:w="90"/>
            </w:tcMar>
          </w:tcPr>
          <w:p>
            <w:pPr>
              <w:spacing w:after="0"/>
            </w:pPr>
            <w:r>
              <w:rPr>
                <w:i w:val="false"/>
                <w:iCs w:val="false"/>
                <w:color w:val="000000"/>
                <w:sz w:val="18"/>
                <w:szCs w:val="18"/>
              </w:rPr>
              <w:t xml:space="preserve">Página de cierre con desviaciones, causas, responsables y decisiones</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Dirección Administrativa</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Bloqueado</w:t>
            </w:r>
            <w:r>
              <w:rPr>
                <w:i w:val="false"/>
                <w:iCs w:val="false"/>
                <w:color w:val="000000"/>
                <w:sz w:val="18"/>
                <w:szCs w:val="18"/>
              </w:rPr>
              <w:t xml:space="preserve"> por 3.2</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3.4</w:t>
            </w:r>
          </w:p>
        </w:tc>
        <w:tc>
          <w:tcPr>
            <w:tcW w:type="dxa" w:w="1872"/>
            <w:tcMar>
              <w:top w:type="dxa" w:w="60"/>
              <w:left w:type="dxa" w:w="90"/>
              <w:bottom w:type="dxa" w:w="60"/>
              <w:right w:type="dxa" w:w="90"/>
            </w:tcMar>
          </w:tcPr>
          <w:p>
            <w:pPr>
              <w:spacing w:after="0"/>
            </w:pPr>
            <w:r>
              <w:rPr>
                <w:i w:val="false"/>
                <w:iCs w:val="false"/>
                <w:color w:val="000000"/>
                <w:sz w:val="18"/>
                <w:szCs w:val="18"/>
              </w:rPr>
              <w:t xml:space="preserve">Sostener tres cierres mensuales comparables antes de diciembre</w:t>
            </w:r>
          </w:p>
        </w:tc>
        <w:tc>
          <w:tcPr>
            <w:tcW w:type="dxa" w:w="1872"/>
            <w:tcMar>
              <w:top w:type="dxa" w:w="60"/>
              <w:left w:type="dxa" w:w="90"/>
              <w:bottom w:type="dxa" w:w="60"/>
              <w:right w:type="dxa" w:w="90"/>
            </w:tcMar>
          </w:tcPr>
          <w:p>
            <w:pPr>
              <w:spacing w:after="0"/>
            </w:pPr>
            <w:r>
              <w:rPr>
                <w:i w:val="false"/>
                <w:iCs w:val="false"/>
                <w:color w:val="000000"/>
                <w:sz w:val="18"/>
                <w:szCs w:val="18"/>
              </w:rPr>
              <w:t xml:space="preserve">Tres páginas de cierre archivadas, con al menos una decisión por ciclo</w:t>
            </w:r>
          </w:p>
        </w:tc>
        <w:tc>
          <w:tcPr>
            <w:tcW w:type="dxa" w:w="1872"/>
            <w:tcMar>
              <w:top w:type="dxa" w:w="60"/>
              <w:left w:type="dxa" w:w="90"/>
              <w:bottom w:type="dxa" w:w="60"/>
              <w:right w:type="dxa" w:w="90"/>
            </w:tcMar>
          </w:tcPr>
          <w:p>
            <w:pPr>
              <w:spacing w:after="0"/>
            </w:pPr>
            <w:r>
              <w:rPr>
                <w:i w:val="false"/>
                <w:iCs w:val="false"/>
                <w:color w:val="000000"/>
                <w:sz w:val="18"/>
                <w:szCs w:val="18"/>
              </w:rPr>
              <w:t xml:space="preserve">Pacho</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Bloqueado</w:t>
            </w:r>
            <w:r>
              <w:rPr>
                <w:i w:val="false"/>
                <w:iCs w:val="false"/>
                <w:color w:val="000000"/>
                <w:sz w:val="18"/>
                <w:szCs w:val="18"/>
              </w:rPr>
              <w:t xml:space="preserve"> por 3.3</w:t>
            </w:r>
          </w:p>
        </w:tc>
      </w:tr>
    </w:tbl>
    <w:p>
      <w:pPr>
        <w:spacing w:after="200"/>
      </w:pPr>
      <w:r>
        <w:rPr>
          <w:color w:val="000000"/>
        </w:rPr>
        <w:t xml:space="preserve"/>
      </w:r>
    </w:p>
    <w:p>
      <w:pPr>
        <w:spacing w:after="160" w:line="276"/>
      </w:pPr>
      <w:r>
        <w:rPr>
          <w:i w:val="false"/>
          <w:iCs w:val="false"/>
          <w:color w:val="000000"/>
        </w:rPr>
        <w:t xml:space="preserve">El ítem 3.4 tiene un problema de calendario que conviene ver ahora. Tres cierres mensuales comparables antes de que termine diciembre exigen que el primero se ejecute sobre el cierre de septiembre, es decir, en la primera semana de octubre. Para eso, 3.1 y 3.2 tienen que estar resueltos antes del 30 de septiembre, y eso a su vez exige destrabar los dos bloqueos en las próximas dos semanas. Si el primer cierre se corre a noviembre, en diciembre habrá dos y no tres, y la comparabilidad que el bloque 6 necesita se reduce.</w:t>
      </w:r>
    </w:p>
    <w:p>
      <w:pPr>
        <w:spacing w:after="160" w:line="276"/>
      </w:pPr>
      <w:r>
        <w:rPr>
          <w:i w:val="false"/>
          <w:iCs w:val="false"/>
          <w:color w:val="000000"/>
        </w:rPr>
        <w:t xml:space="preserve">El caso de prueba del tablero sigue siendo el mismo: si no habría anticipado el aumento de gasto operacional de 90 millones del primer semestre, que explica el 92 por ciento del deterioro de utilidad operacional, está mal diseñado.</w:t>
      </w:r>
    </w:p>
    <w:p>
      <w:pPr>
        <w:pStyle w:val="Heading1"/>
        <w:pBdr>
          <w:bottom w:val="single" w:color="999999" w:sz="4" w:space="4"/>
        </w:pBdr>
        <w:spacing w:after="160" w:before="360"/>
      </w:pPr>
      <w:r>
        <w:rPr>
          <w:b/>
          <w:bCs/>
          <w:color w:val="000000"/>
          <w:sz w:val="26"/>
          <w:szCs w:val="26"/>
        </w:rPr>
        <w:t xml:space="preserve">Bloque 4. Procesos automatizables 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ID</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Actividad</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Entregable</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Responsable</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Estado</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4.1</w:t>
            </w:r>
          </w:p>
        </w:tc>
        <w:tc>
          <w:tcPr>
            <w:tcW w:type="dxa" w:w="1872"/>
            <w:tcMar>
              <w:top w:type="dxa" w:w="60"/>
              <w:left w:type="dxa" w:w="90"/>
              <w:bottom w:type="dxa" w:w="60"/>
              <w:right w:type="dxa" w:w="90"/>
            </w:tcMar>
          </w:tcPr>
          <w:p>
            <w:pPr>
              <w:spacing w:after="0"/>
            </w:pPr>
            <w:r>
              <w:rPr>
                <w:i w:val="false"/>
                <w:iCs w:val="false"/>
                <w:color w:val="000000"/>
                <w:sz w:val="18"/>
                <w:szCs w:val="18"/>
              </w:rPr>
              <w:t xml:space="preserve">Inventario de procesos manuales de las tres áreas con horas mensuales estimadas</w:t>
            </w:r>
          </w:p>
        </w:tc>
        <w:tc>
          <w:tcPr>
            <w:tcW w:type="dxa" w:w="1872"/>
            <w:tcMar>
              <w:top w:type="dxa" w:w="60"/>
              <w:left w:type="dxa" w:w="90"/>
              <w:bottom w:type="dxa" w:w="60"/>
              <w:right w:type="dxa" w:w="90"/>
            </w:tcMar>
          </w:tcPr>
          <w:p>
            <w:pPr>
              <w:spacing w:after="0"/>
            </w:pPr>
            <w:r>
              <w:rPr>
                <w:i w:val="false"/>
                <w:iCs w:val="false"/>
                <w:color w:val="000000"/>
                <w:sz w:val="18"/>
                <w:szCs w:val="18"/>
              </w:rPr>
              <w:t xml:space="preserve">Tabla de procesos manuales</w:t>
            </w:r>
          </w:p>
        </w:tc>
        <w:tc>
          <w:tcPr>
            <w:tcW w:type="dxa" w:w="1872"/>
            <w:tcMar>
              <w:top w:type="dxa" w:w="60"/>
              <w:left w:type="dxa" w:w="90"/>
              <w:bottom w:type="dxa" w:w="60"/>
              <w:right w:type="dxa" w:w="90"/>
            </w:tcMar>
          </w:tcPr>
          <w:p>
            <w:pPr>
              <w:spacing w:after="0"/>
            </w:pPr>
            <w:r>
              <w:rPr>
                <w:i w:val="false"/>
                <w:iCs w:val="false"/>
                <w:color w:val="000000"/>
                <w:sz w:val="18"/>
                <w:szCs w:val="18"/>
              </w:rPr>
              <w:t xml:space="preserve">Cada líder para su área</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Abierto</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4.2</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Diagnóstico de calidad de datos maestros</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Diagnóstico con conteo de registros afectados por tipo de problema</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Dirección de Compras y Logística</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Abierto</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4.3</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Dimensionar el trabajo de limpieza de datos maestros</w:t>
            </w:r>
          </w:p>
        </w:tc>
        <w:tc>
          <w:tcPr>
            <w:tcW w:type="dxa" w:w="1872"/>
            <w:tcMar>
              <w:top w:type="dxa" w:w="60"/>
              <w:left w:type="dxa" w:w="90"/>
              <w:bottom w:type="dxa" w:w="60"/>
              <w:right w:type="dxa" w:w="90"/>
            </w:tcMar>
          </w:tcPr>
          <w:p>
            <w:pPr>
              <w:spacing w:after="0"/>
            </w:pPr>
            <w:r>
              <w:rPr>
                <w:i w:val="false"/>
                <w:iCs w:val="false"/>
                <w:color w:val="000000"/>
                <w:sz w:val="18"/>
                <w:szCs w:val="18"/>
              </w:rPr>
              <w:t xml:space="preserve">Plan de limpieza con esfuerzo y orden</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Dirección de Compras y Logística</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Abierto</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4.4</w:t>
            </w:r>
          </w:p>
        </w:tc>
        <w:tc>
          <w:tcPr>
            <w:tcW w:type="dxa" w:w="1872"/>
            <w:tcMar>
              <w:top w:type="dxa" w:w="60"/>
              <w:left w:type="dxa" w:w="90"/>
              <w:bottom w:type="dxa" w:w="60"/>
              <w:right w:type="dxa" w:w="90"/>
            </w:tcMar>
          </w:tcPr>
          <w:p>
            <w:pPr>
              <w:spacing w:after="0"/>
            </w:pPr>
            <w:r>
              <w:rPr>
                <w:i w:val="false"/>
                <w:iCs w:val="false"/>
                <w:color w:val="000000"/>
                <w:sz w:val="18"/>
                <w:szCs w:val="18"/>
              </w:rPr>
              <w:t xml:space="preserve">Priorizar candidatos a automatización, separando lo ejecutable sobre datos actuales de lo que exige limpieza previa</w:t>
            </w:r>
          </w:p>
        </w:tc>
        <w:tc>
          <w:tcPr>
            <w:tcW w:type="dxa" w:w="1872"/>
            <w:tcMar>
              <w:top w:type="dxa" w:w="60"/>
              <w:left w:type="dxa" w:w="90"/>
              <w:bottom w:type="dxa" w:w="60"/>
              <w:right w:type="dxa" w:w="90"/>
            </w:tcMar>
          </w:tcPr>
          <w:p>
            <w:pPr>
              <w:spacing w:after="0"/>
            </w:pPr>
            <w:r>
              <w:rPr>
                <w:i w:val="false"/>
                <w:iCs w:val="false"/>
                <w:color w:val="000000"/>
                <w:sz w:val="18"/>
                <w:szCs w:val="18"/>
              </w:rPr>
              <w:t xml:space="preserve">Lista priorizada con esa separación</w:t>
            </w:r>
          </w:p>
        </w:tc>
        <w:tc>
          <w:tcPr>
            <w:tcW w:type="dxa" w:w="1872"/>
            <w:tcMar>
              <w:top w:type="dxa" w:w="60"/>
              <w:left w:type="dxa" w:w="90"/>
              <w:bottom w:type="dxa" w:w="60"/>
              <w:right w:type="dxa" w:w="90"/>
            </w:tcMar>
          </w:tcPr>
          <w:p>
            <w:pPr>
              <w:spacing w:after="0"/>
            </w:pPr>
            <w:r>
              <w:rPr>
                <w:i w:val="false"/>
                <w:iCs w:val="false"/>
                <w:color w:val="000000"/>
                <w:sz w:val="18"/>
                <w:szCs w:val="18"/>
              </w:rPr>
              <w:t xml:space="preserve">Pacho</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Abierto</w:t>
            </w:r>
          </w:p>
        </w:tc>
      </w:tr>
    </w:tbl>
    <w:p>
      <w:pPr>
        <w:spacing w:after="200"/>
      </w:pPr>
      <w:r>
        <w:rPr>
          <w:color w:val="000000"/>
        </w:rPr>
        <w:t xml:space="preserve"/>
      </w:r>
    </w:p>
    <w:p>
      <w:pPr>
        <w:pStyle w:val="Heading1"/>
        <w:pBdr>
          <w:bottom w:val="single" w:color="999999" w:sz="4" w:space="4"/>
        </w:pBdr>
        <w:spacing w:after="160" w:before="360"/>
      </w:pPr>
      <w:r>
        <w:rPr>
          <w:b/>
          <w:bCs/>
          <w:color w:val="000000"/>
          <w:sz w:val="26"/>
          <w:szCs w:val="26"/>
        </w:rPr>
        <w:t xml:space="preserve">Bloque 5. Evaluación de desempeño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ID</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Actividad</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Entregable</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Responsable</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Estado</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5.1</w:t>
            </w:r>
          </w:p>
        </w:tc>
        <w:tc>
          <w:tcPr>
            <w:tcW w:type="dxa" w:w="1872"/>
            <w:tcMar>
              <w:top w:type="dxa" w:w="60"/>
              <w:left w:type="dxa" w:w="90"/>
              <w:bottom w:type="dxa" w:w="60"/>
              <w:right w:type="dxa" w:w="90"/>
            </w:tcMar>
          </w:tcPr>
          <w:p>
            <w:pPr>
              <w:spacing w:after="0"/>
            </w:pPr>
            <w:r>
              <w:rPr>
                <w:i w:val="false"/>
                <w:iCs w:val="false"/>
                <w:color w:val="000000"/>
                <w:sz w:val="18"/>
                <w:szCs w:val="18"/>
              </w:rPr>
              <w:t xml:space="preserve">Decidir si hay disponibilidad presupuestal para un componente variable ligado a desempeño, y de cuánto</w:t>
            </w:r>
          </w:p>
        </w:tc>
        <w:tc>
          <w:tcPr>
            <w:tcW w:type="dxa" w:w="1872"/>
            <w:tcMar>
              <w:top w:type="dxa" w:w="60"/>
              <w:left w:type="dxa" w:w="90"/>
              <w:bottom w:type="dxa" w:w="60"/>
              <w:right w:type="dxa" w:w="90"/>
            </w:tcMar>
          </w:tcPr>
          <w:p>
            <w:pPr>
              <w:spacing w:after="0"/>
            </w:pPr>
            <w:r>
              <w:rPr>
                <w:i w:val="false"/>
                <w:iCs w:val="false"/>
                <w:color w:val="000000"/>
                <w:sz w:val="18"/>
                <w:szCs w:val="18"/>
              </w:rPr>
              <w:t xml:space="preserve">Decisión escrita con el monto, o la confirmación de que no hay</w:t>
            </w:r>
          </w:p>
        </w:tc>
        <w:tc>
          <w:tcPr>
            <w:tcW w:type="dxa" w:w="1872"/>
            <w:tcMar>
              <w:top w:type="dxa" w:w="60"/>
              <w:left w:type="dxa" w:w="90"/>
              <w:bottom w:type="dxa" w:w="60"/>
              <w:right w:type="dxa" w:w="90"/>
            </w:tcMar>
          </w:tcPr>
          <w:p>
            <w:pPr>
              <w:spacing w:after="0"/>
            </w:pPr>
            <w:r>
              <w:rPr>
                <w:i w:val="false"/>
                <w:iCs w:val="false"/>
                <w:color w:val="000000"/>
                <w:sz w:val="18"/>
                <w:szCs w:val="18"/>
              </w:rPr>
              <w:t xml:space="preserve">Pacho, con los socios</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Abierto.</w:t>
            </w:r>
            <w:r>
              <w:rPr>
                <w:i w:val="false"/>
                <w:iCs w:val="false"/>
                <w:color w:val="000000"/>
                <w:sz w:val="18"/>
                <w:szCs w:val="18"/>
              </w:rPr>
              <w:t xml:space="preserve"> Sin respuesta desde el 19 de agosto</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5.2</w:t>
            </w:r>
          </w:p>
        </w:tc>
        <w:tc>
          <w:tcPr>
            <w:tcW w:type="dxa" w:w="1872"/>
            <w:tcMar>
              <w:top w:type="dxa" w:w="60"/>
              <w:left w:type="dxa" w:w="90"/>
              <w:bottom w:type="dxa" w:w="60"/>
              <w:right w:type="dxa" w:w="90"/>
            </w:tcMar>
          </w:tcPr>
          <w:p>
            <w:pPr>
              <w:spacing w:after="0"/>
            </w:pPr>
            <w:r>
              <w:rPr>
                <w:i w:val="false"/>
                <w:iCs w:val="false"/>
                <w:color w:val="000000"/>
                <w:sz w:val="18"/>
                <w:szCs w:val="18"/>
              </w:rPr>
              <w:t xml:space="preserve">Definir qué consecuencia concreta, positiva y negativa, tendrá el resultado de la evaluación</w:t>
            </w:r>
          </w:p>
        </w:tc>
        <w:tc>
          <w:tcPr>
            <w:tcW w:type="dxa" w:w="1872"/>
            <w:tcMar>
              <w:top w:type="dxa" w:w="60"/>
              <w:left w:type="dxa" w:w="90"/>
              <w:bottom w:type="dxa" w:w="60"/>
              <w:right w:type="dxa" w:w="90"/>
            </w:tcMar>
          </w:tcPr>
          <w:p>
            <w:pPr>
              <w:spacing w:after="0"/>
            </w:pPr>
            <w:r>
              <w:rPr>
                <w:i w:val="false"/>
                <w:iCs w:val="false"/>
                <w:color w:val="000000"/>
                <w:sz w:val="18"/>
                <w:szCs w:val="18"/>
              </w:rPr>
              <w:t xml:space="preserve">Documento de consecuencias</w:t>
            </w:r>
          </w:p>
        </w:tc>
        <w:tc>
          <w:tcPr>
            <w:tcW w:type="dxa" w:w="1872"/>
            <w:tcMar>
              <w:top w:type="dxa" w:w="60"/>
              <w:left w:type="dxa" w:w="90"/>
              <w:bottom w:type="dxa" w:w="60"/>
              <w:right w:type="dxa" w:w="90"/>
            </w:tcMar>
          </w:tcPr>
          <w:p>
            <w:pPr>
              <w:spacing w:after="0"/>
            </w:pPr>
            <w:r>
              <w:rPr>
                <w:i w:val="false"/>
                <w:iCs w:val="false"/>
                <w:color w:val="000000"/>
                <w:sz w:val="18"/>
                <w:szCs w:val="18"/>
              </w:rPr>
              <w:t xml:space="preserve">Pacho</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Bloqueado</w:t>
            </w:r>
            <w:r>
              <w:rPr>
                <w:i w:val="false"/>
                <w:iCs w:val="false"/>
                <w:color w:val="000000"/>
                <w:sz w:val="18"/>
                <w:szCs w:val="18"/>
              </w:rPr>
              <w:t xml:space="preserve"> por 5.1</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5.3</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Diseñar los criterios de evaluación derivados de las fichas de cargo</w:t>
            </w:r>
          </w:p>
        </w:tc>
        <w:tc>
          <w:tcPr>
            <w:tcW w:type="dxa" w:w="1872"/>
            <w:tcMar>
              <w:top w:type="dxa" w:w="60"/>
              <w:left w:type="dxa" w:w="90"/>
              <w:bottom w:type="dxa" w:w="60"/>
              <w:right w:type="dxa" w:w="90"/>
            </w:tcMar>
          </w:tcPr>
          <w:p>
            <w:pPr>
              <w:spacing w:after="0"/>
            </w:pPr>
            <w:r>
              <w:rPr>
                <w:i w:val="false"/>
                <w:iCs w:val="false"/>
                <w:color w:val="000000"/>
                <w:sz w:val="18"/>
                <w:szCs w:val="18"/>
              </w:rPr>
              <w:t xml:space="preserve">Matriz de criterios por cargo, con escala y peso</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Dirección Administrativa</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Bloqueado</w:t>
            </w:r>
            <w:r>
              <w:rPr>
                <w:i w:val="false"/>
                <w:iCs w:val="false"/>
                <w:color w:val="000000"/>
                <w:sz w:val="18"/>
                <w:szCs w:val="18"/>
              </w:rPr>
              <w:t xml:space="preserve"> por 1.6 y 5.2</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5.4</w:t>
            </w:r>
          </w:p>
        </w:tc>
        <w:tc>
          <w:tcPr>
            <w:tcW w:type="dxa" w:w="1872"/>
            <w:tcMar>
              <w:top w:type="dxa" w:w="60"/>
              <w:left w:type="dxa" w:w="90"/>
              <w:bottom w:type="dxa" w:w="60"/>
              <w:right w:type="dxa" w:w="90"/>
            </w:tcMar>
          </w:tcPr>
          <w:p>
            <w:pPr>
              <w:spacing w:after="0"/>
            </w:pPr>
            <w:r>
              <w:rPr>
                <w:i w:val="false"/>
                <w:iCs w:val="false"/>
                <w:color w:val="000000"/>
                <w:sz w:val="18"/>
                <w:szCs w:val="18"/>
              </w:rPr>
              <w:t xml:space="preserve">Documentar el esquema listo para arrancar en enero</w:t>
            </w:r>
          </w:p>
        </w:tc>
        <w:tc>
          <w:tcPr>
            <w:tcW w:type="dxa" w:w="1872"/>
            <w:tcMar>
              <w:top w:type="dxa" w:w="60"/>
              <w:left w:type="dxa" w:w="90"/>
              <w:bottom w:type="dxa" w:w="60"/>
              <w:right w:type="dxa" w:w="90"/>
            </w:tcMar>
          </w:tcPr>
          <w:p>
            <w:pPr>
              <w:spacing w:after="0"/>
            </w:pPr>
            <w:r>
              <w:rPr>
                <w:i w:val="false"/>
                <w:iCs w:val="false"/>
                <w:color w:val="000000"/>
                <w:sz w:val="18"/>
                <w:szCs w:val="18"/>
              </w:rPr>
              <w:t xml:space="preserve">Esquema aprobado con calendario 2027</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Dirección Administrativa</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Bloqueado</w:t>
            </w:r>
            <w:r>
              <w:rPr>
                <w:i w:val="false"/>
                <w:iCs w:val="false"/>
                <w:color w:val="000000"/>
                <w:sz w:val="18"/>
                <w:szCs w:val="18"/>
              </w:rPr>
              <w:t xml:space="preserve"> por 5.3</w:t>
            </w:r>
          </w:p>
        </w:tc>
      </w:tr>
    </w:tbl>
    <w:p>
      <w:pPr>
        <w:spacing w:after="200"/>
      </w:pPr>
      <w:r>
        <w:rPr>
          <w:color w:val="000000"/>
        </w:rPr>
        <w:t xml:space="preserve"/>
      </w:r>
    </w:p>
    <w:p>
      <w:pPr>
        <w:spacing w:after="160" w:line="276"/>
      </w:pPr>
      <w:r>
        <w:rPr>
          <w:i w:val="false"/>
          <w:iCs w:val="false"/>
          <w:color w:val="000000"/>
        </w:rPr>
        <w:t xml:space="preserve">El ítem 5.1 lleva tres semanas sin respuesta y es el que decide si este bloque tiene sentido. Un esquema de evaluación sin consecuencia material es el esquema actual con otro formato, y sería el segundo intento fallido. Si la respuesta es que no hay presupuesto, conviene saberlo ahora y rediseñar el bloque sobre consecuencias no monetarias, no descubrirlo en diciembre.</w:t>
      </w:r>
    </w:p>
    <w:p>
      <w:pPr>
        <w:pStyle w:val="Heading1"/>
        <w:pBdr>
          <w:bottom w:val="single" w:color="999999" w:sz="4" w:space="4"/>
        </w:pBdr>
        <w:spacing w:after="160" w:before="360"/>
      </w:pPr>
      <w:r>
        <w:rPr>
          <w:b/>
          <w:bCs/>
          <w:color w:val="000000"/>
          <w:sz w:val="26"/>
          <w:szCs w:val="26"/>
        </w:rPr>
        <w:t xml:space="preserve">Bloque 6. Planeación estratégica 2027-2031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ID</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Actividad</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Entregable</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Responsable</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Estado</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6.1</w:t>
            </w:r>
          </w:p>
        </w:tc>
        <w:tc>
          <w:tcPr>
            <w:tcW w:type="dxa" w:w="1872"/>
            <w:tcMar>
              <w:top w:type="dxa" w:w="60"/>
              <w:left w:type="dxa" w:w="90"/>
              <w:bottom w:type="dxa" w:w="60"/>
              <w:right w:type="dxa" w:w="90"/>
            </w:tcMar>
          </w:tcPr>
          <w:p>
            <w:pPr>
              <w:spacing w:after="0"/>
            </w:pPr>
            <w:r>
              <w:rPr>
                <w:i w:val="false"/>
                <w:iCs w:val="false"/>
                <w:color w:val="000000"/>
                <w:sz w:val="18"/>
                <w:szCs w:val="18"/>
              </w:rPr>
              <w:t xml:space="preserve">Definir el norte: estado futuro con horizonte y cifra, que reemplace el lema de marca que hoy ocupa el lugar de la visión</w:t>
            </w:r>
          </w:p>
        </w:tc>
        <w:tc>
          <w:tcPr>
            <w:tcW w:type="dxa" w:w="1872"/>
            <w:tcMar>
              <w:top w:type="dxa" w:w="60"/>
              <w:left w:type="dxa" w:w="90"/>
              <w:bottom w:type="dxa" w:w="60"/>
              <w:right w:type="dxa" w:w="90"/>
            </w:tcMar>
          </w:tcPr>
          <w:p>
            <w:pPr>
              <w:spacing w:after="0"/>
            </w:pPr>
            <w:r>
              <w:rPr>
                <w:i w:val="false"/>
                <w:iCs w:val="false"/>
                <w:color w:val="000000"/>
                <w:sz w:val="18"/>
                <w:szCs w:val="18"/>
              </w:rPr>
              <w:t xml:space="preserve">Declaración de visión con horizonte y cifra</w:t>
            </w:r>
          </w:p>
        </w:tc>
        <w:tc>
          <w:tcPr>
            <w:tcW w:type="dxa" w:w="1872"/>
            <w:tcMar>
              <w:top w:type="dxa" w:w="60"/>
              <w:left w:type="dxa" w:w="90"/>
              <w:bottom w:type="dxa" w:w="60"/>
              <w:right w:type="dxa" w:w="90"/>
            </w:tcMar>
          </w:tcPr>
          <w:p>
            <w:pPr>
              <w:spacing w:after="0"/>
            </w:pPr>
            <w:r>
              <w:rPr>
                <w:i w:val="false"/>
                <w:iCs w:val="false"/>
                <w:color w:val="000000"/>
                <w:sz w:val="18"/>
                <w:szCs w:val="18"/>
              </w:rPr>
              <w:t xml:space="preserve">Pacho</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Abierto y desbloqueado.</w:t>
            </w:r>
            <w:r>
              <w:rPr>
                <w:i w:val="false"/>
                <w:iCs w:val="false"/>
                <w:color w:val="000000"/>
                <w:sz w:val="18"/>
                <w:szCs w:val="18"/>
              </w:rPr>
              <w:t xml:space="preserve"> Su dependencia, el ítem 2.5, quedó cerrada</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6.2</w:t>
            </w:r>
          </w:p>
        </w:tc>
        <w:tc>
          <w:tcPr>
            <w:tcW w:type="dxa" w:w="1872"/>
            <w:tcMar>
              <w:top w:type="dxa" w:w="60"/>
              <w:left w:type="dxa" w:w="90"/>
              <w:bottom w:type="dxa" w:w="60"/>
              <w:right w:type="dxa" w:w="90"/>
            </w:tcMar>
          </w:tcPr>
          <w:p>
            <w:pPr>
              <w:spacing w:after="0"/>
            </w:pPr>
            <w:r>
              <w:rPr>
                <w:i w:val="false"/>
                <w:iCs w:val="false"/>
                <w:color w:val="000000"/>
                <w:sz w:val="18"/>
                <w:szCs w:val="18"/>
              </w:rPr>
              <w:t xml:space="preserve">Construir el presupuesto 2027 por mes, línea, segmento y vendedor</w:t>
            </w:r>
          </w:p>
        </w:tc>
        <w:tc>
          <w:tcPr>
            <w:tcW w:type="dxa" w:w="1872"/>
            <w:tcMar>
              <w:top w:type="dxa" w:w="60"/>
              <w:left w:type="dxa" w:w="90"/>
              <w:bottom w:type="dxa" w:w="60"/>
              <w:right w:type="dxa" w:w="90"/>
            </w:tcMar>
          </w:tcPr>
          <w:p>
            <w:pPr>
              <w:spacing w:after="0"/>
            </w:pPr>
            <w:r>
              <w:rPr>
                <w:i w:val="false"/>
                <w:iCs w:val="false"/>
                <w:color w:val="000000"/>
                <w:sz w:val="18"/>
                <w:szCs w:val="18"/>
              </w:rPr>
              <w:t xml:space="preserve">Presupuesto 2027 completo, sin celdas vacías</w:t>
            </w:r>
          </w:p>
        </w:tc>
        <w:tc>
          <w:tcPr>
            <w:tcW w:type="dxa" w:w="1872"/>
            <w:tcMar>
              <w:top w:type="dxa" w:w="60"/>
              <w:left w:type="dxa" w:w="90"/>
              <w:bottom w:type="dxa" w:w="60"/>
              <w:right w:type="dxa" w:w="90"/>
            </w:tcMar>
          </w:tcPr>
          <w:p>
            <w:pPr>
              <w:spacing w:after="0"/>
            </w:pPr>
            <w:r>
              <w:rPr>
                <w:i w:val="false"/>
                <w:iCs w:val="false"/>
                <w:color w:val="000000"/>
                <w:sz w:val="18"/>
                <w:szCs w:val="18"/>
              </w:rPr>
              <w:t xml:space="preserve">Dirección Comercial y Dirección Administrativa</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Abierto.</w:t>
            </w:r>
            <w:r>
              <w:rPr>
                <w:i w:val="false"/>
                <w:iCs w:val="false"/>
                <w:color w:val="000000"/>
                <w:sz w:val="18"/>
                <w:szCs w:val="18"/>
              </w:rPr>
              <w:t xml:space="preserve"> Se puede arrancar con la línea base ya disponible</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6.3</w:t>
            </w:r>
          </w:p>
        </w:tc>
        <w:tc>
          <w:tcPr>
            <w:tcW w:type="dxa" w:w="1872"/>
            <w:tcMar>
              <w:top w:type="dxa" w:w="60"/>
              <w:left w:type="dxa" w:w="90"/>
              <w:bottom w:type="dxa" w:w="60"/>
              <w:right w:type="dxa" w:w="90"/>
            </w:tcMar>
          </w:tcPr>
          <w:p>
            <w:pPr>
              <w:spacing w:after="0"/>
            </w:pPr>
            <w:r>
              <w:rPr>
                <w:i w:val="false"/>
                <w:iCs w:val="false"/>
                <w:color w:val="000000"/>
                <w:sz w:val="18"/>
                <w:szCs w:val="18"/>
              </w:rPr>
              <w:t xml:space="preserve">Fijar las metas numéricas año por año de 2027 a 2031</w:t>
            </w:r>
          </w:p>
        </w:tc>
        <w:tc>
          <w:tcPr>
            <w:tcW w:type="dxa" w:w="1872"/>
            <w:tcMar>
              <w:top w:type="dxa" w:w="60"/>
              <w:left w:type="dxa" w:w="90"/>
              <w:bottom w:type="dxa" w:w="60"/>
              <w:right w:type="dxa" w:w="90"/>
            </w:tcMar>
          </w:tcPr>
          <w:p>
            <w:pPr>
              <w:spacing w:after="0"/>
            </w:pPr>
            <w:r>
              <w:rPr>
                <w:i w:val="false"/>
                <w:iCs w:val="false"/>
                <w:color w:val="000000"/>
                <w:sz w:val="18"/>
                <w:szCs w:val="18"/>
              </w:rPr>
              <w:t xml:space="preserve">Tabla de metas completa, sin celdas vacías</w:t>
            </w:r>
          </w:p>
        </w:tc>
        <w:tc>
          <w:tcPr>
            <w:tcW w:type="dxa" w:w="1872"/>
            <w:tcMar>
              <w:top w:type="dxa" w:w="60"/>
              <w:left w:type="dxa" w:w="90"/>
              <w:bottom w:type="dxa" w:w="60"/>
              <w:right w:type="dxa" w:w="90"/>
            </w:tcMar>
          </w:tcPr>
          <w:p>
            <w:pPr>
              <w:spacing w:after="0"/>
            </w:pPr>
            <w:r>
              <w:rPr>
                <w:i w:val="false"/>
                <w:iCs w:val="false"/>
                <w:color w:val="000000"/>
                <w:sz w:val="18"/>
                <w:szCs w:val="18"/>
              </w:rPr>
              <w:t xml:space="preserve">Pacho</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Abierto.</w:t>
            </w:r>
            <w:r>
              <w:rPr>
                <w:i w:val="false"/>
                <w:iCs w:val="false"/>
                <w:color w:val="000000"/>
                <w:sz w:val="18"/>
                <w:szCs w:val="18"/>
              </w:rPr>
              <w:t xml:space="preserve"> Depende de 6.1</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6.4</w:t>
            </w:r>
          </w:p>
        </w:tc>
        <w:tc>
          <w:tcPr>
            <w:tcW w:type="dxa" w:w="1872"/>
            <w:tcMar>
              <w:top w:type="dxa" w:w="60"/>
              <w:left w:type="dxa" w:w="90"/>
              <w:bottom w:type="dxa" w:w="60"/>
              <w:right w:type="dxa" w:w="90"/>
            </w:tcMar>
          </w:tcPr>
          <w:p>
            <w:pPr>
              <w:spacing w:after="0"/>
            </w:pPr>
            <w:r>
              <w:rPr>
                <w:i w:val="false"/>
                <w:iCs w:val="false"/>
                <w:color w:val="000000"/>
                <w:sz w:val="18"/>
                <w:szCs w:val="18"/>
              </w:rPr>
              <w:t xml:space="preserve">Definir las tres a cinco iniciativas estratégicas que sostienen esas metas, cada una con dueño, presupuesto y criterio de éxito</w:t>
            </w:r>
          </w:p>
        </w:tc>
        <w:tc>
          <w:tcPr>
            <w:tcW w:type="dxa" w:w="1872"/>
            <w:tcMar>
              <w:top w:type="dxa" w:w="60"/>
              <w:left w:type="dxa" w:w="90"/>
              <w:bottom w:type="dxa" w:w="60"/>
              <w:right w:type="dxa" w:w="90"/>
            </w:tcMar>
          </w:tcPr>
          <w:p>
            <w:pPr>
              <w:spacing w:after="0"/>
            </w:pPr>
            <w:r>
              <w:rPr>
                <w:i w:val="false"/>
                <w:iCs w:val="false"/>
                <w:color w:val="000000"/>
                <w:sz w:val="18"/>
                <w:szCs w:val="18"/>
              </w:rPr>
              <w:t xml:space="preserve">Documento de iniciativas con dueño y cifra</w:t>
            </w:r>
          </w:p>
        </w:tc>
        <w:tc>
          <w:tcPr>
            <w:tcW w:type="dxa" w:w="1872"/>
            <w:tcMar>
              <w:top w:type="dxa" w:w="60"/>
              <w:left w:type="dxa" w:w="90"/>
              <w:bottom w:type="dxa" w:w="60"/>
              <w:right w:type="dxa" w:w="90"/>
            </w:tcMar>
          </w:tcPr>
          <w:p>
            <w:pPr>
              <w:spacing w:after="0"/>
            </w:pPr>
            <w:r>
              <w:rPr>
                <w:i w:val="false"/>
                <w:iCs w:val="false"/>
                <w:color w:val="000000"/>
                <w:sz w:val="18"/>
                <w:szCs w:val="18"/>
              </w:rPr>
              <w:t xml:space="preserve">Pacho</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Bloqueado</w:t>
            </w:r>
            <w:r>
              <w:rPr>
                <w:i w:val="false"/>
                <w:iCs w:val="false"/>
                <w:color w:val="000000"/>
                <w:sz w:val="18"/>
                <w:szCs w:val="18"/>
              </w:rPr>
              <w:t xml:space="preserve"> por 6.3</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6.5</w:t>
            </w:r>
          </w:p>
        </w:tc>
        <w:tc>
          <w:tcPr>
            <w:tcW w:type="dxa" w:w="1872"/>
            <w:tcMar>
              <w:top w:type="dxa" w:w="60"/>
              <w:left w:type="dxa" w:w="90"/>
              <w:bottom w:type="dxa" w:w="60"/>
              <w:right w:type="dxa" w:w="90"/>
            </w:tcMar>
          </w:tcPr>
          <w:p>
            <w:pPr>
              <w:spacing w:after="0"/>
            </w:pPr>
            <w:r>
              <w:rPr>
                <w:i w:val="false"/>
                <w:iCs w:val="false"/>
                <w:color w:val="000000"/>
                <w:sz w:val="18"/>
                <w:szCs w:val="18"/>
              </w:rPr>
              <w:t xml:space="preserve">Consolidar el plan estratégico 2027-2031</w:t>
            </w:r>
          </w:p>
        </w:tc>
        <w:tc>
          <w:tcPr>
            <w:tcW w:type="dxa" w:w="1872"/>
            <w:tcMar>
              <w:top w:type="dxa" w:w="60"/>
              <w:left w:type="dxa" w:w="90"/>
              <w:bottom w:type="dxa" w:w="60"/>
              <w:right w:type="dxa" w:w="90"/>
            </w:tcMar>
          </w:tcPr>
          <w:p>
            <w:pPr>
              <w:spacing w:after="0"/>
            </w:pPr>
            <w:r>
              <w:rPr>
                <w:i w:val="false"/>
                <w:iCs w:val="false"/>
                <w:color w:val="000000"/>
                <w:sz w:val="18"/>
                <w:szCs w:val="18"/>
              </w:rPr>
              <w:t xml:space="preserve">Plan aprobado con la tabla de metas y el calendario de revisión trimestral</w:t>
            </w:r>
          </w:p>
        </w:tc>
        <w:tc>
          <w:tcPr>
            <w:tcW w:type="dxa" w:w="1872"/>
            <w:tcMar>
              <w:top w:type="dxa" w:w="60"/>
              <w:left w:type="dxa" w:w="90"/>
              <w:bottom w:type="dxa" w:w="60"/>
              <w:right w:type="dxa" w:w="90"/>
            </w:tcMar>
          </w:tcPr>
          <w:p>
            <w:pPr>
              <w:spacing w:after="0"/>
            </w:pPr>
            <w:r>
              <w:rPr>
                <w:i w:val="false"/>
                <w:iCs w:val="false"/>
                <w:color w:val="000000"/>
                <w:sz w:val="18"/>
                <w:szCs w:val="18"/>
              </w:rPr>
              <w:t xml:space="preserve">Pacho</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Bloqueado</w:t>
            </w:r>
            <w:r>
              <w:rPr>
                <w:i w:val="false"/>
                <w:iCs w:val="false"/>
                <w:color w:val="000000"/>
                <w:sz w:val="18"/>
                <w:szCs w:val="18"/>
              </w:rPr>
              <w:t xml:space="preserve"> por 6.1 a 6.4</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6.6</w:t>
            </w:r>
          </w:p>
        </w:tc>
        <w:tc>
          <w:tcPr>
            <w:tcW w:type="dxa" w:w="1872"/>
            <w:tcMar>
              <w:top w:type="dxa" w:w="60"/>
              <w:left w:type="dxa" w:w="90"/>
              <w:bottom w:type="dxa" w:w="60"/>
              <w:right w:type="dxa" w:w="90"/>
            </w:tcMar>
          </w:tcPr>
          <w:p>
            <w:pPr>
              <w:spacing w:after="0"/>
            </w:pPr>
            <w:r>
              <w:rPr>
                <w:i w:val="false"/>
                <w:iCs w:val="false"/>
                <w:color w:val="000000"/>
                <w:sz w:val="18"/>
                <w:szCs w:val="18"/>
              </w:rPr>
              <w:t xml:space="preserve">Presentar y validar el plan con la junta de socios</w:t>
            </w:r>
          </w:p>
        </w:tc>
        <w:tc>
          <w:tcPr>
            <w:tcW w:type="dxa" w:w="1872"/>
            <w:tcMar>
              <w:top w:type="dxa" w:w="60"/>
              <w:left w:type="dxa" w:w="90"/>
              <w:bottom w:type="dxa" w:w="60"/>
              <w:right w:type="dxa" w:w="90"/>
            </w:tcMar>
          </w:tcPr>
          <w:p>
            <w:pPr>
              <w:spacing w:after="0"/>
            </w:pPr>
            <w:r>
              <w:rPr>
                <w:i w:val="false"/>
                <w:iCs w:val="false"/>
                <w:color w:val="000000"/>
                <w:sz w:val="18"/>
                <w:szCs w:val="18"/>
              </w:rPr>
              <w:t xml:space="preserve">Acta de aprobación de la junta</w:t>
            </w:r>
          </w:p>
        </w:tc>
        <w:tc>
          <w:tcPr>
            <w:tcW w:type="dxa" w:w="1872"/>
            <w:tcMar>
              <w:top w:type="dxa" w:w="60"/>
              <w:left w:type="dxa" w:w="90"/>
              <w:bottom w:type="dxa" w:w="60"/>
              <w:right w:type="dxa" w:w="90"/>
            </w:tcMar>
          </w:tcPr>
          <w:p>
            <w:pPr>
              <w:spacing w:after="0"/>
            </w:pPr>
            <w:r>
              <w:rPr>
                <w:i w:val="false"/>
                <w:iCs w:val="false"/>
                <w:color w:val="000000"/>
                <w:sz w:val="18"/>
                <w:szCs w:val="18"/>
              </w:rPr>
              <w:t xml:space="preserve">Pacho</w:t>
            </w:r>
          </w:p>
        </w:tc>
        <w:tc>
          <w:tcPr>
            <w:tcW w:type="dxa" w:w="1872"/>
            <w:tcMar>
              <w:top w:type="dxa" w:w="60"/>
              <w:left w:type="dxa" w:w="90"/>
              <w:bottom w:type="dxa" w:w="60"/>
              <w:right w:type="dxa" w:w="90"/>
            </w:tcMar>
          </w:tcPr>
          <w:p>
            <w:pPr>
              <w:spacing w:after="0"/>
            </w:pPr>
            <w:r>
              <w:rPr>
                <w:b/>
                <w:bCs/>
                <w:i w:val="false"/>
                <w:iCs w:val="false"/>
                <w:color w:val="000000"/>
                <w:sz w:val="18"/>
                <w:szCs w:val="18"/>
              </w:rPr>
              <w:t xml:space="preserve">Bloqueado</w:t>
            </w:r>
            <w:r>
              <w:rPr>
                <w:i w:val="false"/>
                <w:iCs w:val="false"/>
                <w:color w:val="000000"/>
                <w:sz w:val="18"/>
                <w:szCs w:val="18"/>
              </w:rPr>
              <w:t xml:space="preserve"> por 6.5</w:t>
            </w:r>
          </w:p>
        </w:tc>
      </w:tr>
    </w:tbl>
    <w:p>
      <w:pPr>
        <w:spacing w:after="200"/>
      </w:pPr>
      <w:r>
        <w:rPr>
          <w:color w:val="000000"/>
        </w:rPr>
        <w:t xml:space="preserve"/>
      </w:r>
    </w:p>
    <w:p>
      <w:pPr>
        <w:spacing w:after="160" w:line="276"/>
      </w:pPr>
      <w:r>
        <w:rPr>
          <w:i w:val="false"/>
          <w:iCs w:val="false"/>
          <w:color w:val="000000"/>
        </w:rPr>
        <w:t xml:space="preserve">El ítem 6.3 sigue siendo el que decide si todo este trabajo sirvió. Es exactamente la casilla que quedó vacía en 2024.</w:t>
      </w:r>
    </w:p>
    <w:p>
      <w:pPr>
        <w:spacing w:after="160" w:line="276"/>
      </w:pPr>
      <w:r>
        <w:rPr>
          <w:i w:val="false"/>
          <w:iCs w:val="false"/>
          <w:color w:val="000000"/>
        </w:rPr>
        <w:t xml:space="preserve">Hay un cambio de fondo respecto a la versión anterior: </w:t>
      </w:r>
      <w:r>
        <w:rPr>
          <w:b/>
          <w:bCs/>
          <w:i w:val="false"/>
          <w:iCs w:val="false"/>
          <w:color w:val="000000"/>
        </w:rPr>
        <w:t xml:space="preserve">el bloque 6 ya no está esperando datos.</w:t>
      </w:r>
      <w:r>
        <w:rPr>
          <w:i w:val="false"/>
          <w:iCs w:val="false"/>
          <w:color w:val="000000"/>
        </w:rPr>
        <w:t xml:space="preserve"> La línea base existe y está leída. Lo que 6.1 necesita no es más información, es que Pacho escriba a dónde quiere llevar la empresa y con qué cifra. Mientras el bloque 2 estaba abierto, no arrancar el 6 era razonable. Desde el 10 de septiembre ya no lo es.</w:t>
      </w:r>
    </w:p>
    <w:p>
      <w:pPr>
        <w:spacing w:after="160" w:line="276"/>
      </w:pPr>
      <w:r>
        <w:rPr>
          <w:i w:val="false"/>
          <w:iCs w:val="false"/>
          <w:color w:val="000000"/>
        </w:rPr>
        <w:t xml:space="preserve">Y ahora hay material concreto para poblarlo, que en agosto no existía: consumibles es el 89 por ciento del negocio, mobiliario crece 250 por ciento con el mejor margen del portafolio, equipos cae y pierde seis puntos de margen, marca propia perdió el 94 por ciento de su venta siendo la línea más rentable, licitaciones deja margen por encima del promedio y crece, y comercializadora es el 15 por ciento de la venta con el margen más bajo de todos los segmentos. Un plan a cinco años construido sobre esos seis hechos es un plan de dónde competir. Sin ellos habría sido un porcentaje sobre un agregado.</w:t>
      </w:r>
    </w:p>
    <w:p>
      <w:pPr>
        <w:pStyle w:val="Heading1"/>
        <w:pBdr>
          <w:bottom w:val="single" w:color="999999" w:sz="4" w:space="4"/>
        </w:pBdr>
        <w:spacing w:after="160" w:before="360"/>
      </w:pPr>
      <w:r>
        <w:rPr>
          <w:b/>
          <w:bCs/>
          <w:color w:val="000000"/>
          <w:sz w:val="26"/>
          <w:szCs w:val="26"/>
        </w:rPr>
        <w:t xml:space="preserve">Tamaño y recalibración</w:t>
      </w:r>
    </w:p>
    <w:p>
      <w:pPr>
        <w:spacing w:after="160" w:line="276"/>
      </w:pPr>
      <w:r>
        <w:rPr>
          <w:i w:val="false"/>
          <w:iCs w:val="false"/>
          <w:color w:val="000000"/>
        </w:rPr>
        <w:t xml:space="preserve">Treinta y nueve ítems, de los cuales cinco están cerrados y seis entregados. Quedan poco menos de dieciséis semanas y diciembre es mes corto y coincide con el cierre de licitaciones.</w:t>
      </w:r>
    </w:p>
    <w:p>
      <w:pPr>
        <w:spacing w:after="160" w:line="276"/>
      </w:pPr>
      <w:r>
        <w:rPr>
          <w:i w:val="false"/>
          <w:iCs w:val="false"/>
          <w:color w:val="000000"/>
        </w:rPr>
        <w:t xml:space="preserve">La estimación de capacidad de la versión anterior era pesimista: las áreas produjeron en tres semanas más de lo que yo proyecté para dos meses. Eso cambia el orden de sacrificio. Ya no hay razón para sacrificar el bloque 5 por capacidad de ejecución; si cae, será porque 5.1 no se responde, que es otra cosa.</w:t>
      </w:r>
    </w:p>
    <w:p>
      <w:pPr>
        <w:spacing w:after="160" w:line="276"/>
      </w:pPr>
      <w:r>
        <w:rPr>
          <w:i w:val="false"/>
          <w:iCs w:val="false"/>
          <w:color w:val="000000"/>
        </w:rPr>
        <w:t xml:space="preserve">Lo que sí se confirma es la cadena de dependencias. Los bloques 2 y 6 sostienen el objetivo y no pueden caer. El bloque 1 tampoco, porque su entregable sirve aunque todo lo demás falle, y además alimenta al 3 y al 5. El bloque 4 sigue siendo el primer candidato a recorte, salvo el ítem 4.2, que condiciona cualquier automatización posterior.</w:t>
      </w:r>
    </w:p>
    <w:p>
      <w:pPr>
        <w:pStyle w:val="Heading1"/>
        <w:pBdr>
          <w:bottom w:val="single" w:color="999999" w:sz="4" w:space="4"/>
        </w:pBdr>
        <w:spacing w:after="160" w:before="360"/>
      </w:pPr>
      <w:r>
        <w:rPr>
          <w:b/>
          <w:bCs/>
          <w:color w:val="000000"/>
          <w:sz w:val="26"/>
          <w:szCs w:val="26"/>
        </w:rPr>
        <w:t xml:space="preserve">Camino feliz</w:t>
      </w:r>
    </w:p>
    <w:p>
      <w:pPr>
        <w:spacing w:after="160" w:line="276"/>
      </w:pPr>
      <w:r>
        <w:rPr>
          <w:i w:val="false"/>
          <w:iCs w:val="false"/>
          <w:color w:val="000000"/>
        </w:rPr>
        <w:t xml:space="preserve">En diciembre de 2026 existen, como archivos verificables: el manual de funciones de los trece cargos aprobado, socializado y con los tres campos incorporados al formato oficial; la línea base completa incluyendo facturación por cliente; la brecha de margen explicada y una sola fuente de medición decidida; un tablero con indicadores con dueño y tres cierres mensuales comparables archivados; el inventario de procesos automatizables; el esquema de evaluación listo para enero; y el plan estratégico 2027-2031 con la tabla de metas completa, aprobado por la junta.</w:t>
      </w:r>
    </w:p>
    <w:p>
      <w:pPr>
        <w:spacing w:after="160" w:line="276"/>
      </w:pPr>
      <w:r>
        <w:rPr>
          <w:i w:val="false"/>
          <w:iCs w:val="false"/>
          <w:color w:val="000000"/>
        </w:rPr>
        <w:t xml:space="preserve">La prueba de que funcionó no es que el plan esté bien escrito. Es que la tabla del ítem 6.3 tenga números.</w:t>
      </w:r>
    </w:p>
    <w:p>
      <w:pPr>
        <w:pStyle w:val="Heading1"/>
        <w:pBdr>
          <w:bottom w:val="single" w:color="999999" w:sz="4" w:space="4"/>
        </w:pBdr>
        <w:spacing w:after="160" w:before="360"/>
      </w:pPr>
      <w:r>
        <w:rPr>
          <w:b/>
          <w:bCs/>
          <w:color w:val="000000"/>
          <w:sz w:val="26"/>
          <w:szCs w:val="26"/>
        </w:rPr>
        <w:t xml:space="preserve">Caminos tristes</w:t>
      </w:r>
    </w:p>
    <w:p>
      <w:pPr>
        <w:spacing w:after="160" w:line="276"/>
      </w:pPr>
      <w:r>
        <w:rPr>
          <w:i w:val="false"/>
          <w:iCs w:val="false"/>
          <w:color w:val="000000"/>
        </w:rPr>
        <w:t xml:space="preserve">El primero cambió y hay que actualizarlo. Ya no es que las áreas no produzcan: produjeron. El riesgo real hoy es </w:t>
      </w:r>
      <w:r>
        <w:rPr>
          <w:b/>
          <w:bCs/>
          <w:i w:val="false"/>
          <w:iCs w:val="false"/>
          <w:color w:val="000000"/>
        </w:rPr>
        <w:t xml:space="preserve">que el backlog se atasque en la capa de decisión mientras la de ejecución sigue entregando.</w:t>
      </w:r>
      <w:r>
        <w:rPr>
          <w:i w:val="false"/>
          <w:iCs w:val="false"/>
          <w:color w:val="000000"/>
        </w:rPr>
        <w:t xml:space="preserve"> La señal temprana ya apareció: cuatro decisiones que no cuestan trabajo llevan tres semanas sin tomarse mientras se entregaban once fichas y tres extracciones de datos. Si eso se sostiene, en noviembre habrá mucho material producido y ninguna decisión tomada, que es la descripción exacta de lo que pasó en 2024. La respuesta es separar en la reunión mensual los ítems de trabajo de los ítems de decisión, y revisar los segundos primero.</w:t>
      </w:r>
    </w:p>
    <w:p>
      <w:pPr>
        <w:spacing w:after="160" w:line="276"/>
      </w:pPr>
      <w:r>
        <w:rPr>
          <w:i w:val="false"/>
          <w:iCs w:val="false"/>
          <w:color w:val="000000"/>
        </w:rPr>
        <w:t xml:space="preserve">Segundo: que el bloque 6 no arranque porque todavía "faltan datos". Ya no faltan. Producir análisis es cómodo porque no compromete a nadie; escribir que la empresa venderá una cifra determinada en 2029 sí. La señal temprana es cualquier corrimiento de 6.1 más allá de la primera semana de noviembre. La respuesta es mover 6.3 a noviembre aunque queden datos incompletos y ajustarlo después: una meta puesta y corregida es mejor que una casilla vacía.</w:t>
      </w:r>
    </w:p>
    <w:p>
      <w:pPr>
        <w:spacing w:after="160" w:line="276"/>
      </w:pPr>
      <w:r>
        <w:rPr>
          <w:i w:val="false"/>
          <w:iCs w:val="false"/>
          <w:color w:val="000000"/>
        </w:rPr>
        <w:t xml:space="preserve">Tercero: que el tablero arranque sobre la fuente equivocada de margen y quede en rojo permanente por una diferencia contable, no por desempeño. En dos meses nadie lo mira. La señal temprana es que 3.1 avance sin que 2.6 esté resuelto.</w:t>
      </w:r>
    </w:p>
    <w:p>
      <w:pPr>
        <w:spacing w:after="160" w:line="276"/>
      </w:pPr>
      <w:r>
        <w:rPr>
          <w:i w:val="false"/>
          <w:iCs w:val="false"/>
          <w:color w:val="000000"/>
        </w:rPr>
        <w:t xml:space="preserve">Cuarto: que el manual se apruebe pero no se socialice, y quede como archivo en SharePoint que nadie leyó. La señal temprana es que 1.6 se dé por cerrado sin constancia de socialización a las tres áreas.</w:t>
      </w:r>
    </w:p>
    <w:p>
      <w:pPr>
        <w:spacing w:after="160" w:line="276"/>
      </w:pPr>
      <w:r>
        <w:rPr>
          <w:i w:val="false"/>
          <w:iCs w:val="false"/>
          <w:color w:val="000000"/>
        </w:rPr>
        <w:t xml:space="preserve">Quinto: que las once metas marcadas como línea base por medir en el manual no se midan en octubre y noviembre, y lleguen a diciembre todavía sin número. Sería reproducir en pequeño la falla de 2024 dentro del documento que se hizo para evitarla.</w:t>
      </w:r>
    </w:p>
    <w:p>
      <w:pPr>
        <w:pStyle w:val="Heading1"/>
        <w:pBdr>
          <w:bottom w:val="single" w:color="999999" w:sz="4" w:space="4"/>
        </w:pBdr>
        <w:spacing w:after="160" w:before="360"/>
      </w:pPr>
      <w:r>
        <w:rPr>
          <w:b/>
          <w:bCs/>
          <w:color w:val="000000"/>
          <w:sz w:val="26"/>
          <w:szCs w:val="26"/>
        </w:rPr>
        <w:t xml:space="preserve">Qué necesita decidir Pacho, en orden</w:t>
      </w:r>
    </w:p>
    <w:p>
      <w:pPr>
        <w:spacing w:after="160" w:line="276"/>
      </w:pPr>
      <w:r>
        <w:rPr>
          <w:i w:val="false"/>
          <w:iCs w:val="false"/>
          <w:color w:val="000000"/>
        </w:rPr>
        <w:t xml:space="preserve">Estas cuatro no requieren trabajo de nadie y destraban seis ítems. Propongo resolverlas antes del 30 de septiembre.</w:t>
      </w:r>
    </w:p>
    <w:p>
      <w:pPr>
        <w:spacing w:after="160" w:line="276"/>
      </w:pPr>
      <w:r>
        <w:rPr>
          <w:i w:val="false"/>
          <w:iCs w:val="false"/>
          <w:color w:val="000000"/>
        </w:rPr>
        <w:t xml:space="preserve">El margen mínimo permitido, ítem 1.9. Destraba tres indicadores del manual y la regla de excepciones.</w:t>
      </w:r>
    </w:p>
    <w:p>
      <w:pPr>
        <w:spacing w:after="160" w:line="276"/>
      </w:pPr>
      <w:r>
        <w:rPr>
          <w:i w:val="false"/>
          <w:iCs w:val="false"/>
          <w:color w:val="000000"/>
        </w:rPr>
        <w:t xml:space="preserve">La fuente de medición del margen para el tablero, ítem 2.6, previa explicación de contabilidad. Destraba todo el bloque 3.</w:t>
      </w:r>
    </w:p>
    <w:p>
      <w:pPr>
        <w:spacing w:after="160" w:line="276"/>
      </w:pPr>
      <w:r>
        <w:rPr>
          <w:i w:val="false"/>
          <w:iCs w:val="false"/>
          <w:color w:val="000000"/>
        </w:rPr>
        <w:t xml:space="preserve">La aprobación del manual de funciones, ítem 1.6, y con ella la ratificación del cargo de asesor de licitaciones, ítem 1.8. Destraba el bloque 3 y el 5.</w:t>
      </w:r>
    </w:p>
    <w:p>
      <w:pPr>
        <w:spacing w:after="160" w:line="276"/>
      </w:pPr>
      <w:r>
        <w:rPr>
          <w:i w:val="false"/>
          <w:iCs w:val="false"/>
          <w:color w:val="000000"/>
        </w:rPr>
        <w:t xml:space="preserve">La disponibilidad de presupuesto para componente variable, ítem 5.1. Destraba el bloque 5 o lo cierra, y las dos respuestas sirven.</w:t>
      </w:r>
    </w:p>
    <w:p>
      <w:pPr>
        <w:spacing w:after="160" w:line="276"/>
      </w:pPr>
      <w:r>
        <w:rPr>
          <w:i w:val="false"/>
          <w:iCs w:val="false"/>
          <w:color w:val="000000"/>
        </w:rPr>
        <w:t xml:space="preserve">Y lo que sigue pendiente desde agosto: asignar fechas concretas a los ítems. El backlog tiene ventanas de mes y no fechas. Esa es la columna que quedó vacía en 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2026-09-10T23:32:29.893Z</dcterms:created>
  <dcterms:modified xsi:type="dcterms:W3CDTF">2026-09-10T23:32:29.894Z</dcterms:modified>
</cp:coreProperties>
</file>

<file path=docProps/custom.xml><?xml version="1.0" encoding="utf-8"?>
<Properties xmlns="http://schemas.openxmlformats.org/officeDocument/2006/custom-properties" xmlns:vt="http://schemas.openxmlformats.org/officeDocument/2006/docPropsVTypes"/>
</file>