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b/>
          <w:bCs/>
          <w:color w:val="000000"/>
          <w:sz w:val="32"/>
          <w:szCs w:val="32"/>
        </w:rPr>
        <w:t xml:space="preserve">Guía de trabajo organizacional 2026 y punto de partida 2027</w:t>
      </w:r>
    </w:p>
    <w:p>
      <w:pPr>
        <w:spacing w:after="160"/>
      </w:pPr>
      <w:r>
        <w:rPr>
          <w:i w:val="false"/>
          <w:iCs w:val="false"/>
          <w:color w:val="000000"/>
        </w:rPr>
        <w:t xml:space="preserve">Filtración y Análisis S.A.S.</w:t>
      </w:r>
    </w:p>
    <w:p>
      <w:pPr>
        <w:spacing w:after="160"/>
      </w:pPr>
      <w:r>
        <w:rPr>
          <w:i/>
          <w:iCs/>
          <w:color w:val="000000"/>
        </w:rPr>
        <w:t xml:space="preserve">Documento de trabajo para que Luis Felipe le proponga a Pacho. Es una propuesta, no una decisión ejecutable directamente por el asesor: cada punto queda sujeto a la aprobación y al criterio de Pacho como gerente.</w:t>
      </w:r>
    </w:p>
    <w:p>
      <w:pPr>
        <w:pStyle w:val="Heading1"/>
        <w:pBdr>
          <w:bottom w:val="single" w:color="999999" w:sz="4" w:space="4"/>
        </w:pBdr>
        <w:spacing w:after="160" w:before="360"/>
      </w:pPr>
      <w:r>
        <w:rPr>
          <w:b/>
          <w:bCs/>
          <w:color w:val="000000"/>
          <w:sz w:val="26"/>
          <w:szCs w:val="26"/>
        </w:rPr>
        <w:t xml:space="preserve">Decisión de enfoque</w:t>
      </w:r>
    </w:p>
    <w:p>
      <w:pPr>
        <w:spacing w:after="160"/>
      </w:pPr>
      <w:r>
        <w:rPr>
          <w:i w:val="false"/>
          <w:iCs w:val="false"/>
          <w:color w:val="000000"/>
        </w:rPr>
        <w:t xml:space="preserve">Para lo que resta de 2026 hay un solo frente operativo: disciplina de presupuesto, seguimiento a indicadores y decisiones sobre desviaciones.</w:t>
      </w:r>
    </w:p>
    <w:p>
      <w:pPr>
        <w:spacing w:after="160"/>
      </w:pPr>
      <w:r>
        <w:rPr>
          <w:i w:val="false"/>
          <w:iCs w:val="false"/>
          <w:color w:val="000000"/>
        </w:rPr>
        <w:t xml:space="preserve">Merck/microbiología, inventario obsoleto y recuperación de clientes públicos perdidos no son frentes de ejecución 2026. Son problemas reales, pero exceden el margen de maniobra inmediato que Pacho reportó. En 2026 solo deben entrar como visibilidad, alertas o preparación de evidencia para 2027, no como líneas de trabajo simultáneas.</w:t>
      </w:r>
    </w:p>
    <w:p>
      <w:pPr>
        <w:spacing w:after="160"/>
      </w:pPr>
      <w:r>
        <w:rPr>
          <w:i w:val="false"/>
          <w:iCs w:val="false"/>
          <w:color w:val="000000"/>
        </w:rPr>
        <w:t xml:space="preserve">La guía debe cumplir dos funciones: sostener la contención de 2026 con una rutina de gestión que Pacho sí pueda mandar, y dejar a diciembre una base de información y hábitos mínimos para construir el plan 2027 sin volver a diagnosticar desde cero.</w:t>
      </w:r>
    </w:p>
    <w:p>
      <w:pPr>
        <w:pStyle w:val="Heading1"/>
        <w:pBdr>
          <w:bottom w:val="single" w:color="999999" w:sz="4" w:space="4"/>
        </w:pBdr>
        <w:spacing w:after="160" w:before="360"/>
      </w:pPr>
      <w:r>
        <w:rPr>
          <w:b/>
          <w:bCs/>
          <w:color w:val="000000"/>
          <w:sz w:val="26"/>
          <w:szCs w:val="26"/>
        </w:rPr>
        <w:t xml:space="preserve">Qué es esta fase y qué no es</w:t>
      </w:r>
    </w:p>
    <w:p>
      <w:pPr>
        <w:spacing w:after="160"/>
      </w:pPr>
      <w:r>
        <w:rPr>
          <w:i w:val="false"/>
          <w:iCs w:val="false"/>
          <w:color w:val="000000"/>
        </w:rPr>
        <w:t xml:space="preserve">Esta fase es contención y aprendizaje operativo. No es la reestructuración completa, no es lanzamiento de portafolio, no es renegociación estructural con Merck, no es liquidación de inventario obsoleto y no es recuperación comercial profunda.</w:t>
      </w:r>
    </w:p>
    <w:p>
      <w:pPr>
        <w:spacing w:after="160"/>
      </w:pPr>
      <w:r>
        <w:rPr>
          <w:i w:val="false"/>
          <w:iCs w:val="false"/>
          <w:color w:val="000000"/>
        </w:rPr>
        <w:t xml:space="preserve">El objetivo no es “hacer más cosas”. Es que Pacho pueda ver cada mes qué se desvió, por qué se desvió, quién debe destrabar y qué decisión necesita tomar.</w:t>
      </w:r>
    </w:p>
    <w:p>
      <w:pPr>
        <w:pStyle w:val="Heading1"/>
        <w:pBdr>
          <w:bottom w:val="single" w:color="999999" w:sz="4" w:space="4"/>
        </w:pBdr>
        <w:spacing w:after="160" w:before="360"/>
      </w:pPr>
      <w:r>
        <w:rPr>
          <w:b/>
          <w:bCs/>
          <w:color w:val="000000"/>
          <w:sz w:val="26"/>
          <w:szCs w:val="26"/>
        </w:rPr>
        <w:t xml:space="preserve">Punto de partida financiero</w:t>
      </w:r>
    </w:p>
    <w:p>
      <w:pPr>
        <w:spacing w:after="160"/>
      </w:pPr>
      <w:r>
        <w:rPr>
          <w:i w:val="false"/>
          <w:iCs w:val="false"/>
          <w:color w:val="000000"/>
        </w:rPr>
        <w:t xml:space="preserve">Hecho verificado: el estado de resultados auditado 2016-2025 muestra que 2025 fue el mejor año de la década en ganancia neta: 686 millones de pesos y margen neto de 5,6 por ciento. La narrativa de “primer año en pérdidas” no se sostiene para 2025 completo.</w:t>
      </w:r>
    </w:p>
    <w:p>
      <w:pPr>
        <w:spacing w:after="160"/>
      </w:pPr>
      <w:r>
        <w:rPr>
          <w:i w:val="false"/>
          <w:iCs w:val="false"/>
          <w:color w:val="000000"/>
        </w:rPr>
        <w:t xml:space="preserve">Hecho verificado: enero y febrero de 2026 cerraron con pérdida operacional real, con márgenes operacionales de -15,4 por ciento y -9,4 por ciento. Desde marzo hubo recuperación sostenida hasta junio, el mejor mes del semestre, con margen operacional de 6,8 por ciento. El semestre completo cierra apenas en punto de equilibrio.</w:t>
      </w:r>
    </w:p>
    <w:p>
      <w:pPr>
        <w:spacing w:after="160"/>
      </w:pPr>
      <w:r>
        <w:rPr>
          <w:i w:val="false"/>
          <w:iCs w:val="false"/>
          <w:color w:val="000000"/>
        </w:rPr>
        <w:t xml:space="preserve">Hecho verificado actualizado: la comparación de ventas del semestre 2026 contra el mismo semestre de 2025 sí es válida si se usa la celda correcta. La variación es -0,97 por ciento. La alerta metodológica sigue siendo necesaria porque el archivo contiene columnas o fórmulas que pueden inducir error; antes de usar cualquier cifra en decisiones, hay que verificar celda, denominador y unidad.</w:t>
      </w:r>
    </w:p>
    <w:p>
      <w:pPr>
        <w:spacing w:after="160"/>
      </w:pPr>
      <w:r>
        <w:rPr>
          <w:i w:val="false"/>
          <w:iCs w:val="false"/>
          <w:color w:val="000000"/>
        </w:rPr>
        <w:t xml:space="preserve">Hecho verificado: el deterioro de utilidad operacional del semestre se explica principalmente por gastos operacionales. El aumento de gastos operacionales explica aproximadamente 92 por ciento de la caída de utilidad operacional del semestre.</w:t>
      </w:r>
    </w:p>
    <w:p>
      <w:pPr>
        <w:spacing w:after="160"/>
      </w:pPr>
      <w:r>
        <w:rPr>
          <w:i w:val="false"/>
          <w:iCs w:val="false"/>
          <w:color w:val="000000"/>
        </w:rPr>
        <w:t xml:space="preserve">Dato a corregir antes de usar: las razones comparativas de margen bruto y margen neto 2025 tienen un denominador equivocado y quedan ligeramente sobrestimadas. No deben usarse como base de decisión hasta corregirlas.</w:t>
      </w:r>
    </w:p>
    <w:p>
      <w:pPr>
        <w:spacing w:after="160"/>
      </w:pPr>
      <w:r>
        <w:rPr>
          <w:i w:val="false"/>
          <w:iCs w:val="false"/>
          <w:color w:val="000000"/>
        </w:rPr>
        <w:t xml:space="preserve">Hipótesis pendiente: que el segundo semestre históricamente rinde mejor que el primero. Pacho lo plantea como explicación parcial de la recuperación junto con licitaciones ganadas y repunte del sector privado. Para probarlo hace falta desagregado mensual histórico, al menos de 2023, 2024 y 2025.</w:t>
      </w:r>
    </w:p>
    <w:p>
      <w:pPr>
        <w:pStyle w:val="Heading1"/>
        <w:pBdr>
          <w:bottom w:val="single" w:color="999999" w:sz="4" w:space="4"/>
        </w:pBdr>
        <w:spacing w:after="160" w:before="360"/>
      </w:pPr>
      <w:r>
        <w:rPr>
          <w:b/>
          <w:bCs/>
          <w:color w:val="000000"/>
          <w:sz w:val="26"/>
          <w:szCs w:val="26"/>
        </w:rPr>
        <w:t xml:space="preserve">Los cuatro problemas y el único frente 2026</w:t>
      </w:r>
    </w:p>
    <w:p>
      <w:pPr>
        <w:spacing w:after="160"/>
      </w:pPr>
      <w:r>
        <w:rPr>
          <w:i w:val="false"/>
          <w:iCs w:val="false"/>
          <w:color w:val="000000"/>
        </w:rPr>
        <w:t xml:space="preserve">En el diagnóstico aparecen cuatro problemas relevantes:</w:t>
      </w:r>
    </w:p>
    <w:p>
      <w:pPr>
        <w:pStyle w:val="ListParagraph"/>
        <w:numPr>
          <w:ilvl w:val="0"/>
          <w:numId w:val="2"/>
        </w:numPr>
        <w:spacing w:after="100"/>
      </w:pPr>
      <w:r>
        <w:rPr>
          <w:color w:val="000000"/>
        </w:rPr>
        <w:t xml:space="preserve">Merck y microbiología: concentración de proveedor, margen menor y pérdida de clientes por precio.</w:t>
      </w:r>
    </w:p>
    <w:p>
      <w:pPr>
        <w:pStyle w:val="ListParagraph"/>
        <w:numPr>
          <w:ilvl w:val="0"/>
          <w:numId w:val="2"/>
        </w:numPr>
        <w:spacing w:after="100"/>
      </w:pPr>
      <w:r>
        <w:rPr>
          <w:color w:val="000000"/>
        </w:rPr>
        <w:t xml:space="preserve">Inventario obsoleto y compras anticipadas: posible presión sobre caja, margen y espacio.</w:t>
      </w:r>
    </w:p>
    <w:p>
      <w:pPr>
        <w:pStyle w:val="ListParagraph"/>
        <w:numPr>
          <w:ilvl w:val="0"/>
          <w:numId w:val="2"/>
        </w:numPr>
        <w:spacing w:after="100"/>
      </w:pPr>
      <w:r>
        <w:rPr>
          <w:color w:val="000000"/>
        </w:rPr>
        <w:t xml:space="preserve">Clientes públicos perdidos: Universidad de Antioquia, Nutresa, SENA, EPM, Ecar e ITM.</w:t>
      </w:r>
    </w:p>
    <w:p>
      <w:pPr>
        <w:pStyle w:val="ListParagraph"/>
        <w:numPr>
          <w:ilvl w:val="0"/>
          <w:numId w:val="2"/>
        </w:numPr>
        <w:spacing w:after="100"/>
      </w:pPr>
      <w:r>
        <w:rPr>
          <w:color w:val="000000"/>
        </w:rPr>
        <w:t xml:space="preserve">Disciplina de presupuesto, indicadores y decisiones.</w:t>
      </w:r>
    </w:p>
    <w:p>
      <w:pPr>
        <w:spacing w:after="160"/>
      </w:pPr>
      <w:r>
        <w:rPr>
          <w:i w:val="false"/>
          <w:iCs w:val="false"/>
          <w:color w:val="000000"/>
        </w:rPr>
        <w:t xml:space="preserve">Para 2026 solo se ejecuta el cuarto frente. Los otros tres se observan y documentan dentro de la rutina, pero no se atacan todavía como proyectos.</w:t>
      </w:r>
    </w:p>
    <w:p>
      <w:pPr>
        <w:spacing w:after="160"/>
      </w:pPr>
      <w:r>
        <w:rPr>
          <w:i w:val="false"/>
          <w:iCs w:val="false"/>
          <w:color w:val="000000"/>
        </w:rPr>
        <w:t xml:space="preserve">Regla: si una conversación de 2026 intenta convertirse en renegociación de Merck, liquidación de inventario o recuperación profunda de clientes, se registra como pendiente 2027 o decisión especial de Pacho. No se mezcla con la contingencia.</w:t>
      </w:r>
    </w:p>
    <w:p>
      <w:pPr>
        <w:pStyle w:val="Heading1"/>
        <w:pBdr>
          <w:bottom w:val="single" w:color="999999" w:sz="4" w:space="4"/>
        </w:pBdr>
        <w:spacing w:after="160" w:before="360"/>
      </w:pPr>
      <w:r>
        <w:rPr>
          <w:b/>
          <w:bCs/>
          <w:color w:val="000000"/>
          <w:sz w:val="26"/>
          <w:szCs w:val="26"/>
        </w:rPr>
        <w:t xml:space="preserve">Mecanismo operativo 2026</w:t>
      </w:r>
    </w:p>
    <w:p>
      <w:pPr>
        <w:spacing w:after="160"/>
      </w:pPr>
      <w:r>
        <w:rPr>
          <w:i w:val="false"/>
          <w:iCs w:val="false"/>
          <w:color w:val="000000"/>
        </w:rPr>
        <w:t xml:space="preserve">El mecanismo tiene dos niveles: revisión semanal de alertas y cierre mensual de presupuesto contra resultado real. La revisión semanal evita que los problemas lleguen tarde. El cierre mensual explica el resultado y deja decisiones registradas.</w:t>
      </w:r>
    </w:p>
    <w:p>
      <w:pPr>
        <w:pStyle w:val="Heading2"/>
        <w:spacing w:after="120" w:before="240"/>
      </w:pPr>
      <w:r>
        <w:rPr>
          <w:b/>
          <w:bCs/>
          <w:color w:val="000000"/>
          <w:sz w:val="23"/>
          <w:szCs w:val="23"/>
        </w:rPr>
        <w:t xml:space="preserve">Revisión semanal de alertas</w:t>
      </w:r>
    </w:p>
    <w:p>
      <w:pPr>
        <w:spacing w:after="60"/>
      </w:pPr>
      <w:r>
        <w:rPr>
          <w:b/>
          <w:bCs/>
          <w:color w:val="000000"/>
        </w:rPr>
        <w:t xml:space="preserve">Duración máxima: </w:t>
      </w:r>
      <w:r>
        <w:rPr>
          <w:color w:val="000000"/>
        </w:rPr>
        <w:t xml:space="preserve">30 minutos</w:t>
      </w:r>
    </w:p>
    <w:p>
      <w:pPr>
        <w:spacing w:after="60"/>
      </w:pPr>
      <w:r>
        <w:rPr>
          <w:b/>
          <w:bCs/>
          <w:color w:val="000000"/>
        </w:rPr>
        <w:t xml:space="preserve">Convoca: </w:t>
      </w:r>
      <w:r>
        <w:rPr>
          <w:color w:val="000000"/>
        </w:rPr>
        <w:t xml:space="preserve">Pacho</w:t>
      </w:r>
    </w:p>
    <w:p>
      <w:pPr>
        <w:spacing w:after="60"/>
      </w:pPr>
      <w:r>
        <w:rPr>
          <w:b/>
          <w:bCs/>
          <w:color w:val="000000"/>
        </w:rPr>
        <w:t xml:space="preserve">Participan: </w:t>
      </w:r>
      <w:r>
        <w:rPr>
          <w:color w:val="000000"/>
        </w:rPr>
        <w:t xml:space="preserve">Pacho y las tres líderes de área. Luis Felipe puede acompañar como asesor, sin aparecer como dueño de decisiones.</w:t>
      </w:r>
    </w:p>
    <w:p>
      <w:pPr>
        <w:spacing w:after="80" w:before="200"/>
      </w:pPr>
      <w:r>
        <w:rPr>
          <w:b/>
          <w:bCs/>
          <w:color w:val="000000"/>
        </w:rPr>
        <w:t xml:space="preserve">Agenda fija</w:t>
      </w:r>
    </w:p>
    <w:p>
      <w:pPr>
        <w:pStyle w:val="ListParagraph"/>
        <w:numPr>
          <w:ilvl w:val="0"/>
          <w:numId w:val="2"/>
        </w:numPr>
        <w:spacing w:after="100"/>
      </w:pPr>
      <w:r>
        <w:rPr>
          <w:color w:val="000000"/>
        </w:rPr>
        <w:t xml:space="preserve">Ventas críticas.</w:t>
      </w:r>
    </w:p>
    <w:p>
      <w:pPr>
        <w:pStyle w:val="ListParagraph"/>
        <w:numPr>
          <w:ilvl w:val="0"/>
          <w:numId w:val="2"/>
        </w:numPr>
        <w:spacing w:after="100"/>
      </w:pPr>
      <w:r>
        <w:rPr>
          <w:color w:val="000000"/>
        </w:rPr>
        <w:t xml:space="preserve">Negocios de bajo margen.</w:t>
      </w:r>
    </w:p>
    <w:p>
      <w:pPr>
        <w:pStyle w:val="ListParagraph"/>
        <w:numPr>
          <w:ilvl w:val="0"/>
          <w:numId w:val="2"/>
        </w:numPr>
        <w:spacing w:after="100"/>
      </w:pPr>
      <w:r>
        <w:rPr>
          <w:color w:val="000000"/>
        </w:rPr>
        <w:t xml:space="preserve">Facturación bloqueada.</w:t>
      </w:r>
    </w:p>
    <w:p>
      <w:pPr>
        <w:pStyle w:val="ListParagraph"/>
        <w:numPr>
          <w:ilvl w:val="0"/>
          <w:numId w:val="2"/>
        </w:numPr>
        <w:spacing w:after="100"/>
      </w:pPr>
      <w:r>
        <w:rPr>
          <w:color w:val="000000"/>
        </w:rPr>
        <w:t xml:space="preserve">Licitaciones en riesgo.</w:t>
      </w:r>
    </w:p>
    <w:p>
      <w:pPr>
        <w:pStyle w:val="ListParagraph"/>
        <w:numPr>
          <w:ilvl w:val="0"/>
          <w:numId w:val="2"/>
        </w:numPr>
        <w:spacing w:after="100"/>
      </w:pPr>
      <w:r>
        <w:rPr>
          <w:color w:val="000000"/>
        </w:rPr>
        <w:t xml:space="preserve">Entregas críticas.</w:t>
      </w:r>
    </w:p>
    <w:p>
      <w:pPr>
        <w:pStyle w:val="ListParagraph"/>
        <w:numPr>
          <w:ilvl w:val="0"/>
          <w:numId w:val="2"/>
        </w:numPr>
        <w:spacing w:after="100"/>
      </w:pPr>
      <w:r>
        <w:rPr>
          <w:color w:val="000000"/>
        </w:rPr>
        <w:t xml:space="preserve">Inventario que afecta caja o cumplimiento.</w:t>
      </w:r>
    </w:p>
    <w:p>
      <w:pPr>
        <w:pStyle w:val="ListParagraph"/>
        <w:numPr>
          <w:ilvl w:val="0"/>
          <w:numId w:val="2"/>
        </w:numPr>
        <w:spacing w:after="100"/>
      </w:pPr>
      <w:r>
        <w:rPr>
          <w:color w:val="000000"/>
        </w:rPr>
        <w:t xml:space="preserve">Decisiones requeridas de Pacho.</w:t>
      </w:r>
    </w:p>
    <w:p>
      <w:pPr>
        <w:spacing w:after="160"/>
      </w:pPr>
      <w:r>
        <w:rPr>
          <w:i w:val="false"/>
          <w:iCs w:val="false"/>
          <w:color w:val="000000"/>
        </w:rPr>
        <w:t xml:space="preserve">Regla de conversación: no discutir historia ni culpas. Cada punto debe quedar formulado como hecho, impacto, responsable, fecha y decisión requerida.</w:t>
      </w:r>
    </w:p>
    <w:p>
      <w:pPr>
        <w:pStyle w:val="Heading2"/>
        <w:spacing w:after="120" w:before="240"/>
      </w:pPr>
      <w:r>
        <w:rPr>
          <w:b/>
          <w:bCs/>
          <w:color w:val="000000"/>
          <w:sz w:val="23"/>
          <w:szCs w:val="23"/>
        </w:rPr>
        <w:t xml:space="preserve">Cierre mensual</w:t>
      </w:r>
    </w:p>
    <w:p>
      <w:pPr>
        <w:spacing w:after="160"/>
      </w:pPr>
      <w:r>
        <w:rPr>
          <w:i w:val="false"/>
          <w:iCs w:val="false"/>
          <w:color w:val="000000"/>
        </w:rPr>
        <w:t xml:space="preserve">La reunión mensual debe revisar presupuesto contra resultado real con las tres líderes presentes. No debe hacerse por separado, porque el diagnóstico ya mostró conflicto cruzado y fallas de coordinación entre áreas.</w:t>
      </w:r>
    </w:p>
    <w:p>
      <w:pPr>
        <w:spacing w:after="80" w:before="200"/>
      </w:pPr>
      <w:r>
        <w:rPr>
          <w:b/>
          <w:bCs/>
          <w:color w:val="000000"/>
        </w:rPr>
        <w:t xml:space="preserve">El cierre mensual debe incluir</w:t>
      </w:r>
    </w:p>
    <w:p>
      <w:pPr>
        <w:pStyle w:val="ListParagraph"/>
        <w:numPr>
          <w:ilvl w:val="0"/>
          <w:numId w:val="2"/>
        </w:numPr>
        <w:spacing w:after="100"/>
      </w:pPr>
      <w:r>
        <w:rPr>
          <w:color w:val="000000"/>
        </w:rPr>
        <w:t xml:space="preserve">Ventas reales contra presupuesto.</w:t>
      </w:r>
    </w:p>
    <w:p>
      <w:pPr>
        <w:pStyle w:val="ListParagraph"/>
        <w:numPr>
          <w:ilvl w:val="0"/>
          <w:numId w:val="2"/>
        </w:numPr>
        <w:spacing w:after="100"/>
      </w:pPr>
      <w:r>
        <w:rPr>
          <w:color w:val="000000"/>
        </w:rPr>
        <w:t xml:space="preserve">Margen bruto.</w:t>
      </w:r>
    </w:p>
    <w:p>
      <w:pPr>
        <w:pStyle w:val="ListParagraph"/>
        <w:numPr>
          <w:ilvl w:val="0"/>
          <w:numId w:val="2"/>
        </w:numPr>
        <w:spacing w:after="100"/>
      </w:pPr>
      <w:r>
        <w:rPr>
          <w:color w:val="000000"/>
        </w:rPr>
        <w:t xml:space="preserve">Gastos operacionales separados entre administración y ventas.</w:t>
      </w:r>
    </w:p>
    <w:p>
      <w:pPr>
        <w:pStyle w:val="ListParagraph"/>
        <w:numPr>
          <w:ilvl w:val="0"/>
          <w:numId w:val="2"/>
        </w:numPr>
        <w:spacing w:after="100"/>
      </w:pPr>
      <w:r>
        <w:rPr>
          <w:color w:val="000000"/>
        </w:rPr>
        <w:t xml:space="preserve">Utilidad operacional.</w:t>
      </w:r>
    </w:p>
    <w:p>
      <w:pPr>
        <w:pStyle w:val="ListParagraph"/>
        <w:numPr>
          <w:ilvl w:val="0"/>
          <w:numId w:val="2"/>
        </w:numPr>
        <w:spacing w:after="100"/>
      </w:pPr>
      <w:r>
        <w:rPr>
          <w:color w:val="000000"/>
        </w:rPr>
        <w:t xml:space="preserve">Facturación bloqueada, notas crédito y refacturaciones.</w:t>
      </w:r>
    </w:p>
    <w:p>
      <w:pPr>
        <w:pStyle w:val="ListParagraph"/>
        <w:numPr>
          <w:ilvl w:val="0"/>
          <w:numId w:val="2"/>
        </w:numPr>
        <w:spacing w:after="100"/>
      </w:pPr>
      <w:r>
        <w:rPr>
          <w:color w:val="000000"/>
        </w:rPr>
        <w:t xml:space="preserve">Licitaciones en curso y licitaciones ganadas en ejecución.</w:t>
      </w:r>
    </w:p>
    <w:p>
      <w:pPr>
        <w:pStyle w:val="ListParagraph"/>
        <w:numPr>
          <w:ilvl w:val="0"/>
          <w:numId w:val="2"/>
        </w:numPr>
        <w:spacing w:after="100"/>
      </w:pPr>
      <w:r>
        <w:rPr>
          <w:color w:val="000000"/>
        </w:rPr>
        <w:t xml:space="preserve">Inventario crítico visible.</w:t>
      </w:r>
    </w:p>
    <w:p>
      <w:pPr>
        <w:pStyle w:val="ListParagraph"/>
        <w:numPr>
          <w:ilvl w:val="0"/>
          <w:numId w:val="2"/>
        </w:numPr>
        <w:spacing w:after="100"/>
      </w:pPr>
      <w:r>
        <w:rPr>
          <w:color w:val="000000"/>
        </w:rPr>
        <w:t xml:space="preserve">Decisiones tomadas.</w:t>
      </w:r>
    </w:p>
    <w:p>
      <w:pPr>
        <w:pStyle w:val="ListParagraph"/>
        <w:numPr>
          <w:ilvl w:val="0"/>
          <w:numId w:val="2"/>
        </w:numPr>
        <w:spacing w:after="100"/>
      </w:pPr>
      <w:r>
        <w:rPr>
          <w:color w:val="000000"/>
        </w:rPr>
        <w:t xml:space="preserve">Pendientes 2027 identificados durante el mes.</w:t>
      </w:r>
    </w:p>
    <w:p>
      <w:pPr>
        <w:spacing w:after="160"/>
      </w:pPr>
      <w:r>
        <w:rPr>
          <w:i w:val="false"/>
          <w:iCs w:val="false"/>
          <w:color w:val="000000"/>
        </w:rPr>
        <w:t xml:space="preserve">La reunión debe cerrar con al menos una decisión registrada. Si no hay decisión, el seguimiento se convierte en reporte sin consecuencia.</w:t>
      </w:r>
    </w:p>
    <w:p>
      <w:pPr>
        <w:pStyle w:val="Heading2"/>
        <w:spacing w:after="120" w:before="240"/>
      </w:pPr>
      <w:r>
        <w:rPr>
          <w:b/>
          <w:bCs/>
          <w:color w:val="000000"/>
          <w:sz w:val="23"/>
          <w:szCs w:val="23"/>
        </w:rPr>
        <w:t xml:space="preserve">Plantilla mínima de seguimiento</w:t>
      </w:r>
    </w:p>
    <w:p>
      <w:pPr>
        <w:spacing w:after="160"/>
      </w:pPr>
      <w:r>
        <w:rPr>
          <w:i w:val="false"/>
          <w:iCs w:val="false"/>
          <w:color w:val="000000"/>
        </w:rPr>
        <w:t xml:space="preserve">La plantilla debe ser simple y construirse sobre lo que APL/APLINSA ya permite reportar hoy. No debe requerir desarrollo de sistema nuevo.</w:t>
      </w:r>
    </w:p>
    <w:p>
      <w:pPr>
        <w:spacing w:after="80" w:before="200"/>
      </w:pPr>
      <w:r>
        <w:rPr>
          <w:b/>
          <w:bCs/>
          <w:color w:val="000000"/>
        </w:rPr>
        <w:t xml:space="preserve">Campos mínimos</w:t>
      </w:r>
    </w:p>
    <w:p>
      <w:pPr>
        <w:pStyle w:val="ListParagraph"/>
        <w:numPr>
          <w:ilvl w:val="0"/>
          <w:numId w:val="2"/>
        </w:numPr>
        <w:spacing w:after="100"/>
      </w:pPr>
      <w:r>
        <w:rPr>
          <w:color w:val="000000"/>
        </w:rPr>
        <w:t xml:space="preserve">Mes.</w:t>
      </w:r>
    </w:p>
    <w:p>
      <w:pPr>
        <w:pStyle w:val="ListParagraph"/>
        <w:numPr>
          <w:ilvl w:val="0"/>
          <w:numId w:val="2"/>
        </w:numPr>
        <w:spacing w:after="100"/>
      </w:pPr>
      <w:r>
        <w:rPr>
          <w:color w:val="000000"/>
        </w:rPr>
        <w:t xml:space="preserve">Área responsable.</w:t>
      </w:r>
    </w:p>
    <w:p>
      <w:pPr>
        <w:pStyle w:val="ListParagraph"/>
        <w:numPr>
          <w:ilvl w:val="0"/>
          <w:numId w:val="2"/>
        </w:numPr>
        <w:spacing w:after="100"/>
      </w:pPr>
      <w:r>
        <w:rPr>
          <w:color w:val="000000"/>
        </w:rPr>
        <w:t xml:space="preserve">Indicador.</w:t>
      </w:r>
    </w:p>
    <w:p>
      <w:pPr>
        <w:pStyle w:val="ListParagraph"/>
        <w:numPr>
          <w:ilvl w:val="0"/>
          <w:numId w:val="2"/>
        </w:numPr>
        <w:spacing w:after="100"/>
      </w:pPr>
      <w:r>
        <w:rPr>
          <w:color w:val="000000"/>
        </w:rPr>
        <w:t xml:space="preserve">Presupuesto o expectativa.</w:t>
      </w:r>
    </w:p>
    <w:p>
      <w:pPr>
        <w:pStyle w:val="ListParagraph"/>
        <w:numPr>
          <w:ilvl w:val="0"/>
          <w:numId w:val="2"/>
        </w:numPr>
        <w:spacing w:after="100"/>
      </w:pPr>
      <w:r>
        <w:rPr>
          <w:color w:val="000000"/>
        </w:rPr>
        <w:t xml:space="preserve">Resultado real.</w:t>
      </w:r>
    </w:p>
    <w:p>
      <w:pPr>
        <w:pStyle w:val="ListParagraph"/>
        <w:numPr>
          <w:ilvl w:val="0"/>
          <w:numId w:val="2"/>
        </w:numPr>
        <w:spacing w:after="100"/>
      </w:pPr>
      <w:r>
        <w:rPr>
          <w:color w:val="000000"/>
        </w:rPr>
        <w:t xml:space="preserve">Variación.</w:t>
      </w:r>
    </w:p>
    <w:p>
      <w:pPr>
        <w:pStyle w:val="ListParagraph"/>
        <w:numPr>
          <w:ilvl w:val="0"/>
          <w:numId w:val="2"/>
        </w:numPr>
        <w:spacing w:after="100"/>
      </w:pPr>
      <w:r>
        <w:rPr>
          <w:color w:val="000000"/>
        </w:rPr>
        <w:t xml:space="preserve">Causa de la variación.</w:t>
      </w:r>
    </w:p>
    <w:p>
      <w:pPr>
        <w:pStyle w:val="ListParagraph"/>
        <w:numPr>
          <w:ilvl w:val="0"/>
          <w:numId w:val="2"/>
        </w:numPr>
        <w:spacing w:after="100"/>
      </w:pPr>
      <w:r>
        <w:rPr>
          <w:color w:val="000000"/>
        </w:rPr>
        <w:t xml:space="preserve">Impacto en resultado, margen, caja o cumplimiento.</w:t>
      </w:r>
    </w:p>
    <w:p>
      <w:pPr>
        <w:pStyle w:val="ListParagraph"/>
        <w:numPr>
          <w:ilvl w:val="0"/>
          <w:numId w:val="2"/>
        </w:numPr>
        <w:spacing w:after="100"/>
      </w:pPr>
      <w:r>
        <w:rPr>
          <w:color w:val="000000"/>
        </w:rPr>
        <w:t xml:space="preserve">Responsable de acción.</w:t>
      </w:r>
    </w:p>
    <w:p>
      <w:pPr>
        <w:pStyle w:val="ListParagraph"/>
        <w:numPr>
          <w:ilvl w:val="0"/>
          <w:numId w:val="2"/>
        </w:numPr>
        <w:spacing w:after="100"/>
      </w:pPr>
      <w:r>
        <w:rPr>
          <w:color w:val="000000"/>
        </w:rPr>
        <w:t xml:space="preserve">Fecha compromiso.</w:t>
      </w:r>
    </w:p>
    <w:p>
      <w:pPr>
        <w:pStyle w:val="ListParagraph"/>
        <w:numPr>
          <w:ilvl w:val="0"/>
          <w:numId w:val="2"/>
        </w:numPr>
        <w:spacing w:after="100"/>
      </w:pPr>
      <w:r>
        <w:rPr>
          <w:color w:val="000000"/>
        </w:rPr>
        <w:t xml:space="preserve">Decisión requerida de Pacho.</w:t>
      </w:r>
    </w:p>
    <w:p>
      <w:pPr>
        <w:pStyle w:val="ListParagraph"/>
        <w:numPr>
          <w:ilvl w:val="0"/>
          <w:numId w:val="2"/>
        </w:numPr>
        <w:spacing w:after="100"/>
      </w:pPr>
      <w:r>
        <w:rPr>
          <w:color w:val="000000"/>
        </w:rPr>
        <w:t xml:space="preserve">Estado: abierto, en curso, cerrado, pasa a 2027.</w:t>
      </w:r>
    </w:p>
    <w:p>
      <w:pPr>
        <w:pStyle w:val="Heading1"/>
        <w:pBdr>
          <w:bottom w:val="single" w:color="999999" w:sz="4" w:space="4"/>
        </w:pBdr>
        <w:spacing w:after="160" w:before="360"/>
      </w:pPr>
      <w:r>
        <w:rPr>
          <w:b/>
          <w:bCs/>
          <w:color w:val="000000"/>
          <w:sz w:val="26"/>
          <w:szCs w:val="26"/>
        </w:rPr>
        <w:t xml:space="preserve">Accionables 2026</w:t>
      </w:r>
    </w:p>
    <w:p>
      <w:pPr>
        <w:pStyle w:val="Heading2"/>
        <w:spacing w:after="120" w:before="240"/>
      </w:pPr>
      <w:r>
        <w:rPr>
          <w:b/>
          <w:bCs/>
          <w:color w:val="000000"/>
          <w:sz w:val="23"/>
          <w:szCs w:val="23"/>
        </w:rPr>
        <w:t xml:space="preserve">1. Control de gastos operacionales</w:t>
      </w:r>
    </w:p>
    <w:p>
      <w:pPr>
        <w:spacing w:after="60"/>
      </w:pPr>
      <w:r>
        <w:rPr>
          <w:b/>
          <w:bCs/>
          <w:color w:val="000000"/>
        </w:rPr>
        <w:t xml:space="preserve">Acción: </w:t>
      </w:r>
      <w:r>
        <w:rPr>
          <w:color w:val="000000"/>
        </w:rPr>
        <w:t xml:space="preserve">Separar mensualmente gastos de administración y gastos de ventas contra presupuesto.</w:t>
      </w:r>
    </w:p>
    <w:p>
      <w:pPr>
        <w:spacing w:after="60"/>
      </w:pPr>
      <w:r>
        <w:rPr>
          <w:b/>
          <w:bCs/>
          <w:color w:val="000000"/>
        </w:rPr>
        <w:t xml:space="preserve">Responsable: </w:t>
      </w:r>
      <w:r>
        <w:rPr>
          <w:color w:val="000000"/>
        </w:rPr>
        <w:t xml:space="preserve">Dirección Administrativa.</w:t>
      </w:r>
    </w:p>
    <w:p>
      <w:pPr>
        <w:spacing w:after="60"/>
      </w:pPr>
      <w:r>
        <w:rPr>
          <w:b/>
          <w:bCs/>
          <w:color w:val="000000"/>
        </w:rPr>
        <w:t xml:space="preserve">Frecuencia: </w:t>
      </w:r>
      <w:r>
        <w:rPr>
          <w:color w:val="000000"/>
        </w:rPr>
        <w:t xml:space="preserve">Mensual, con alerta semanal si aparece una desviación relevante.</w:t>
      </w:r>
    </w:p>
    <w:p>
      <w:pPr>
        <w:spacing w:after="60"/>
      </w:pPr>
      <w:r>
        <w:rPr>
          <w:b/>
          <w:bCs/>
          <w:color w:val="000000"/>
        </w:rPr>
        <w:t xml:space="preserve">Entregable: </w:t>
      </w:r>
      <w:r>
        <w:rPr>
          <w:color w:val="000000"/>
        </w:rPr>
        <w:t xml:space="preserve">Tabla simple con presupuesto, ejecutado, variación y explicación.</w:t>
      </w:r>
    </w:p>
    <w:p>
      <w:pPr>
        <w:spacing w:after="60"/>
      </w:pPr>
      <w:r>
        <w:rPr>
          <w:b/>
          <w:bCs/>
          <w:color w:val="000000"/>
        </w:rPr>
        <w:t xml:space="preserve">Disparador: </w:t>
      </w:r>
      <w:r>
        <w:rPr>
          <w:color w:val="000000"/>
        </w:rPr>
        <w:t xml:space="preserve">Si los gastos operacionales superan presupuesto sin causa aprobada, Pacho debe clasificar el gasto como obligatorio, aplazable o eliminable.</w:t>
      </w:r>
    </w:p>
    <w:p>
      <w:pPr>
        <w:spacing w:after="60"/>
      </w:pPr>
      <w:r>
        <w:rPr>
          <w:b/>
          <w:bCs/>
          <w:color w:val="000000"/>
        </w:rPr>
        <w:t xml:space="preserve">Por qué importa: </w:t>
      </w:r>
      <w:r>
        <w:rPr>
          <w:color w:val="000000"/>
        </w:rPr>
        <w:t xml:space="preserve">Si el aumento de gastos explica gran parte de la caída operacional, el seguimiento no puede concentrarse solo en ventas.</w:t>
      </w:r>
    </w:p>
    <w:p>
      <w:pPr>
        <w:pStyle w:val="Heading2"/>
        <w:spacing w:after="120" w:before="240"/>
      </w:pPr>
      <w:r>
        <w:rPr>
          <w:b/>
          <w:bCs/>
          <w:color w:val="000000"/>
          <w:sz w:val="23"/>
          <w:szCs w:val="23"/>
        </w:rPr>
        <w:t xml:space="preserve">2. Regla de margen mínimo por negocio</w:t>
      </w:r>
    </w:p>
    <w:p>
      <w:pPr>
        <w:spacing w:after="60"/>
      </w:pPr>
      <w:r>
        <w:rPr>
          <w:b/>
          <w:bCs/>
          <w:color w:val="000000"/>
        </w:rPr>
        <w:t xml:space="preserve">Acción: </w:t>
      </w:r>
      <w:r>
        <w:rPr>
          <w:color w:val="000000"/>
        </w:rPr>
        <w:t xml:space="preserve">Toda licitación, venta grande o negocio especial debe reportar margen esperado antes de avanzar.</w:t>
      </w:r>
    </w:p>
    <w:p>
      <w:pPr>
        <w:spacing w:after="60"/>
      </w:pPr>
      <w:r>
        <w:rPr>
          <w:b/>
          <w:bCs/>
          <w:color w:val="000000"/>
        </w:rPr>
        <w:t xml:space="preserve">Responsable: </w:t>
      </w:r>
      <w:r>
        <w:rPr>
          <w:color w:val="000000"/>
        </w:rPr>
        <w:t xml:space="preserve">Dirección Comercial, con validación de Compras cuando el margen dependa de proveedor, disponibilidad, importación o costo especial.</w:t>
      </w:r>
    </w:p>
    <w:p>
      <w:pPr>
        <w:spacing w:after="60"/>
      </w:pPr>
      <w:r>
        <w:rPr>
          <w:b/>
          <w:bCs/>
          <w:color w:val="000000"/>
        </w:rPr>
        <w:t xml:space="preserve">Frecuencia: </w:t>
      </w:r>
      <w:r>
        <w:rPr>
          <w:color w:val="000000"/>
        </w:rPr>
        <w:t xml:space="preserve">Antes de presentar o cerrar cada negocio relevante.</w:t>
      </w:r>
    </w:p>
    <w:p>
      <w:pPr>
        <w:spacing w:after="60"/>
      </w:pPr>
      <w:r>
        <w:rPr>
          <w:b/>
          <w:bCs/>
          <w:color w:val="000000"/>
        </w:rPr>
        <w:t xml:space="preserve">Entregable: </w:t>
      </w:r>
      <w:r>
        <w:rPr>
          <w:color w:val="000000"/>
        </w:rPr>
        <w:t xml:space="preserve">Ficha de negocio con cliente, valor, margen esperado, proveedor crítico, riesgo de cumplimiento y decisión requerida.</w:t>
      </w:r>
    </w:p>
    <w:p>
      <w:pPr>
        <w:spacing w:after="60"/>
      </w:pPr>
      <w:r>
        <w:rPr>
          <w:b/>
          <w:bCs/>
          <w:color w:val="000000"/>
        </w:rPr>
        <w:t xml:space="preserve">Disparador: </w:t>
      </w:r>
      <w:r>
        <w:rPr>
          <w:color w:val="000000"/>
        </w:rPr>
        <w:t xml:space="preserve">Si el margen está por debajo del mínimo definido por Pacho, el negocio solo avanza con aprobación explícita.</w:t>
      </w:r>
    </w:p>
    <w:p>
      <w:pPr>
        <w:spacing w:after="60"/>
      </w:pPr>
      <w:r>
        <w:rPr>
          <w:b/>
          <w:bCs/>
          <w:color w:val="000000"/>
        </w:rPr>
        <w:t xml:space="preserve">Por qué importa: </w:t>
      </w:r>
      <w:r>
        <w:rPr>
          <w:color w:val="000000"/>
        </w:rPr>
        <w:t xml:space="preserve">Más ventas no necesariamente significan mejor resultado. Volumen sin margen puede empeorar el cierre.</w:t>
      </w:r>
    </w:p>
    <w:p>
      <w:pPr>
        <w:pStyle w:val="Heading2"/>
        <w:spacing w:after="120" w:before="240"/>
      </w:pPr>
      <w:r>
        <w:rPr>
          <w:b/>
          <w:bCs/>
          <w:color w:val="000000"/>
          <w:sz w:val="23"/>
          <w:szCs w:val="23"/>
        </w:rPr>
        <w:t xml:space="preserve">3. Seguimiento de facturación y reprocesos</w:t>
      </w:r>
    </w:p>
    <w:p>
      <w:pPr>
        <w:spacing w:after="60"/>
      </w:pPr>
      <w:r>
        <w:rPr>
          <w:b/>
          <w:bCs/>
          <w:color w:val="000000"/>
        </w:rPr>
        <w:t xml:space="preserve">Acción: </w:t>
      </w:r>
      <w:r>
        <w:rPr>
          <w:color w:val="000000"/>
        </w:rPr>
        <w:t xml:space="preserve">Registrar notas crédito, refacturaciones y facturas bloqueadas con causa.</w:t>
      </w:r>
    </w:p>
    <w:p>
      <w:pPr>
        <w:spacing w:after="60"/>
      </w:pPr>
      <w:r>
        <w:rPr>
          <w:b/>
          <w:bCs/>
          <w:color w:val="000000"/>
        </w:rPr>
        <w:t xml:space="preserve">Responsable: </w:t>
      </w:r>
      <w:r>
        <w:rPr>
          <w:color w:val="000000"/>
        </w:rPr>
        <w:t xml:space="preserve">Dirección Administrativa.</w:t>
      </w:r>
    </w:p>
    <w:p>
      <w:pPr>
        <w:spacing w:after="60"/>
      </w:pPr>
      <w:r>
        <w:rPr>
          <w:b/>
          <w:bCs/>
          <w:color w:val="000000"/>
        </w:rPr>
        <w:t xml:space="preserve">Frecuencia: </w:t>
      </w:r>
      <w:r>
        <w:rPr>
          <w:color w:val="000000"/>
        </w:rPr>
        <w:t xml:space="preserve">Semanal para alertas; mensual para consolidado.</w:t>
      </w:r>
    </w:p>
    <w:p>
      <w:pPr>
        <w:spacing w:after="60"/>
      </w:pPr>
      <w:r>
        <w:rPr>
          <w:b/>
          <w:bCs/>
          <w:color w:val="000000"/>
        </w:rPr>
        <w:t xml:space="preserve">Entregable: </w:t>
      </w:r>
      <w:r>
        <w:rPr>
          <w:color w:val="000000"/>
        </w:rPr>
        <w:t xml:space="preserve">Causas mínimas: error comercial, datos incompletos del cliente, mercancía en tránsito, precio o costo incorrecto, documento faltante, error de facturación, otra causa.</w:t>
      </w:r>
    </w:p>
    <w:p>
      <w:pPr>
        <w:spacing w:after="60"/>
      </w:pPr>
      <w:r>
        <w:rPr>
          <w:b/>
          <w:bCs/>
          <w:color w:val="000000"/>
        </w:rPr>
        <w:t xml:space="preserve">Disparador: </w:t>
      </w:r>
      <w:r>
        <w:rPr>
          <w:color w:val="000000"/>
        </w:rPr>
        <w:t xml:space="preserve">Si una causa se repite más de tres veces en el mes, debe convertirse en acción correctiva con responsable y fecha.</w:t>
      </w:r>
    </w:p>
    <w:p>
      <w:pPr>
        <w:spacing w:after="60"/>
      </w:pPr>
      <w:r>
        <w:rPr>
          <w:b/>
          <w:bCs/>
          <w:color w:val="000000"/>
        </w:rPr>
        <w:t xml:space="preserve">Por qué importa: </w:t>
      </w:r>
      <w:r>
        <w:rPr>
          <w:color w:val="000000"/>
        </w:rPr>
        <w:t xml:space="preserve">Administrativa ya señaló reprocesos frecuentes. Si no se mide la causa, se seguirá tratando como molestia operativa y no como fuga de tiempo, caja y margen.</w:t>
      </w:r>
    </w:p>
    <w:p>
      <w:pPr>
        <w:pStyle w:val="Heading2"/>
        <w:spacing w:after="120" w:before="240"/>
      </w:pPr>
      <w:r>
        <w:rPr>
          <w:b/>
          <w:bCs/>
          <w:color w:val="000000"/>
          <w:sz w:val="23"/>
          <w:szCs w:val="23"/>
        </w:rPr>
        <w:t xml:space="preserve">4. Control de licitaciones en ejecución</w:t>
      </w:r>
    </w:p>
    <w:p>
      <w:pPr>
        <w:spacing w:after="60"/>
      </w:pPr>
      <w:r>
        <w:rPr>
          <w:b/>
          <w:bCs/>
          <w:color w:val="000000"/>
        </w:rPr>
        <w:t xml:space="preserve">Acción: </w:t>
      </w:r>
      <w:r>
        <w:rPr>
          <w:color w:val="000000"/>
        </w:rPr>
        <w:t xml:space="preserve">No seguir solo licitaciones por probabilidad de cierre; seguir también la ejecución de las ganadas o casi ganadas.</w:t>
      </w:r>
    </w:p>
    <w:p>
      <w:pPr>
        <w:spacing w:after="60"/>
      </w:pPr>
      <w:r>
        <w:rPr>
          <w:b/>
          <w:bCs/>
          <w:color w:val="000000"/>
        </w:rPr>
        <w:t xml:space="preserve">Responsable: </w:t>
      </w:r>
      <w:r>
        <w:rPr>
          <w:color w:val="000000"/>
        </w:rPr>
        <w:t xml:space="preserve">Comercial como dueño del negocio; Compras y Logística como dueños de cumplimiento.</w:t>
      </w:r>
    </w:p>
    <w:p>
      <w:pPr>
        <w:spacing w:after="60"/>
      </w:pPr>
      <w:r>
        <w:rPr>
          <w:b/>
          <w:bCs/>
          <w:color w:val="000000"/>
        </w:rPr>
        <w:t xml:space="preserve">Frecuencia: </w:t>
      </w:r>
      <w:r>
        <w:rPr>
          <w:color w:val="000000"/>
        </w:rPr>
        <w:t xml:space="preserve">Semanal.</w:t>
      </w:r>
    </w:p>
    <w:p>
      <w:pPr>
        <w:spacing w:after="60"/>
      </w:pPr>
      <w:r>
        <w:rPr>
          <w:b/>
          <w:bCs/>
          <w:color w:val="000000"/>
        </w:rPr>
        <w:t xml:space="preserve">Entregable: </w:t>
      </w:r>
      <w:r>
        <w:rPr>
          <w:color w:val="000000"/>
        </w:rPr>
        <w:t xml:space="preserve">Campos mínimos: cliente, valor, margen esperado, fecha de entrega, certificados requeridos, RF/conversiones o condiciones especiales, proveedor crítico, riesgo de cumplimiento, responsable, decisión pendiente.</w:t>
      </w:r>
    </w:p>
    <w:p>
      <w:pPr>
        <w:spacing w:after="60"/>
      </w:pPr>
      <w:r>
        <w:rPr>
          <w:b/>
          <w:bCs/>
          <w:color w:val="000000"/>
        </w:rPr>
        <w:t xml:space="preserve">Disparador: </w:t>
      </w:r>
      <w:r>
        <w:rPr>
          <w:color w:val="000000"/>
        </w:rPr>
        <w:t xml:space="preserve">Si una licitación exige baja rentabilidad, compra anticipada, condición fuera de contrato o riesgo de incumplimiento, debe escalar a Pacho.</w:t>
      </w:r>
    </w:p>
    <w:p>
      <w:pPr>
        <w:spacing w:after="60"/>
      </w:pPr>
      <w:r>
        <w:rPr>
          <w:b/>
          <w:bCs/>
          <w:color w:val="000000"/>
        </w:rPr>
        <w:t xml:space="preserve">Por qué importa: </w:t>
      </w:r>
      <w:r>
        <w:rPr>
          <w:color w:val="000000"/>
        </w:rPr>
        <w:t xml:space="preserve">El problema no es solo ganar licitaciones; es cumplirlas sin destruir margen, caja o coordinación interna.</w:t>
      </w:r>
    </w:p>
    <w:p>
      <w:pPr>
        <w:pStyle w:val="Heading2"/>
        <w:spacing w:after="120" w:before="240"/>
      </w:pPr>
      <w:r>
        <w:rPr>
          <w:b/>
          <w:bCs/>
          <w:color w:val="000000"/>
          <w:sz w:val="23"/>
          <w:szCs w:val="23"/>
        </w:rPr>
        <w:t xml:space="preserve">5. Visibilidad de inventario crítico</w:t>
      </w:r>
    </w:p>
    <w:p>
      <w:pPr>
        <w:spacing w:after="60"/>
      </w:pPr>
      <w:r>
        <w:rPr>
          <w:b/>
          <w:bCs/>
          <w:color w:val="000000"/>
        </w:rPr>
        <w:t xml:space="preserve">Acción: </w:t>
      </w:r>
      <w:r>
        <w:rPr>
          <w:color w:val="000000"/>
        </w:rPr>
        <w:t xml:space="preserve">Hacer visible el inventario que puede afectar caja o margen, sin tomar todavía la decisión de liquidarlo.</w:t>
      </w:r>
    </w:p>
    <w:p>
      <w:pPr>
        <w:spacing w:after="60"/>
      </w:pPr>
      <w:r>
        <w:rPr>
          <w:b/>
          <w:bCs/>
          <w:color w:val="000000"/>
        </w:rPr>
        <w:t xml:space="preserve">Responsable: </w:t>
      </w:r>
      <w:r>
        <w:rPr>
          <w:color w:val="000000"/>
        </w:rPr>
        <w:t xml:space="preserve">Compras y Logística.</w:t>
      </w:r>
    </w:p>
    <w:p>
      <w:pPr>
        <w:spacing w:after="60"/>
      </w:pPr>
      <w:r>
        <w:rPr>
          <w:b/>
          <w:bCs/>
          <w:color w:val="000000"/>
        </w:rPr>
        <w:t xml:space="preserve">Frecuencia: </w:t>
      </w:r>
      <w:r>
        <w:rPr>
          <w:color w:val="000000"/>
        </w:rPr>
        <w:t xml:space="preserve">Corte mensual.</w:t>
      </w:r>
    </w:p>
    <w:p>
      <w:pPr>
        <w:spacing w:after="60"/>
      </w:pPr>
      <w:r>
        <w:rPr>
          <w:b/>
          <w:bCs/>
          <w:color w:val="000000"/>
        </w:rPr>
        <w:t xml:space="preserve">Entregable: </w:t>
      </w:r>
      <w:r>
        <w:rPr>
          <w:color w:val="000000"/>
        </w:rPr>
        <w:t xml:space="preserve">Clasificación mínima: vendible rápido, comprometido en contrato, obsoleto, controlado o regulado, compra anticipada, remisión no facturada.</w:t>
      </w:r>
    </w:p>
    <w:p>
      <w:pPr>
        <w:spacing w:after="60"/>
      </w:pPr>
      <w:r>
        <w:rPr>
          <w:b/>
          <w:bCs/>
          <w:color w:val="000000"/>
        </w:rPr>
        <w:t xml:space="preserve">Disparador: </w:t>
      </w:r>
      <w:r>
        <w:rPr>
          <w:color w:val="000000"/>
        </w:rPr>
        <w:t xml:space="preserve">Si inventario obsoleto o compras anticipadas superan el umbral que defina Pacho, pasa a decisión separada para 2027 o a comité especial.</w:t>
      </w:r>
    </w:p>
    <w:p>
      <w:pPr>
        <w:spacing w:after="60"/>
      </w:pPr>
      <w:r>
        <w:rPr>
          <w:b/>
          <w:bCs/>
          <w:color w:val="000000"/>
        </w:rPr>
        <w:t xml:space="preserve">Por qué importa: </w:t>
      </w:r>
      <w:r>
        <w:rPr>
          <w:color w:val="000000"/>
        </w:rPr>
        <w:t xml:space="preserve">Liquidar inventario puede exceder el margen de maniobra de 2026, pero no verlo impide saber cuánta caja o margen está atrapado.</w:t>
      </w:r>
    </w:p>
    <w:p>
      <w:pPr>
        <w:pStyle w:val="Heading2"/>
        <w:spacing w:after="120" w:before="240"/>
      </w:pPr>
      <w:r>
        <w:rPr>
          <w:b/>
          <w:bCs/>
          <w:color w:val="000000"/>
          <w:sz w:val="23"/>
          <w:szCs w:val="23"/>
        </w:rPr>
        <w:t xml:space="preserve">6. Control de datos base para 2027</w:t>
      </w:r>
    </w:p>
    <w:p>
      <w:pPr>
        <w:spacing w:after="60"/>
      </w:pPr>
      <w:r>
        <w:rPr>
          <w:b/>
          <w:bCs/>
          <w:color w:val="000000"/>
        </w:rPr>
        <w:t xml:space="preserve">Acción: </w:t>
      </w:r>
      <w:r>
        <w:rPr>
          <w:color w:val="000000"/>
        </w:rPr>
        <w:t xml:space="preserve">Durante la rutina 2026, capturar solo los datos necesarios para no arrancar 2027 a ciegas.</w:t>
      </w:r>
    </w:p>
    <w:p>
      <w:pPr>
        <w:spacing w:after="60"/>
      </w:pPr>
      <w:r>
        <w:rPr>
          <w:b/>
          <w:bCs/>
          <w:color w:val="000000"/>
        </w:rPr>
        <w:t xml:space="preserve">Responsable: </w:t>
      </w:r>
      <w:r>
        <w:rPr>
          <w:color w:val="000000"/>
        </w:rPr>
        <w:t xml:space="preserve">Cada líder según su área.</w:t>
      </w:r>
    </w:p>
    <w:p>
      <w:pPr>
        <w:spacing w:after="60"/>
      </w:pPr>
      <w:r>
        <w:rPr>
          <w:b/>
          <w:bCs/>
          <w:color w:val="000000"/>
        </w:rPr>
        <w:t xml:space="preserve">Frecuencia: </w:t>
      </w:r>
      <w:r>
        <w:rPr>
          <w:color w:val="000000"/>
        </w:rPr>
        <w:t xml:space="preserve">Continua, con revisión de faltantes al cierre de noviembre.</w:t>
      </w:r>
    </w:p>
    <w:p>
      <w:pPr>
        <w:spacing w:after="60"/>
      </w:pPr>
      <w:r>
        <w:rPr>
          <w:b/>
          <w:bCs/>
          <w:color w:val="000000"/>
        </w:rPr>
        <w:t xml:space="preserve">Entregable: </w:t>
      </w:r>
      <w:r>
        <w:rPr>
          <w:color w:val="000000"/>
        </w:rPr>
        <w:t xml:space="preserve">Datos mínimos: ventas y margen por línea, ventas y margen por cliente o grupo de clientes, clientes recurrentes y porcentaje de facturación, licitaciones perdidas y causa probable, valor real de inventario obsoleto, compras anticipadas y remisiones no facturadas, funciones de APL/APLINSA rotas, subutilizadas o recuperables rápido.</w:t>
      </w:r>
    </w:p>
    <w:p>
      <w:pPr>
        <w:spacing w:after="60"/>
      </w:pPr>
      <w:r>
        <w:rPr>
          <w:b/>
          <w:bCs/>
          <w:color w:val="000000"/>
        </w:rPr>
        <w:t xml:space="preserve">Disparador: </w:t>
      </w:r>
      <w:r>
        <w:rPr>
          <w:color w:val="000000"/>
        </w:rPr>
        <w:t xml:space="preserve">Si un dato no está disponible al cierre de noviembre, debe quedar como bloqueo explícito para la planeación 2027.</w:t>
      </w:r>
    </w:p>
    <w:p>
      <w:pPr>
        <w:spacing w:after="60"/>
      </w:pPr>
      <w:r>
        <w:rPr>
          <w:b/>
          <w:bCs/>
          <w:color w:val="000000"/>
        </w:rPr>
        <w:t xml:space="preserve">Por qué importa: </w:t>
      </w:r>
      <w:r>
        <w:rPr>
          <w:color w:val="000000"/>
        </w:rPr>
        <w:t xml:space="preserve">2027 necesita línea base, no otra ronda de percepciones.</w:t>
      </w:r>
    </w:p>
    <w:p>
      <w:pPr>
        <w:pStyle w:val="Heading1"/>
        <w:pBdr>
          <w:bottom w:val="single" w:color="999999" w:sz="4" w:space="4"/>
        </w:pBdr>
        <w:spacing w:after="160" w:before="360"/>
      </w:pPr>
      <w:r>
        <w:rPr>
          <w:b/>
          <w:bCs/>
          <w:color w:val="000000"/>
          <w:sz w:val="26"/>
          <w:szCs w:val="26"/>
        </w:rPr>
        <w:t xml:space="preserve">Lo que no entra en la contingencia 2026</w:t>
      </w:r>
    </w:p>
    <w:p>
      <w:pPr>
        <w:pStyle w:val="ListParagraph"/>
        <w:numPr>
          <w:ilvl w:val="0"/>
          <w:numId w:val="2"/>
        </w:numPr>
        <w:spacing w:after="100"/>
      </w:pPr>
      <w:r>
        <w:rPr>
          <w:color w:val="000000"/>
        </w:rPr>
        <w:t xml:space="preserve">No rediseñar portafolio.</w:t>
      </w:r>
    </w:p>
    <w:p>
      <w:pPr>
        <w:pStyle w:val="ListParagraph"/>
        <w:numPr>
          <w:ilvl w:val="0"/>
          <w:numId w:val="2"/>
        </w:numPr>
        <w:spacing w:after="100"/>
      </w:pPr>
      <w:r>
        <w:rPr>
          <w:color w:val="000000"/>
        </w:rPr>
        <w:t xml:space="preserve">No prometer crecimiento real de 20 por ciento.</w:t>
      </w:r>
    </w:p>
    <w:p>
      <w:pPr>
        <w:pStyle w:val="ListParagraph"/>
        <w:numPr>
          <w:ilvl w:val="0"/>
          <w:numId w:val="2"/>
        </w:numPr>
        <w:spacing w:after="100"/>
      </w:pPr>
      <w:r>
        <w:rPr>
          <w:color w:val="000000"/>
        </w:rPr>
        <w:t xml:space="preserve">No lanzar IA sobre datos maestros sucios.</w:t>
      </w:r>
    </w:p>
    <w:p>
      <w:pPr>
        <w:pStyle w:val="ListParagraph"/>
        <w:numPr>
          <w:ilvl w:val="0"/>
          <w:numId w:val="2"/>
        </w:numPr>
        <w:spacing w:after="100"/>
      </w:pPr>
      <w:r>
        <w:rPr>
          <w:color w:val="000000"/>
        </w:rPr>
        <w:t xml:space="preserve">No tratar más licitaciones como sinónimo automático de mejora.</w:t>
      </w:r>
    </w:p>
    <w:p>
      <w:pPr>
        <w:pStyle w:val="ListParagraph"/>
        <w:numPr>
          <w:ilvl w:val="0"/>
          <w:numId w:val="2"/>
        </w:numPr>
        <w:spacing w:after="100"/>
      </w:pPr>
      <w:r>
        <w:rPr>
          <w:color w:val="000000"/>
        </w:rPr>
        <w:t xml:space="preserve">No resolver Merck dentro de la reunión mensual.</w:t>
      </w:r>
    </w:p>
    <w:p>
      <w:pPr>
        <w:pStyle w:val="ListParagraph"/>
        <w:numPr>
          <w:ilvl w:val="0"/>
          <w:numId w:val="2"/>
        </w:numPr>
        <w:spacing w:after="100"/>
      </w:pPr>
      <w:r>
        <w:rPr>
          <w:color w:val="000000"/>
        </w:rPr>
        <w:t xml:space="preserve">No liquidar inventario obsoleto sin análisis separado.</w:t>
      </w:r>
    </w:p>
    <w:p>
      <w:pPr>
        <w:pStyle w:val="ListParagraph"/>
        <w:numPr>
          <w:ilvl w:val="0"/>
          <w:numId w:val="2"/>
        </w:numPr>
        <w:spacing w:after="100"/>
      </w:pPr>
      <w:r>
        <w:rPr>
          <w:color w:val="000000"/>
        </w:rPr>
        <w:t xml:space="preserve">No convertir la contingencia en transformación cultural completa.</w:t>
      </w:r>
    </w:p>
    <w:p>
      <w:pPr>
        <w:pStyle w:val="ListParagraph"/>
        <w:numPr>
          <w:ilvl w:val="0"/>
          <w:numId w:val="2"/>
        </w:numPr>
        <w:spacing w:after="100"/>
      </w:pPr>
      <w:r>
        <w:rPr>
          <w:color w:val="000000"/>
        </w:rPr>
        <w:t xml:space="preserve">No abrir seis frentes simultáneos bajo el nombre de “contingencia”.</w:t>
      </w:r>
    </w:p>
    <w:p>
      <w:pPr>
        <w:pStyle w:val="Heading1"/>
        <w:pBdr>
          <w:bottom w:val="single" w:color="999999" w:sz="4" w:space="4"/>
        </w:pBdr>
        <w:spacing w:after="160" w:before="360"/>
      </w:pPr>
      <w:r>
        <w:rPr>
          <w:b/>
          <w:bCs/>
          <w:color w:val="000000"/>
          <w:sz w:val="26"/>
          <w:szCs w:val="26"/>
        </w:rPr>
        <w:t xml:space="preserve">Camino feliz</w:t>
      </w:r>
    </w:p>
    <w:p>
      <w:pPr>
        <w:spacing w:after="160"/>
      </w:pPr>
      <w:r>
        <w:rPr>
          <w:i w:val="false"/>
          <w:iCs w:val="false"/>
          <w:color w:val="000000"/>
        </w:rPr>
        <w:t xml:space="preserve">Para diciembre de 2026, la empresa tiene una rutina sostenida de seguimiento semanal y cierre mensual. Pacho puede distinguir si una desviación viene de ventas, margen, gasto, facturación, licitación, inventario o bloqueo entre áreas. Las licitaciones del segundo semestre están visibles antes de convertirse en conflicto operativo. Los reportes dejan al menos una decisión documentada por ciclo. Y la planeación 2027 arranca con datos comparables y no solo con hipótesis.</w:t>
      </w:r>
    </w:p>
    <w:p>
      <w:pPr>
        <w:pStyle w:val="Heading1"/>
        <w:pBdr>
          <w:bottom w:val="single" w:color="999999" w:sz="4" w:space="4"/>
        </w:pBdr>
        <w:spacing w:after="160" w:before="360"/>
      </w:pPr>
      <w:r>
        <w:rPr>
          <w:b/>
          <w:bCs/>
          <w:color w:val="000000"/>
          <w:sz w:val="26"/>
          <w:szCs w:val="26"/>
        </w:rPr>
        <w:t xml:space="preserve">Caminos tristes</w:t>
      </w:r>
    </w:p>
    <w:p>
      <w:pPr>
        <w:pStyle w:val="Heading2"/>
        <w:spacing w:after="120" w:before="240"/>
      </w:pPr>
      <w:r>
        <w:rPr>
          <w:b/>
          <w:bCs/>
          <w:color w:val="000000"/>
          <w:sz w:val="23"/>
          <w:szCs w:val="23"/>
        </w:rPr>
        <w:t xml:space="preserve">Camino triste 1: el seguimiento se vuelve otro reporte manual</w:t>
      </w:r>
    </w:p>
    <w:p>
      <w:pPr>
        <w:spacing w:after="160"/>
      </w:pPr>
      <w:r>
        <w:rPr>
          <w:i w:val="false"/>
          <w:iCs w:val="false"/>
          <w:color w:val="000000"/>
        </w:rPr>
        <w:t xml:space="preserve">Señal temprana: alguien debe armar un Excel pesado cada mes cruzando información de APL manualmente. Respuesta: recortar la plantilla a menos indicadores, pero exigir decisión registrada.</w:t>
      </w:r>
    </w:p>
    <w:p>
      <w:pPr>
        <w:pStyle w:val="Heading2"/>
        <w:spacing w:after="120" w:before="240"/>
      </w:pPr>
      <w:r>
        <w:rPr>
          <w:b/>
          <w:bCs/>
          <w:color w:val="000000"/>
          <w:sz w:val="23"/>
          <w:szCs w:val="23"/>
        </w:rPr>
        <w:t xml:space="preserve">Camino triste 2: se mide más, pero nadie decide</w:t>
      </w:r>
    </w:p>
    <w:p>
      <w:pPr>
        <w:spacing w:after="160"/>
      </w:pPr>
      <w:r>
        <w:rPr>
          <w:i w:val="false"/>
          <w:iCs w:val="false"/>
          <w:color w:val="000000"/>
        </w:rPr>
        <w:t xml:space="preserve">Señal temprana: la reunión identifica desviaciones, pero Pacho no toma decisiones ni pide responsables. Respuesta: no cerrar la reunión sin una de tres salidas: acción, decisión o traslado explícito a 2027.</w:t>
      </w:r>
    </w:p>
    <w:p>
      <w:pPr>
        <w:pStyle w:val="Heading2"/>
        <w:spacing w:after="120" w:before="240"/>
      </w:pPr>
      <w:r>
        <w:rPr>
          <w:b/>
          <w:bCs/>
          <w:color w:val="000000"/>
          <w:sz w:val="23"/>
          <w:szCs w:val="23"/>
        </w:rPr>
        <w:t xml:space="preserve">Camino triste 3: Pacho no sostiene la cadencia</w:t>
      </w:r>
    </w:p>
    <w:p>
      <w:pPr>
        <w:spacing w:after="160"/>
      </w:pPr>
      <w:r>
        <w:rPr>
          <w:i w:val="false"/>
          <w:iCs w:val="false"/>
          <w:color w:val="000000"/>
        </w:rPr>
        <w:t xml:space="preserve">Señal temprana: se cancelan reuniones por operación diaria o cierre de licitaciones. Respuesta: mantener revisión semanal de alertas aunque se reduzca a 20 minutos.</w:t>
      </w:r>
    </w:p>
    <w:p>
      <w:pPr>
        <w:pStyle w:val="Heading2"/>
        <w:spacing w:after="120" w:before="240"/>
      </w:pPr>
      <w:r>
        <w:rPr>
          <w:b/>
          <w:bCs/>
          <w:color w:val="000000"/>
          <w:sz w:val="23"/>
          <w:szCs w:val="23"/>
        </w:rPr>
        <w:t xml:space="preserve">Camino triste 4: se atribuye la recuperación al plan sin probarlo</w:t>
      </w:r>
    </w:p>
    <w:p>
      <w:pPr>
        <w:spacing w:after="160"/>
      </w:pPr>
      <w:r>
        <w:rPr>
          <w:i w:val="false"/>
          <w:iCs w:val="false"/>
          <w:color w:val="000000"/>
        </w:rPr>
        <w:t xml:space="preserve">Señal temprana: el segundo semestre mejora y se asume que fue por la rutina. Respuesta: pedir desagregado mensual 2023-2025 para distinguir estacionalidad, licitaciones ganadas, repunte privado y cambio real de gestión.</w:t>
      </w:r>
    </w:p>
    <w:p>
      <w:pPr>
        <w:pStyle w:val="Heading2"/>
        <w:spacing w:after="120" w:before="240"/>
      </w:pPr>
      <w:r>
        <w:rPr>
          <w:b/>
          <w:bCs/>
          <w:color w:val="000000"/>
          <w:sz w:val="23"/>
          <w:szCs w:val="23"/>
        </w:rPr>
        <w:t xml:space="preserve">Camino triste 5: el plan se contamina con Merck, inventario o portafolio</w:t>
      </w:r>
    </w:p>
    <w:p>
      <w:pPr>
        <w:spacing w:after="160"/>
      </w:pPr>
      <w:r>
        <w:rPr>
          <w:i w:val="false"/>
          <w:iCs w:val="false"/>
          <w:color w:val="000000"/>
        </w:rPr>
        <w:t xml:space="preserve">Señal temprana: la reunión se concentra en renegociar proveedor, liquidar inventario o diseñar nuevas líneas. Respuesta: registrar el tema como pendiente 2027 o decisión especial. La reunión 2026 vuelve a presupuesto, margen, gasto, facturación, licitaciones e inventario visible.</w:t>
      </w:r>
    </w:p>
    <w:p>
      <w:pPr>
        <w:pStyle w:val="Heading1"/>
        <w:pBdr>
          <w:bottom w:val="single" w:color="999999" w:sz="4" w:space="4"/>
        </w:pBdr>
        <w:spacing w:after="160" w:before="360"/>
      </w:pPr>
      <w:r>
        <w:rPr>
          <w:b/>
          <w:bCs/>
          <w:color w:val="000000"/>
          <w:sz w:val="26"/>
          <w:szCs w:val="26"/>
        </w:rPr>
        <w:t xml:space="preserve">Qué necesita decidir Pacho para arrancar</w:t>
      </w:r>
    </w:p>
    <w:p>
      <w:pPr>
        <w:pStyle w:val="ListParagraph"/>
        <w:numPr>
          <w:ilvl w:val="0"/>
          <w:numId w:val="2"/>
        </w:numPr>
        <w:spacing w:after="100"/>
      </w:pPr>
      <w:r>
        <w:rPr>
          <w:color w:val="000000"/>
        </w:rPr>
        <w:t xml:space="preserve">Convocar y sostener él mismo la reunión mensual.</w:t>
      </w:r>
    </w:p>
    <w:p>
      <w:pPr>
        <w:pStyle w:val="ListParagraph"/>
        <w:numPr>
          <w:ilvl w:val="0"/>
          <w:numId w:val="2"/>
        </w:numPr>
        <w:spacing w:after="100"/>
      </w:pPr>
      <w:r>
        <w:rPr>
          <w:color w:val="000000"/>
        </w:rPr>
        <w:t xml:space="preserve">Aprobar la revisión semanal de alertas.</w:t>
      </w:r>
    </w:p>
    <w:p>
      <w:pPr>
        <w:pStyle w:val="ListParagraph"/>
        <w:numPr>
          <w:ilvl w:val="0"/>
          <w:numId w:val="2"/>
        </w:numPr>
        <w:spacing w:after="100"/>
      </w:pPr>
      <w:r>
        <w:rPr>
          <w:color w:val="000000"/>
        </w:rPr>
        <w:t xml:space="preserve">Definir qué cuenta como decisión registrada.</w:t>
      </w:r>
    </w:p>
    <w:p>
      <w:pPr>
        <w:pStyle w:val="ListParagraph"/>
        <w:numPr>
          <w:ilvl w:val="0"/>
          <w:numId w:val="2"/>
        </w:numPr>
        <w:spacing w:after="100"/>
      </w:pPr>
      <w:r>
        <w:rPr>
          <w:color w:val="000000"/>
        </w:rPr>
        <w:t xml:space="preserve">Confirmar fecha de arranque: septiembre directo o julio-agosto como corte retroactivo.</w:t>
      </w:r>
    </w:p>
    <w:p>
      <w:pPr>
        <w:pStyle w:val="ListParagraph"/>
        <w:numPr>
          <w:ilvl w:val="0"/>
          <w:numId w:val="2"/>
        </w:numPr>
        <w:spacing w:after="100"/>
      </w:pPr>
      <w:r>
        <w:rPr>
          <w:color w:val="000000"/>
        </w:rPr>
        <w:t xml:space="preserve">Autorizar la corrección de cifras comparativas que aún tienen problema de denominador.</w:t>
      </w:r>
    </w:p>
    <w:p>
      <w:pPr>
        <w:pStyle w:val="ListParagraph"/>
        <w:numPr>
          <w:ilvl w:val="0"/>
          <w:numId w:val="2"/>
        </w:numPr>
        <w:spacing w:after="100"/>
      </w:pPr>
      <w:r>
        <w:rPr>
          <w:color w:val="000000"/>
        </w:rPr>
        <w:t xml:space="preserve">Pedir, si es posible, desagregado mensual 2023-2025 para probar estacionalidad.</w:t>
      </w:r>
    </w:p>
    <w:p>
      <w:pPr>
        <w:pStyle w:val="ListParagraph"/>
        <w:numPr>
          <w:ilvl w:val="0"/>
          <w:numId w:val="2"/>
        </w:numPr>
        <w:spacing w:after="100"/>
      </w:pPr>
      <w:r>
        <w:rPr>
          <w:color w:val="000000"/>
        </w:rPr>
        <w:t xml:space="preserve">Definir umbral mínimo de margen o regla de aprobación para negocios por debajo del margen esperado.</w:t>
      </w:r>
    </w:p>
    <w:p>
      <w:pPr>
        <w:pStyle w:val="Heading1"/>
        <w:pBdr>
          <w:bottom w:val="single" w:color="999999" w:sz="4" w:space="4"/>
        </w:pBdr>
        <w:spacing w:after="160" w:before="360"/>
      </w:pPr>
      <w:r>
        <w:rPr>
          <w:b/>
          <w:bCs/>
          <w:color w:val="000000"/>
          <w:sz w:val="26"/>
          <w:szCs w:val="26"/>
        </w:rPr>
        <w:t xml:space="preserve">Indicadores de éxito a revisar en diciembre</w:t>
      </w:r>
    </w:p>
    <w:p>
      <w:pPr>
        <w:pStyle w:val="ListParagraph"/>
        <w:numPr>
          <w:ilvl w:val="0"/>
          <w:numId w:val="2"/>
        </w:numPr>
        <w:spacing w:after="100"/>
      </w:pPr>
      <w:r>
        <w:rPr>
          <w:color w:val="000000"/>
        </w:rPr>
        <w:t xml:space="preserve">La reunión mensual se sostuvo durante el periodo acordado.</w:t>
      </w:r>
    </w:p>
    <w:p>
      <w:pPr>
        <w:pStyle w:val="ListParagraph"/>
        <w:numPr>
          <w:ilvl w:val="0"/>
          <w:numId w:val="2"/>
        </w:numPr>
        <w:spacing w:after="100"/>
      </w:pPr>
      <w:r>
        <w:rPr>
          <w:color w:val="000000"/>
        </w:rPr>
        <w:t xml:space="preserve">La revisión semanal anticipó bloqueos antes del cierre.</w:t>
      </w:r>
    </w:p>
    <w:p>
      <w:pPr>
        <w:pStyle w:val="ListParagraph"/>
        <w:numPr>
          <w:ilvl w:val="0"/>
          <w:numId w:val="2"/>
        </w:numPr>
        <w:spacing w:after="100"/>
      </w:pPr>
      <w:r>
        <w:rPr>
          <w:color w:val="000000"/>
        </w:rPr>
        <w:t xml:space="preserve">Hay al menos una decisión documentada por ciclo mensual.</w:t>
      </w:r>
    </w:p>
    <w:p>
      <w:pPr>
        <w:pStyle w:val="ListParagraph"/>
        <w:numPr>
          <w:ilvl w:val="0"/>
          <w:numId w:val="2"/>
        </w:numPr>
        <w:spacing w:after="100"/>
      </w:pPr>
      <w:r>
        <w:rPr>
          <w:color w:val="000000"/>
        </w:rPr>
        <w:t xml:space="preserve">Las desviaciones principales tienen causa concreta.</w:t>
      </w:r>
    </w:p>
    <w:p>
      <w:pPr>
        <w:pStyle w:val="ListParagraph"/>
        <w:numPr>
          <w:ilvl w:val="0"/>
          <w:numId w:val="2"/>
        </w:numPr>
        <w:spacing w:after="100"/>
      </w:pPr>
      <w:r>
        <w:rPr>
          <w:color w:val="000000"/>
        </w:rPr>
        <w:t xml:space="preserve">Se corrigieron las cifras comparativas necesarias para hablar de 2026 contra 2025.</w:t>
      </w:r>
    </w:p>
    <w:p>
      <w:pPr>
        <w:pStyle w:val="ListParagraph"/>
        <w:numPr>
          <w:ilvl w:val="0"/>
          <w:numId w:val="2"/>
        </w:numPr>
        <w:spacing w:after="100"/>
      </w:pPr>
      <w:r>
        <w:rPr>
          <w:color w:val="000000"/>
        </w:rPr>
        <w:t xml:space="preserve">Se puede distinguir cuánto de la recuperación viene de estacionalidad, licitaciones, repunte privado o cambio de gestión.</w:t>
      </w:r>
    </w:p>
    <w:p>
      <w:pPr>
        <w:pStyle w:val="ListParagraph"/>
        <w:numPr>
          <w:ilvl w:val="0"/>
          <w:numId w:val="2"/>
        </w:numPr>
        <w:spacing w:after="100"/>
      </w:pPr>
      <w:r>
        <w:rPr>
          <w:color w:val="000000"/>
        </w:rPr>
        <w:t xml:space="preserve">Existe lista de pendientes 2027 con evidencia mínima, no solo intuición.</w:t>
      </w:r>
    </w:p>
    <w:p>
      <w:pPr>
        <w:pStyle w:val="Heading1"/>
        <w:pBdr>
          <w:bottom w:val="single" w:color="999999" w:sz="4" w:space="4"/>
        </w:pBdr>
        <w:spacing w:after="160" w:before="360"/>
      </w:pPr>
      <w:r>
        <w:rPr>
          <w:b/>
          <w:bCs/>
          <w:color w:val="000000"/>
          <w:sz w:val="26"/>
          <w:szCs w:val="26"/>
        </w:rPr>
        <w:t xml:space="preserve">Punto de partida para 2027</w:t>
      </w:r>
    </w:p>
    <w:p>
      <w:pPr>
        <w:spacing w:after="160"/>
      </w:pPr>
      <w:r>
        <w:rPr>
          <w:i w:val="false"/>
          <w:iCs w:val="false"/>
          <w:color w:val="000000"/>
        </w:rPr>
        <w:t xml:space="preserve">En 2027 deben retomarse los problemas que quedaron fuera de la contingencia 2026, pero solo después de cerrar la fase con datos:</w:t>
      </w:r>
    </w:p>
    <w:p>
      <w:pPr>
        <w:pStyle w:val="ListParagraph"/>
        <w:numPr>
          <w:ilvl w:val="0"/>
          <w:numId w:val="2"/>
        </w:numPr>
        <w:spacing w:after="100"/>
      </w:pPr>
      <w:r>
        <w:rPr>
          <w:color w:val="000000"/>
        </w:rPr>
        <w:t xml:space="preserve">Merck y microbiología: alternativas, homologaciones, margen y clientes perdidos.</w:t>
      </w:r>
    </w:p>
    <w:p>
      <w:pPr>
        <w:pStyle w:val="ListParagraph"/>
        <w:numPr>
          <w:ilvl w:val="0"/>
          <w:numId w:val="2"/>
        </w:numPr>
        <w:spacing w:after="100"/>
      </w:pPr>
      <w:r>
        <w:rPr>
          <w:color w:val="000000"/>
        </w:rPr>
        <w:t xml:space="preserve">Inventario obsoleto y compras anticipadas: valor, impacto en caja, margen y decisión contable.</w:t>
      </w:r>
    </w:p>
    <w:p>
      <w:pPr>
        <w:pStyle w:val="ListParagraph"/>
        <w:numPr>
          <w:ilvl w:val="0"/>
          <w:numId w:val="2"/>
        </w:numPr>
        <w:spacing w:after="100"/>
      </w:pPr>
      <w:r>
        <w:rPr>
          <w:color w:val="000000"/>
        </w:rPr>
        <w:t xml:space="preserve">Clientes públicos perdidos: causa de pérdida, prioridad, recuperación viable y costo comercial.</w:t>
      </w:r>
    </w:p>
    <w:p>
      <w:pPr>
        <w:pStyle w:val="ListParagraph"/>
        <w:numPr>
          <w:ilvl w:val="0"/>
          <w:numId w:val="2"/>
        </w:numPr>
        <w:spacing w:after="100"/>
      </w:pPr>
      <w:r>
        <w:rPr>
          <w:color w:val="000000"/>
        </w:rPr>
        <w:t xml:space="preserve">Evaluación de desempeño: consecuencia, retroalimentación y responsabilidades.</w:t>
      </w:r>
    </w:p>
    <w:p>
      <w:pPr>
        <w:pStyle w:val="ListParagraph"/>
        <w:numPr>
          <w:ilvl w:val="0"/>
          <w:numId w:val="2"/>
        </w:numPr>
        <w:spacing w:after="100"/>
      </w:pPr>
      <w:r>
        <w:rPr>
          <w:color w:val="000000"/>
        </w:rPr>
        <w:t xml:space="preserve">Datos maestros y APL/APLINSA: qué está roto, qué se usa mal y qué puede recuperarse rápido.</w:t>
      </w:r>
    </w:p>
    <w:p>
      <w:pPr>
        <w:spacing w:after="160"/>
      </w:pPr>
      <w:r>
        <w:rPr>
          <w:i w:val="false"/>
          <w:iCs w:val="false"/>
          <w:color w:val="000000"/>
        </w:rPr>
        <w:t xml:space="preserve">La planeación 2027 no debe partir del objetivo de crecimiento real superior al 20 por ciento como compromiso. Ese objetivo puede quedar como aspiración agresiva, pero la meta operativa debe definirse después de revisar margen por línea, clientes recurrentes, gastos operacionales, proveedores críticos y capacidad real de ejecución.</w:t>
      </w:r>
    </w:p>
    <w:p>
      <w:pPr>
        <w:pStyle w:val="Heading1"/>
        <w:pBdr>
          <w:bottom w:val="single" w:color="999999" w:sz="4" w:space="4"/>
        </w:pBdr>
        <w:spacing w:after="160" w:before="360"/>
      </w:pPr>
      <w:r>
        <w:rPr>
          <w:b/>
          <w:bCs/>
          <w:color w:val="000000"/>
          <w:sz w:val="26"/>
          <w:szCs w:val="26"/>
        </w:rPr>
        <w:t xml:space="preserve">Instrucción operativa para Pacho</w:t>
      </w:r>
    </w:p>
    <w:p>
      <w:pPr>
        <w:pBdr>
          <w:left w:val="single" w:color="999999" w:sz="12" w:space="8"/>
        </w:pBdr>
        <w:spacing w:after="160"/>
      </w:pPr>
      <w:r>
        <w:rPr>
          <w:i/>
          <w:iCs/>
          <w:color w:val="000000"/>
        </w:rPr>
        <w:t xml:space="preserve">“Durante lo que resta de 2026 vamos a trabajar un solo frente: disciplina de presupuesto, seguimiento y decisiones. Cada semana revisamos alertas; cada mes cerramos presupuesto contra resultado. Merck, inventario y clientes perdidos no desaparecen, pero en esta fase solo se documentan para decidir bien en 2027. Toda desviación debe terminar en acción correctiva, decisión de Pacho o registro explícito como pendiente 2027.”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2026-08-13T00:40:50.925Z</dcterms:created>
  <dcterms:modified xsi:type="dcterms:W3CDTF">2026-08-13T00:40:50.939Z</dcterms:modified>
</cp:coreProperties>
</file>

<file path=docProps/custom.xml><?xml version="1.0" encoding="utf-8"?>
<Properties xmlns="http://schemas.openxmlformats.org/officeDocument/2006/custom-properties" xmlns:vt="http://schemas.openxmlformats.org/officeDocument/2006/docPropsVTypes"/>
</file>