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pPr>
      <w:r>
        <w:rPr>
          <w:b/>
          <w:bCs/>
          <w:color w:val="000000"/>
          <w:sz w:val="32"/>
          <w:szCs w:val="32"/>
        </w:rPr>
        <w:t xml:space="preserve">Política de margen mínimo</w:t>
      </w:r>
    </w:p>
    <w:p>
      <w:pPr>
        <w:spacing w:after="160" w:line="276"/>
      </w:pPr>
      <w:r>
        <w:rPr>
          <w:i w:val="false"/>
          <w:iCs w:val="false"/>
          <w:color w:val="000000"/>
        </w:rPr>
        <w:t xml:space="preserve">Filtración y Análisis S.A.S. Propuesta para aprobación de la gerencia. Versión del 28 de septiembre de 2026.</w:t>
      </w:r>
    </w:p>
    <w:p>
      <w:pPr>
        <w:spacing w:after="160" w:line="276"/>
      </w:pPr>
      <w:r>
        <w:rPr>
          <w:i w:val="false"/>
          <w:iCs w:val="false"/>
          <w:color w:val="000000"/>
        </w:rPr>
        <w:t xml:space="preserve">Documento construido por el asesor a solicitud de la gerencia, a partir de la decisión de fijar el margen mínimo permitido en 18 por ciento. La decisión del número es de la gerencia; este documento define cómo se aplica.</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La política</w:t>
      </w:r>
    </w:p>
    <w:p>
      <w:pPr>
        <w:pStyle w:val="Heading1"/>
        <w:pBdr>
          <w:bottom w:val="single" w:color="999999" w:sz="4" w:space="4"/>
        </w:pBdr>
        <w:spacing w:after="160" w:before="360"/>
      </w:pPr>
      <w:r>
        <w:rPr>
          <w:b/>
          <w:bCs/>
          <w:color w:val="000000"/>
          <w:sz w:val="26"/>
          <w:szCs w:val="26"/>
        </w:rPr>
        <w:t xml:space="preserve">1. Qué es el margen mínimo</w:t>
      </w:r>
    </w:p>
    <w:p>
      <w:pPr>
        <w:spacing w:after="160" w:line="276"/>
      </w:pPr>
      <w:r>
        <w:rPr>
          <w:i w:val="false"/>
          <w:iCs w:val="false"/>
          <w:color w:val="000000"/>
        </w:rPr>
        <w:t xml:space="preserve">El margen mínimo permitido es 18 por ciento, </w:t>
      </w:r>
      <w:r>
        <w:rPr>
          <w:b/>
          <w:bCs/>
          <w:i w:val="false"/>
          <w:iCs w:val="false"/>
          <w:color w:val="000000"/>
        </w:rPr>
        <w:t xml:space="preserve">medido sobre el margen bruto que reporta APL</w:t>
      </w:r>
      <w:r>
        <w:rPr>
          <w:i w:val="false"/>
          <w:iCs w:val="false"/>
          <w:color w:val="000000"/>
        </w:rPr>
        <w:t xml:space="preserve">.</w:t>
      </w:r>
    </w:p>
    <w:p>
      <w:pPr>
        <w:spacing w:after="160" w:line="276"/>
      </w:pPr>
      <w:r>
        <w:rPr>
          <w:i w:val="false"/>
          <w:iCs w:val="false"/>
          <w:color w:val="000000"/>
        </w:rPr>
        <w:t xml:space="preserve">Esta precisión no es formal. APL y la contabilidad miden distinto: la contabilidad reconoce los descuentos adicionales de proveedor por cumplimiento de metas y APL no, lo que produce una diferencia verificada de 2,66 puntos en 2025. Un 18 por ciento medido en APL equivale a 20,66 por ciento contable. Un 18 por ciento medido en contabilidad equivalería a 15,34 por ciento en APL. Como el tablero se alimenta de APL, la política se expresa en APL y todas las autorizaciones se calculan sobre esa fuente.</w:t>
      </w:r>
    </w:p>
    <w:p>
      <w:pPr>
        <w:pStyle w:val="Heading1"/>
        <w:pBdr>
          <w:bottom w:val="single" w:color="999999" w:sz="4" w:space="4"/>
        </w:pBdr>
        <w:spacing w:after="160" w:before="360"/>
      </w:pPr>
      <w:r>
        <w:rPr>
          <w:b/>
          <w:bCs/>
          <w:color w:val="000000"/>
          <w:sz w:val="26"/>
          <w:szCs w:val="26"/>
        </w:rPr>
        <w:t xml:space="preserve">2. A qué aplica</w:t>
      </w:r>
    </w:p>
    <w:p>
      <w:pPr>
        <w:spacing w:after="160" w:line="276"/>
      </w:pPr>
      <w:r>
        <w:rPr>
          <w:i w:val="false"/>
          <w:iCs w:val="false"/>
          <w:color w:val="000000"/>
        </w:rPr>
        <w:t xml:space="preserve">Aplica a cada negocio individual, no al promedio del mes. Un negocio es cada cotización, pedido, contrato o licitación considerado como una unidad.</w:t>
      </w:r>
    </w:p>
    <w:p>
      <w:pPr>
        <w:spacing w:after="160" w:line="276"/>
      </w:pPr>
      <w:r>
        <w:rPr>
          <w:i w:val="false"/>
          <w:iCs w:val="false"/>
          <w:color w:val="000000"/>
        </w:rPr>
        <w:t xml:space="preserve">Aplica a toda venta, en todas las líneas, segmentos y canales, incluidas licitaciones, subdistribuidores y ventas a personas naturales.</w:t>
      </w:r>
    </w:p>
    <w:p>
      <w:pPr>
        <w:pStyle w:val="Heading1"/>
        <w:pBdr>
          <w:bottom w:val="single" w:color="999999" w:sz="4" w:space="4"/>
        </w:pBdr>
        <w:spacing w:after="160" w:before="360"/>
      </w:pPr>
      <w:r>
        <w:rPr>
          <w:b/>
          <w:bCs/>
          <w:color w:val="000000"/>
          <w:sz w:val="26"/>
          <w:szCs w:val="26"/>
        </w:rPr>
        <w:t xml:space="preserve">3. Los dos niveles de autorización</w:t>
      </w:r>
    </w:p>
    <w:p>
      <w:pPr>
        <w:spacing w:after="160" w:line="276"/>
      </w:pPr>
      <w:r>
        <w:rPr>
          <w:b/>
          <w:bCs/>
          <w:i w:val="false"/>
          <w:iCs w:val="false"/>
          <w:color w:val="000000"/>
        </w:rPr>
        <w:t xml:space="preserve">Nivel 1. Entre el margen objetivo de la línea y el 18 por ciento.</w:t>
      </w:r>
      <w:r>
        <w:rPr>
          <w:i w:val="false"/>
          <w:iCs w:val="false"/>
          <w:color w:val="000000"/>
        </w:rPr>
        <w:t xml:space="preserve"> Un negocio que quede por debajo del margen objetivo de su línea, pero en 18 por ciento o más, avanza únicamente con autorización escrita de la Dirección Administrativa.</w:t>
      </w:r>
    </w:p>
    <w:p>
      <w:pPr>
        <w:spacing w:after="160" w:line="276"/>
      </w:pPr>
      <w:r>
        <w:rPr>
          <w:b/>
          <w:bCs/>
          <w:i w:val="false"/>
          <w:iCs w:val="false"/>
          <w:color w:val="000000"/>
        </w:rPr>
        <w:t xml:space="preserve">Nivel 2. Por debajo del 18 por ciento.</w:t>
      </w:r>
      <w:r>
        <w:rPr>
          <w:i w:val="false"/>
          <w:iCs w:val="false"/>
          <w:color w:val="000000"/>
        </w:rPr>
        <w:t xml:space="preserve"> Un negocio que quede por debajo de 18 por ciento avanza únicamente con autorización escrita de la Gerencia. Esta autorización no se delega.</w:t>
      </w:r>
    </w:p>
    <w:p>
      <w:pPr>
        <w:spacing w:after="160" w:line="276"/>
      </w:pPr>
      <w:r>
        <w:rPr>
          <w:i w:val="false"/>
          <w:iCs w:val="false"/>
          <w:color w:val="000000"/>
        </w:rPr>
        <w:t xml:space="preserve">Los márgenes objetivo por línea, que son el nivel a partir del cual se requiere autorización, quedan fijados en el nivel que cada línea alcanzó en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Línea</w:t>
            </w:r>
          </w:p>
        </w:tc>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Margen objetivo</w:t>
            </w:r>
          </w:p>
        </w:tc>
        <w:tc>
          <w:tcPr>
            <w:tcW w:type="dxa" w:w="2960"/>
            <w:shd w:fill="EFEFEF" w:color="auto" w:val="clear"/>
            <w:tcMar>
              <w:top w:type="dxa" w:w="60"/>
              <w:left w:type="dxa" w:w="90"/>
              <w:bottom w:type="dxa" w:w="60"/>
              <w:right w:type="dxa" w:w="90"/>
            </w:tcMar>
          </w:tcPr>
          <w:p>
            <w:pPr>
              <w:spacing w:after="0"/>
            </w:pPr>
            <w:r>
              <w:rPr>
                <w:b/>
                <w:bCs/>
                <w:color w:val="000000"/>
                <w:sz w:val="18"/>
                <w:szCs w:val="18"/>
              </w:rPr>
              <w:t xml:space="preserve">Franja hasta el piso de 18%</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Consumibles</w:t>
            </w:r>
          </w:p>
        </w:tc>
        <w:tc>
          <w:tcPr>
            <w:tcW w:type="dxa" w:w="3200"/>
            <w:tcMar>
              <w:top w:type="dxa" w:w="60"/>
              <w:left w:type="dxa" w:w="90"/>
              <w:bottom w:type="dxa" w:w="60"/>
              <w:right w:type="dxa" w:w="90"/>
            </w:tcMar>
          </w:tcPr>
          <w:p>
            <w:pPr>
              <w:spacing w:after="0"/>
            </w:pPr>
            <w:r>
              <w:rPr>
                <w:i w:val="false"/>
                <w:iCs w:val="false"/>
                <w:color w:val="000000"/>
                <w:sz w:val="18"/>
                <w:szCs w:val="18"/>
              </w:rPr>
              <w:t xml:space="preserve">26,0%</w:t>
            </w:r>
          </w:p>
        </w:tc>
        <w:tc>
          <w:tcPr>
            <w:tcW w:type="dxa" w:w="2960"/>
            <w:tcMar>
              <w:top w:type="dxa" w:w="60"/>
              <w:left w:type="dxa" w:w="90"/>
              <w:bottom w:type="dxa" w:w="60"/>
              <w:right w:type="dxa" w:w="90"/>
            </w:tcMar>
          </w:tcPr>
          <w:p>
            <w:pPr>
              <w:spacing w:after="0"/>
            </w:pPr>
            <w:r>
              <w:rPr>
                <w:i w:val="false"/>
                <w:iCs w:val="false"/>
                <w:color w:val="000000"/>
                <w:sz w:val="18"/>
                <w:szCs w:val="18"/>
              </w:rPr>
              <w:t xml:space="preserve">8,0 puntos</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Equipos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19,0%</w:t>
            </w:r>
          </w:p>
        </w:tc>
        <w:tc>
          <w:tcPr>
            <w:tcW w:type="dxa" w:w="2960"/>
            <w:tcMar>
              <w:top w:type="dxa" w:w="60"/>
              <w:left w:type="dxa" w:w="90"/>
              <w:bottom w:type="dxa" w:w="60"/>
              <w:right w:type="dxa" w:w="90"/>
            </w:tcMar>
          </w:tcPr>
          <w:p>
            <w:pPr>
              <w:spacing w:after="0"/>
            </w:pPr>
            <w:r>
              <w:rPr>
                <w:i w:val="false"/>
                <w:iCs w:val="false"/>
                <w:color w:val="000000"/>
                <w:sz w:val="18"/>
                <w:szCs w:val="18"/>
              </w:rPr>
              <w:t xml:space="preserve">1,0 punto</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Mobiliario</w:t>
            </w:r>
          </w:p>
        </w:tc>
        <w:tc>
          <w:tcPr>
            <w:tcW w:type="dxa" w:w="3200"/>
            <w:tcMar>
              <w:top w:type="dxa" w:w="60"/>
              <w:left w:type="dxa" w:w="90"/>
              <w:bottom w:type="dxa" w:w="60"/>
              <w:right w:type="dxa" w:w="90"/>
            </w:tcMar>
          </w:tcPr>
          <w:p>
            <w:pPr>
              <w:spacing w:after="0"/>
            </w:pPr>
            <w:r>
              <w:rPr>
                <w:i w:val="false"/>
                <w:iCs w:val="false"/>
                <w:color w:val="000000"/>
                <w:sz w:val="18"/>
                <w:szCs w:val="18"/>
              </w:rPr>
              <w:t xml:space="preserve">32,0%</w:t>
            </w:r>
          </w:p>
        </w:tc>
        <w:tc>
          <w:tcPr>
            <w:tcW w:type="dxa" w:w="2960"/>
            <w:tcMar>
              <w:top w:type="dxa" w:w="60"/>
              <w:left w:type="dxa" w:w="90"/>
              <w:bottom w:type="dxa" w:w="60"/>
              <w:right w:type="dxa" w:w="90"/>
            </w:tcMar>
          </w:tcPr>
          <w:p>
            <w:pPr>
              <w:spacing w:after="0"/>
            </w:pPr>
            <w:r>
              <w:rPr>
                <w:i w:val="false"/>
                <w:iCs w:val="false"/>
                <w:color w:val="000000"/>
                <w:sz w:val="18"/>
                <w:szCs w:val="18"/>
              </w:rPr>
              <w:t xml:space="preserve">14,0 puntos</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Equipos marca propia</w:t>
            </w:r>
          </w:p>
        </w:tc>
        <w:tc>
          <w:tcPr>
            <w:tcW w:type="dxa" w:w="3200"/>
            <w:tcMar>
              <w:top w:type="dxa" w:w="60"/>
              <w:left w:type="dxa" w:w="90"/>
              <w:bottom w:type="dxa" w:w="60"/>
              <w:right w:type="dxa" w:w="90"/>
            </w:tcMar>
          </w:tcPr>
          <w:p>
            <w:pPr>
              <w:spacing w:after="0"/>
            </w:pPr>
            <w:r>
              <w:rPr>
                <w:i w:val="false"/>
                <w:iCs w:val="false"/>
                <w:color w:val="000000"/>
                <w:sz w:val="18"/>
                <w:szCs w:val="18"/>
              </w:rPr>
              <w:t xml:space="preserve">31,0%</w:t>
            </w:r>
          </w:p>
        </w:tc>
        <w:tc>
          <w:tcPr>
            <w:tcW w:type="dxa" w:w="2960"/>
            <w:tcMar>
              <w:top w:type="dxa" w:w="60"/>
              <w:left w:type="dxa" w:w="90"/>
              <w:bottom w:type="dxa" w:w="60"/>
              <w:right w:type="dxa" w:w="90"/>
            </w:tcMar>
          </w:tcPr>
          <w:p>
            <w:pPr>
              <w:spacing w:after="0"/>
            </w:pPr>
            <w:r>
              <w:rPr>
                <w:i w:val="false"/>
                <w:iCs w:val="false"/>
                <w:color w:val="000000"/>
                <w:sz w:val="18"/>
                <w:szCs w:val="18"/>
              </w:rPr>
              <w:t xml:space="preserve">13,0 puntos</w:t>
            </w:r>
          </w:p>
        </w:tc>
      </w:tr>
    </w:tbl>
    <w:p>
      <w:pPr>
        <w:spacing w:after="200"/>
      </w:pPr>
      <w:r>
        <w:rPr>
          <w:color w:val="000000"/>
        </w:rPr>
        <w:t xml:space="preserve"/>
      </w:r>
    </w:p>
    <w:p>
      <w:pPr>
        <w:spacing w:after="160" w:line="276"/>
      </w:pPr>
      <w:r>
        <w:rPr>
          <w:i w:val="false"/>
          <w:iCs w:val="false"/>
          <w:color w:val="000000"/>
        </w:rPr>
        <w:t xml:space="preserve">El margen objetivo de marca propia se fija en el nivel de 2025 y no en el de 2026, porque el 56 por ciento que muestra 2026 corresponde a un volumen tan pequeño que no es representativo.</w:t>
      </w:r>
    </w:p>
    <w:p>
      <w:pPr>
        <w:pStyle w:val="Heading1"/>
        <w:pBdr>
          <w:bottom w:val="single" w:color="999999" w:sz="4" w:space="4"/>
        </w:pBdr>
        <w:spacing w:after="160" w:before="360"/>
      </w:pPr>
      <w:r>
        <w:rPr>
          <w:b/>
          <w:bCs/>
          <w:color w:val="000000"/>
          <w:sz w:val="26"/>
          <w:szCs w:val="26"/>
        </w:rPr>
        <w:t xml:space="preserve">4. El tope mensual</w:t>
      </w:r>
    </w:p>
    <w:p>
      <w:pPr>
        <w:spacing w:after="160" w:line="276"/>
      </w:pPr>
      <w:r>
        <w:rPr>
          <w:i w:val="false"/>
          <w:iCs w:val="false"/>
          <w:color w:val="000000"/>
        </w:rPr>
        <w:t xml:space="preserve">No más del </w:t>
      </w:r>
      <w:r>
        <w:rPr>
          <w:b/>
          <w:bCs/>
          <w:i w:val="false"/>
          <w:iCs w:val="false"/>
          <w:color w:val="000000"/>
        </w:rPr>
        <w:t xml:space="preserve">10 por ciento de la venta facturada del mes</w:t>
      </w:r>
      <w:r>
        <w:rPr>
          <w:i w:val="false"/>
          <w:iCs w:val="false"/>
          <w:color w:val="000000"/>
        </w:rPr>
        <w:t xml:space="preserve"> puede corresponder a negocios autorizados por debajo del margen objetivo de su línea.</w:t>
      </w:r>
    </w:p>
    <w:p>
      <w:pPr>
        <w:spacing w:after="160" w:line="276"/>
      </w:pPr>
      <w:r>
        <w:rPr>
          <w:i w:val="false"/>
          <w:iCs w:val="false"/>
          <w:color w:val="000000"/>
        </w:rPr>
        <w:t xml:space="preserve">Alcanzado ese tope, cualquier negocio adicional por debajo del objetivo requiere autorización de la Gerencia, independientemente de que esté por encima de 18 por ciento.</w:t>
      </w:r>
    </w:p>
    <w:p>
      <w:pPr>
        <w:spacing w:after="160" w:line="276"/>
      </w:pPr>
      <w:r>
        <w:rPr>
          <w:i w:val="false"/>
          <w:iCs w:val="false"/>
          <w:color w:val="000000"/>
        </w:rPr>
        <w:t xml:space="preserve">Este tope es el control real de la política. El piso por negocio impide el caso extremo; el tope mensual impide que la excepción se vuelva rutina.</w:t>
      </w:r>
    </w:p>
    <w:p>
      <w:pPr>
        <w:pStyle w:val="Heading1"/>
        <w:pBdr>
          <w:bottom w:val="single" w:color="999999" w:sz="4" w:space="4"/>
        </w:pBdr>
        <w:spacing w:after="160" w:before="360"/>
      </w:pPr>
      <w:r>
        <w:rPr>
          <w:b/>
          <w:bCs/>
          <w:color w:val="000000"/>
          <w:sz w:val="26"/>
          <w:szCs w:val="26"/>
        </w:rPr>
        <w:t xml:space="preserve">5. Registro obligatorio</w:t>
      </w:r>
    </w:p>
    <w:p>
      <w:pPr>
        <w:spacing w:after="160" w:line="276"/>
      </w:pPr>
      <w:r>
        <w:rPr>
          <w:i w:val="false"/>
          <w:iCs w:val="false"/>
          <w:color w:val="000000"/>
        </w:rPr>
        <w:t xml:space="preserve">Toda autorización, de Nivel 1 o Nivel 2, se registra el mismo día con: cliente, valor del negocio, línea, margen esperado, margen mínimo aplicable, razón de la excepción, y quién autorizó.</w:t>
      </w:r>
    </w:p>
    <w:p>
      <w:pPr>
        <w:spacing w:after="160" w:line="276"/>
      </w:pPr>
      <w:r>
        <w:rPr>
          <w:i w:val="false"/>
          <w:iCs w:val="false"/>
          <w:color w:val="000000"/>
        </w:rPr>
        <w:t xml:space="preserve">El registro se consolida mensualmente y entra al cierre del tablero con tres cifras: número de negocios autorizados bajo objetivo, su valor total, y su participación sobre la venta del mes.</w:t>
      </w:r>
    </w:p>
    <w:p>
      <w:pPr>
        <w:spacing w:after="160" w:line="276"/>
      </w:pPr>
      <w:r>
        <w:rPr>
          <w:i w:val="false"/>
          <w:iCs w:val="false"/>
          <w:color w:val="000000"/>
        </w:rPr>
        <w:t xml:space="preserve">Al cierre de cada negocio autorizado se registra además el </w:t>
      </w:r>
      <w:r>
        <w:rPr>
          <w:b/>
          <w:bCs/>
          <w:i w:val="false"/>
          <w:iCs w:val="false"/>
          <w:color w:val="000000"/>
        </w:rPr>
        <w:t xml:space="preserve">margen real ejecutado</w:t>
      </w:r>
      <w:r>
        <w:rPr>
          <w:i w:val="false"/>
          <w:iCs w:val="false"/>
          <w:color w:val="000000"/>
        </w:rPr>
        <w:t xml:space="preserve">, para compararlo con el margen esperado que sustentó la autorización.</w:t>
      </w:r>
    </w:p>
    <w:p>
      <w:pPr>
        <w:pStyle w:val="Heading1"/>
        <w:pBdr>
          <w:bottom w:val="single" w:color="999999" w:sz="4" w:space="4"/>
        </w:pBdr>
        <w:spacing w:after="160" w:before="360"/>
      </w:pPr>
      <w:r>
        <w:rPr>
          <w:b/>
          <w:bCs/>
          <w:color w:val="000000"/>
          <w:sz w:val="26"/>
          <w:szCs w:val="26"/>
        </w:rPr>
        <w:t xml:space="preserve">6. Qué no cubre esta política</w:t>
      </w:r>
    </w:p>
    <w:p>
      <w:pPr>
        <w:spacing w:after="160" w:line="276"/>
      </w:pPr>
      <w:r>
        <w:rPr>
          <w:i w:val="false"/>
          <w:iCs w:val="false"/>
          <w:color w:val="000000"/>
        </w:rPr>
        <w:t xml:space="preserve">No cubre descuentos comerciales que dejen el negocio por encima del margen objetivo de su línea. Esos quedan dentro de la autonomía de la Dirección Comercial y de los rangos que ella delegue por escrito a cada asesor, que son objeto de una decisión separada y todavía pendiente.</w:t>
      </w:r>
    </w:p>
    <w:p>
      <w:pPr>
        <w:spacing w:after="160" w:line="276"/>
      </w:pPr>
      <w:r>
        <w:rPr>
          <w:i w:val="false"/>
          <w:iCs w:val="false"/>
          <w:color w:val="000000"/>
        </w:rPr>
        <w:t xml:space="preserve">No cubre condiciones de pago, plazos de cartera ni compras anticipadas. Esas tienen su propio criterio de autorización.</w:t>
      </w:r>
    </w:p>
    <w:p>
      <w:pPr>
        <w:pStyle w:val="Heading1"/>
        <w:pBdr>
          <w:bottom w:val="single" w:color="999999" w:sz="4" w:space="4"/>
        </w:pBdr>
        <w:spacing w:after="160" w:before="360"/>
      </w:pPr>
      <w:r>
        <w:rPr>
          <w:b/>
          <w:bCs/>
          <w:color w:val="000000"/>
          <w:sz w:val="26"/>
          <w:szCs w:val="26"/>
        </w:rPr>
        <w:t xml:space="preserve">7. Vigencia y revisión</w:t>
      </w:r>
    </w:p>
    <w:p>
      <w:pPr>
        <w:spacing w:after="160" w:line="276"/>
      </w:pPr>
      <w:r>
        <w:rPr>
          <w:i w:val="false"/>
          <w:iCs w:val="false"/>
          <w:color w:val="000000"/>
        </w:rPr>
        <w:t xml:space="preserve">Rige a partir de la fecha que defina la gerencia al aprobarla.</w:t>
      </w:r>
    </w:p>
    <w:p>
      <w:pPr>
        <w:spacing w:after="160" w:line="276"/>
      </w:pPr>
      <w:r>
        <w:rPr>
          <w:i w:val="false"/>
          <w:iCs w:val="false"/>
          <w:color w:val="000000"/>
        </w:rPr>
        <w:t xml:space="preserve">Se revisa al cierre de diciembre de 2026 con los datos del primer trimestre de aplicación, y en adelante una vez al año junto con el presupuesto.</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Anexo. Por qué la política está construida así</w:t>
      </w:r>
    </w:p>
    <w:p>
      <w:pPr>
        <w:spacing w:after="160" w:line="276"/>
      </w:pPr>
      <w:r>
        <w:rPr>
          <w:i w:val="false"/>
          <w:iCs w:val="false"/>
          <w:color w:val="000000"/>
        </w:rPr>
        <w:t xml:space="preserve">Esta sección no hace parte de la política. Explica las decisiones de diseño para que la gerencia pueda aprobarlas o cambiarlas con criterio.</w:t>
      </w:r>
    </w:p>
    <w:p>
      <w:pPr>
        <w:pStyle w:val="Heading1"/>
        <w:pBdr>
          <w:bottom w:val="single" w:color="999999" w:sz="4" w:space="4"/>
        </w:pBdr>
        <w:spacing w:after="160" w:before="360"/>
      </w:pPr>
      <w:r>
        <w:rPr>
          <w:b/>
          <w:bCs/>
          <w:color w:val="000000"/>
          <w:sz w:val="26"/>
          <w:szCs w:val="26"/>
        </w:rPr>
        <w:t xml:space="preserve">Por qué hacen falta dos niveles y no solo el piso</w:t>
      </w:r>
    </w:p>
    <w:p>
      <w:pPr>
        <w:spacing w:after="160" w:line="276"/>
      </w:pPr>
      <w:r>
        <w:rPr>
          <w:i w:val="false"/>
          <w:iCs w:val="false"/>
          <w:color w:val="000000"/>
        </w:rPr>
        <w:t xml:space="preserve">Un piso único de 18 por ciento no controla nada en la práctica, porque casi todo el negocio actual ya está por encima. Con datos de 2026, todas las líneas superan el 18 y de doce segmentos solo uno queda por debajo. Un umbral que el 96 por ciento del negocio ya cumple no obliga a decidir en ningún caso.</w:t>
      </w:r>
    </w:p>
    <w:p>
      <w:pPr>
        <w:spacing w:after="160" w:line="276"/>
      </w:pPr>
      <w:r>
        <w:rPr>
          <w:i w:val="false"/>
          <w:iCs w:val="false"/>
          <w:color w:val="000000"/>
        </w:rPr>
        <w:t xml:space="preserve">Peor aún, un piso escrito y publicado tiene un efecto de anclaje. Un asesor que hoy negocia al 25 por ciento y lee que el mínimo permitido es 18 sabe que tiene siete puntos para ceder y que cederlos está autorizado por política. Los pisos bajos no protegen el margen: lo anclan hacia abajo.</w:t>
      </w:r>
    </w:p>
    <w:p>
      <w:pPr>
        <w:spacing w:after="160" w:line="276"/>
      </w:pPr>
      <w:r>
        <w:rPr>
          <w:i w:val="false"/>
          <w:iCs w:val="false"/>
          <w:color w:val="000000"/>
        </w:rPr>
        <w:t xml:space="preserve">La magnitud de ese riesgo, sobre las ventas de 2025 y contra la utilidad neta de ese año, que fue la mejor de la década: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Deriva del margen promedio</w:t>
            </w:r>
          </w:p>
        </w:tc>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Utilidad bruta perdida</w:t>
            </w:r>
          </w:p>
        </w:tc>
        <w:tc>
          <w:tcPr>
            <w:tcW w:type="dxa" w:w="2960"/>
            <w:shd w:fill="EFEFEF" w:color="auto" w:val="clear"/>
            <w:tcMar>
              <w:top w:type="dxa" w:w="60"/>
              <w:left w:type="dxa" w:w="90"/>
              <w:bottom w:type="dxa" w:w="60"/>
              <w:right w:type="dxa" w:w="90"/>
            </w:tcMar>
          </w:tcPr>
          <w:p>
            <w:pPr>
              <w:spacing w:after="0"/>
            </w:pPr>
            <w:r>
              <w:rPr>
                <w:b/>
                <w:bCs/>
                <w:color w:val="000000"/>
                <w:sz w:val="18"/>
                <w:szCs w:val="18"/>
              </w:rPr>
              <w:t xml:space="preserve">Como % de la utilidad neta de 2025</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1 punto</w:t>
            </w:r>
          </w:p>
        </w:tc>
        <w:tc>
          <w:tcPr>
            <w:tcW w:type="dxa" w:w="3200"/>
            <w:tcMar>
              <w:top w:type="dxa" w:w="60"/>
              <w:left w:type="dxa" w:w="90"/>
              <w:bottom w:type="dxa" w:w="60"/>
              <w:right w:type="dxa" w:w="90"/>
            </w:tcMar>
          </w:tcPr>
          <w:p>
            <w:pPr>
              <w:spacing w:after="0"/>
            </w:pPr>
            <w:r>
              <w:rPr>
                <w:i w:val="false"/>
                <w:iCs w:val="false"/>
                <w:color w:val="000000"/>
                <w:sz w:val="18"/>
                <w:szCs w:val="18"/>
              </w:rPr>
              <w:t xml:space="preserve">122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17,8%</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2 puntos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245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35,7%</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3 puntos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367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53,5%</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7 puntos, la franja completa</w:t>
            </w:r>
          </w:p>
        </w:tc>
        <w:tc>
          <w:tcPr>
            <w:tcW w:type="dxa" w:w="3200"/>
            <w:tcMar>
              <w:top w:type="dxa" w:w="60"/>
              <w:left w:type="dxa" w:w="90"/>
              <w:bottom w:type="dxa" w:w="60"/>
              <w:right w:type="dxa" w:w="90"/>
            </w:tcMar>
          </w:tcPr>
          <w:p>
            <w:pPr>
              <w:spacing w:after="0"/>
            </w:pPr>
            <w:r>
              <w:rPr>
                <w:i w:val="false"/>
                <w:iCs w:val="false"/>
                <w:color w:val="000000"/>
                <w:sz w:val="18"/>
                <w:szCs w:val="18"/>
              </w:rPr>
              <w:t xml:space="preserve">857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124,9%</w:t>
            </w:r>
          </w:p>
        </w:tc>
      </w:tr>
    </w:tbl>
    <w:p>
      <w:pPr>
        <w:spacing w:after="200"/>
      </w:pPr>
      <w:r>
        <w:rPr>
          <w:color w:val="000000"/>
        </w:rPr>
        <w:t xml:space="preserve"/>
      </w:r>
    </w:p>
    <w:p>
      <w:pPr>
        <w:spacing w:after="160" w:line="276"/>
      </w:pPr>
      <w:r>
        <w:rPr>
          <w:i w:val="false"/>
          <w:iCs w:val="false"/>
          <w:color w:val="000000"/>
        </w:rPr>
        <w:t xml:space="preserve">Dos puntos de deriva, que es menos de un tercio de lo que el piso autoriza, consumen más de un tercio de la mejor utilidad neta de la década.</w:t>
      </w:r>
    </w:p>
    <w:p>
      <w:pPr>
        <w:spacing w:after="160" w:line="276"/>
      </w:pPr>
      <w:r>
        <w:rPr>
          <w:i w:val="false"/>
          <w:iCs w:val="false"/>
          <w:color w:val="000000"/>
        </w:rPr>
        <w:t xml:space="preserve">El esquema de dos niveles conserva el 18 por ciento como decidió la gerencia, y le agrega el nivel que hace que la política controle algo: la autorización empieza a exigirse cuando el negocio cae por debajo de lo que esa línea rinde hoy, no cuando cae siete puntos por debajo.</w:t>
      </w:r>
    </w:p>
    <w:p>
      <w:pPr>
        <w:pStyle w:val="Heading1"/>
        <w:pBdr>
          <w:bottom w:val="single" w:color="999999" w:sz="4" w:space="4"/>
        </w:pBdr>
        <w:spacing w:after="160" w:before="360"/>
      </w:pPr>
      <w:r>
        <w:rPr>
          <w:b/>
          <w:bCs/>
          <w:color w:val="000000"/>
          <w:sz w:val="26"/>
          <w:szCs w:val="26"/>
        </w:rPr>
        <w:t xml:space="preserve">Por qué el margen objetivo es por línea y no uno solo</w:t>
      </w:r>
    </w:p>
    <w:p>
      <w:pPr>
        <w:spacing w:after="160" w:line="276"/>
      </w:pPr>
      <w:r>
        <w:rPr>
          <w:i w:val="false"/>
          <w:iCs w:val="false"/>
          <w:color w:val="000000"/>
        </w:rPr>
        <w:t xml:space="preserve">Un número único significa cosas muy distintas según la línea. Un piso de 18 por ciento deja 1,2 puntos de franja en equipos y 14,9 en mobiliario. Dicho de otro modo: para equipos el piso es una restricción real y para mobiliario es irrelevante.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Línea</w:t>
            </w:r>
          </w:p>
        </w:tc>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Margen 2026</w:t>
            </w:r>
          </w:p>
        </w:tc>
        <w:tc>
          <w:tcPr>
            <w:tcW w:type="dxa" w:w="2960"/>
            <w:shd w:fill="EFEFEF" w:color="auto" w:val="clear"/>
            <w:tcMar>
              <w:top w:type="dxa" w:w="60"/>
              <w:left w:type="dxa" w:w="90"/>
              <w:bottom w:type="dxa" w:w="60"/>
              <w:right w:type="dxa" w:w="90"/>
            </w:tcMar>
          </w:tcPr>
          <w:p>
            <w:pPr>
              <w:spacing w:after="0"/>
            </w:pPr>
            <w:r>
              <w:rPr>
                <w:b/>
                <w:bCs/>
                <w:color w:val="000000"/>
                <w:sz w:val="18"/>
                <w:szCs w:val="18"/>
              </w:rPr>
              <w:t xml:space="preserve">Franja hasta 18%</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Equipos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19,23%</w:t>
            </w:r>
          </w:p>
        </w:tc>
        <w:tc>
          <w:tcPr>
            <w:tcW w:type="dxa" w:w="2960"/>
            <w:tcMar>
              <w:top w:type="dxa" w:w="60"/>
              <w:left w:type="dxa" w:w="90"/>
              <w:bottom w:type="dxa" w:w="60"/>
              <w:right w:type="dxa" w:w="90"/>
            </w:tcMar>
          </w:tcPr>
          <w:p>
            <w:pPr>
              <w:spacing w:after="0"/>
            </w:pPr>
            <w:r>
              <w:rPr>
                <w:i w:val="false"/>
                <w:iCs w:val="false"/>
                <w:color w:val="000000"/>
                <w:sz w:val="18"/>
                <w:szCs w:val="18"/>
              </w:rPr>
              <w:t xml:space="preserve">1,23 puntos</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Consumibles</w:t>
            </w:r>
          </w:p>
        </w:tc>
        <w:tc>
          <w:tcPr>
            <w:tcW w:type="dxa" w:w="3200"/>
            <w:tcMar>
              <w:top w:type="dxa" w:w="60"/>
              <w:left w:type="dxa" w:w="90"/>
              <w:bottom w:type="dxa" w:w="60"/>
              <w:right w:type="dxa" w:w="90"/>
            </w:tcMar>
          </w:tcPr>
          <w:p>
            <w:pPr>
              <w:spacing w:after="0"/>
            </w:pPr>
            <w:r>
              <w:rPr>
                <w:i w:val="false"/>
                <w:iCs w:val="false"/>
                <w:color w:val="000000"/>
                <w:sz w:val="18"/>
                <w:szCs w:val="18"/>
              </w:rPr>
              <w:t xml:space="preserve">26,27%</w:t>
            </w:r>
          </w:p>
        </w:tc>
        <w:tc>
          <w:tcPr>
            <w:tcW w:type="dxa" w:w="2960"/>
            <w:tcMar>
              <w:top w:type="dxa" w:w="60"/>
              <w:left w:type="dxa" w:w="90"/>
              <w:bottom w:type="dxa" w:w="60"/>
              <w:right w:type="dxa" w:w="90"/>
            </w:tcMar>
          </w:tcPr>
          <w:p>
            <w:pPr>
              <w:spacing w:after="0"/>
            </w:pPr>
            <w:r>
              <w:rPr>
                <w:i w:val="false"/>
                <w:iCs w:val="false"/>
                <w:color w:val="000000"/>
                <w:sz w:val="18"/>
                <w:szCs w:val="18"/>
              </w:rPr>
              <w:t xml:space="preserve">8,27 puntos</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Mobiliario</w:t>
            </w:r>
          </w:p>
        </w:tc>
        <w:tc>
          <w:tcPr>
            <w:tcW w:type="dxa" w:w="3200"/>
            <w:tcMar>
              <w:top w:type="dxa" w:w="60"/>
              <w:left w:type="dxa" w:w="90"/>
              <w:bottom w:type="dxa" w:w="60"/>
              <w:right w:type="dxa" w:w="90"/>
            </w:tcMar>
          </w:tcPr>
          <w:p>
            <w:pPr>
              <w:spacing w:after="0"/>
            </w:pPr>
            <w:r>
              <w:rPr>
                <w:i w:val="false"/>
                <w:iCs w:val="false"/>
                <w:color w:val="000000"/>
                <w:sz w:val="18"/>
                <w:szCs w:val="18"/>
              </w:rPr>
              <w:t xml:space="preserve">32,85%</w:t>
            </w:r>
          </w:p>
        </w:tc>
        <w:tc>
          <w:tcPr>
            <w:tcW w:type="dxa" w:w="2960"/>
            <w:tcMar>
              <w:top w:type="dxa" w:w="60"/>
              <w:left w:type="dxa" w:w="90"/>
              <w:bottom w:type="dxa" w:w="60"/>
              <w:right w:type="dxa" w:w="90"/>
            </w:tcMar>
          </w:tcPr>
          <w:p>
            <w:pPr>
              <w:spacing w:after="0"/>
            </w:pPr>
            <w:r>
              <w:rPr>
                <w:i w:val="false"/>
                <w:iCs w:val="false"/>
                <w:color w:val="000000"/>
                <w:sz w:val="18"/>
                <w:szCs w:val="18"/>
              </w:rPr>
              <w:t xml:space="preserve">14,85 puntos</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Marca propia</w:t>
            </w:r>
          </w:p>
        </w:tc>
        <w:tc>
          <w:tcPr>
            <w:tcW w:type="dxa" w:w="3200"/>
            <w:tcMar>
              <w:top w:type="dxa" w:w="60"/>
              <w:left w:type="dxa" w:w="90"/>
              <w:bottom w:type="dxa" w:w="60"/>
              <w:right w:type="dxa" w:w="90"/>
            </w:tcMar>
          </w:tcPr>
          <w:p>
            <w:pPr>
              <w:spacing w:after="0"/>
            </w:pPr>
            <w:r>
              <w:rPr>
                <w:i w:val="false"/>
                <w:iCs w:val="false"/>
                <w:color w:val="000000"/>
                <w:sz w:val="18"/>
                <w:szCs w:val="18"/>
              </w:rPr>
              <w:t xml:space="preserve">56,10%</w:t>
            </w:r>
          </w:p>
        </w:tc>
        <w:tc>
          <w:tcPr>
            <w:tcW w:type="dxa" w:w="2960"/>
            <w:tcMar>
              <w:top w:type="dxa" w:w="60"/>
              <w:left w:type="dxa" w:w="90"/>
              <w:bottom w:type="dxa" w:w="60"/>
              <w:right w:type="dxa" w:w="90"/>
            </w:tcMar>
          </w:tcPr>
          <w:p>
            <w:pPr>
              <w:spacing w:after="0"/>
            </w:pPr>
            <w:r>
              <w:rPr>
                <w:i w:val="false"/>
                <w:iCs w:val="false"/>
                <w:color w:val="000000"/>
                <w:sz w:val="18"/>
                <w:szCs w:val="18"/>
              </w:rPr>
              <w:t xml:space="preserve">38,10 puntos</w:t>
            </w:r>
          </w:p>
        </w:tc>
      </w:tr>
    </w:tbl>
    <w:p>
      <w:pPr>
        <w:spacing w:after="200"/>
      </w:pPr>
      <w:r>
        <w:rPr>
          <w:color w:val="000000"/>
        </w:rPr>
        <w:t xml:space="preserve"/>
      </w:r>
    </w:p>
    <w:p>
      <w:pPr>
        <w:pStyle w:val="Heading1"/>
        <w:pBdr>
          <w:bottom w:val="single" w:color="999999" w:sz="4" w:space="4"/>
        </w:pBdr>
        <w:spacing w:after="160" w:before="360"/>
      </w:pPr>
      <w:r>
        <w:rPr>
          <w:b/>
          <w:bCs/>
          <w:color w:val="000000"/>
          <w:sz w:val="26"/>
          <w:szCs w:val="26"/>
        </w:rPr>
        <w:t xml:space="preserve">Dónde muerde el piso hoy</w:t>
      </w:r>
    </w:p>
    <w:p>
      <w:pPr>
        <w:spacing w:after="160" w:line="276"/>
      </w:pPr>
      <w:r>
        <w:rPr>
          <w:i w:val="false"/>
          <w:iCs w:val="false"/>
          <w:color w:val="000000"/>
        </w:rPr>
        <w:t xml:space="preserve">Un solo segmento está hoy por debajo del 18 por ciento: empresas de servicio público, con 17,10 por ciento en 2026. Representa cerca del 4 por ciento de las ventas y su margen cayó desde 25,51 por ciento en 2025. Al entrar en vigencia la política, ese segmento requeriría autorización de gerencia para cada negocio, lo que obliga a mirarlo. Es probablemente el efecto más útil e inmediato de la política.</w:t>
      </w:r>
    </w:p>
    <w:p>
      <w:pPr>
        <w:pStyle w:val="Heading1"/>
        <w:pBdr>
          <w:bottom w:val="single" w:color="999999" w:sz="4" w:space="4"/>
        </w:pBdr>
        <w:spacing w:after="160" w:before="360"/>
      </w:pPr>
      <w:r>
        <w:rPr>
          <w:b/>
          <w:bCs/>
          <w:color w:val="000000"/>
          <w:sz w:val="26"/>
          <w:szCs w:val="26"/>
        </w:rPr>
        <w:t xml:space="preserve">Sobre el punto de equilibrio</w:t>
      </w:r>
    </w:p>
    <w:p>
      <w:pPr>
        <w:spacing w:after="160" w:line="276"/>
      </w:pPr>
      <w:r>
        <w:rPr>
          <w:i w:val="false"/>
          <w:iCs w:val="false"/>
          <w:color w:val="000000"/>
        </w:rPr>
        <w:t xml:space="preserve">Los gastos operacionales de 2025 fueron el 21,38 por ciento de las ventas. Ese es el margen bruto que la empresa necesita solo para cubrir su operación.</w:t>
      </w:r>
    </w:p>
    <w:p>
      <w:pPr>
        <w:spacing w:after="160" w:line="276"/>
      </w:pPr>
      <w:r>
        <w:rPr>
          <w:i w:val="false"/>
          <w:iCs w:val="false"/>
          <w:color w:val="000000"/>
        </w:rPr>
        <w:t xml:space="preserve">Un 18 por ciento medido en APL equivale a 20,66 por ciento contable, es decir, unos siete décimas por debajo de ese punto de equilibrio. Un negocio hecho exactamente en el piso no deja utilidad: cubre operación y nada más.</w:t>
      </w:r>
    </w:p>
    <w:p>
      <w:pPr>
        <w:spacing w:after="160" w:line="276"/>
      </w:pPr>
      <w:r>
        <w:rPr>
          <w:i w:val="false"/>
          <w:iCs w:val="false"/>
          <w:color w:val="000000"/>
        </w:rPr>
        <w:t xml:space="preserve">Esto no invalida el 18 por ciento. Para volumen incremental que aprovecha capacidad ya instalada, un negocio en el piso sí aporta a absorber costo fijo y es mejor que no hacerlo. Pero sí explica por qué el tope mensual del 10 por ciento es necesario: lo que es razonable como excepción ocasional deja de serlo cuando se vuelve una porción significativa de la venta.</w:t>
      </w:r>
    </w:p>
    <w:p>
      <w:pPr>
        <w:pStyle w:val="Heading1"/>
        <w:pBdr>
          <w:bottom w:val="single" w:color="999999" w:sz="4" w:space="4"/>
        </w:pBdr>
        <w:spacing w:after="160" w:before="360"/>
      </w:pPr>
      <w:r>
        <w:rPr>
          <w:b/>
          <w:bCs/>
          <w:color w:val="000000"/>
          <w:sz w:val="26"/>
          <w:szCs w:val="26"/>
        </w:rPr>
        <w:t xml:space="preserve">Un ajuste que esta política obliga a hacer en el manual de funciones</w:t>
      </w:r>
    </w:p>
    <w:p>
      <w:pPr>
        <w:spacing w:after="160" w:line="276"/>
      </w:pPr>
      <w:r>
        <w:rPr>
          <w:i w:val="false"/>
          <w:iCs w:val="false"/>
          <w:color w:val="000000"/>
        </w:rPr>
        <w:t xml:space="preserve">El manual de funciones fija la meta de margen bruto en 27,5 por ciento para gerencia, dirección comercial, asesores externos y dirección de compras. Esa meta se ancló al margen contable de 2025, que fue 27,64 por ciento.</w:t>
      </w:r>
    </w:p>
    <w:p>
      <w:pPr>
        <w:spacing w:after="160" w:line="276"/>
      </w:pPr>
      <w:r>
        <w:rPr>
          <w:i w:val="false"/>
          <w:iCs w:val="false"/>
          <w:color w:val="000000"/>
        </w:rPr>
        <w:t xml:space="preserve">Con APL como fuente del tablero, esa meta es inalcanzable por construcción: APL nunca ha reportado más de 26,27 por ciento. Los cuatro cargos quedarían con un indicador en rojo permanente por diferencia de fuente y no por desempeño.</w:t>
      </w:r>
    </w:p>
    <w:p>
      <w:pPr>
        <w:spacing w:after="160" w:line="276"/>
      </w:pPr>
      <w:r>
        <w:rPr>
          <w:i w:val="false"/>
          <w:iCs w:val="false"/>
          <w:color w:val="000000"/>
        </w:rPr>
        <w:t xml:space="preserve">El equivalente económico de 27,5 por ciento contable es 24,84 por ciento en APL. Se propone </w:t>
      </w:r>
      <w:r>
        <w:rPr>
          <w:b/>
          <w:bCs/>
          <w:i w:val="false"/>
          <w:iCs w:val="false"/>
          <w:color w:val="000000"/>
        </w:rPr>
        <w:t xml:space="preserve">cambiar la meta del manual a 25,0 por ciento medido en APL</w:t>
      </w:r>
      <w:r>
        <w:rPr>
          <w:i w:val="false"/>
          <w:iCs w:val="false"/>
          <w:color w:val="000000"/>
        </w:rPr>
        <w:t xml:space="preserve">, que es exactamente el nivel que la empresa alcanzó en 2025 y por tanto una meta de sostener y mejorar, no de alcanzar algo sin precedente.</w:t>
      </w:r>
    </w:p>
    <w:p>
      <w:pPr>
        <w:spacing w:after="160" w:line="276"/>
      </w:pPr>
      <w:r>
        <w:rPr>
          <w:i w:val="false"/>
          <w:iCs w:val="false"/>
          <w:color w:val="000000"/>
        </w:rPr>
        <w:t xml:space="preserve">Es un cambio de unidad, no de exigencia. La meta económica sigue siendo la misma.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2026-09-28T21:57:17.657Z</dcterms:created>
  <dcterms:modified xsi:type="dcterms:W3CDTF">2026-09-28T21:57:17.661Z</dcterms:modified>
</cp:coreProperties>
</file>

<file path=docProps/custom.xml><?xml version="1.0" encoding="utf-8"?>
<Properties xmlns="http://schemas.openxmlformats.org/officeDocument/2006/custom-properties" xmlns:vt="http://schemas.openxmlformats.org/officeDocument/2006/docPropsVTypes"/>
</file>