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(4 105.09€, по курсу 81.20 на 04.06.2020)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100 000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сто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(1 231.53€, по курсу 81.20 на 04.06.2020)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233 333</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двести тридцать три тысячи триста тридцать три рубля 00 копеек</w:t>
            </w:r>
          </w:p>
          <w:p w:rsidR="009C0875" w:rsidRPr="001A0178" w:rsidRDefault="001A0178" w:rsidP="00A850FB">
            <w:pPr>
              <w:rPr>
                <w:sz w:val="15"/>
                <w:szCs w:val="15"/>
                <w:highlight w:val="yellow"/>
              </w:rPr>
            </w:pPr>
            <w:r w:rsidRPr="001A0178">
              <w:rPr>
                <w:color w:val="000000"/>
                <w:sz w:val="15"/>
                <w:szCs w:val="15"/>
              </w:rPr>
              <w:t>(2 873.56€, по курсу 81.20 на 04.06.2020)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2 873.56€,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