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media/image2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0" w:end="0" w:hanging="0"/>
        <w:rPr>
          <w:rStyle w:val="DefaultParagraphFont"/>
          <w:szCs w:val="24"/>
        </w:rPr>
      </w:pPr>
      <w:r>
        <w:rPr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6689725</wp:posOffset>
                </wp:positionH>
                <wp:positionV relativeFrom="page">
                  <wp:posOffset>371475</wp:posOffset>
                </wp:positionV>
                <wp:extent cx="525145" cy="4089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20" cy="408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eastAsia="Noto Serif CJK SC" w:cs="Lohit Devanagari" w:ascii="Arial Narrow" w:hAnsi="Arial Narrow"/>
                                <w:lang w:eastAsia="zh-CN" w:bidi="hi-IN"/>
                              </w:rPr>
                              <w:t>MIN-VR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eastAsia="Noto Serif CJK SC" w:cs="Lohit Devanagari" w:ascii="Arial Narrow" w:hAnsi="Arial Narrow"/>
                                <w:lang w:eastAsia="zh-CN" w:bidi="hi-IN"/>
                              </w:rPr>
                              <w:t>Fls. ___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526.75pt;margin-top:29.25pt;width:41.25pt;height:32.1pt;mso-position-horizontal-relative:page;mso-position-vertical-relative:page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8"/>
                          <w:szCs w:val="18"/>
                          <w:b/>
                          <w:bCs/>
                          <w:rFonts w:eastAsia="Noto Serif CJK SC" w:cs="Lohit Devanagari" w:ascii="Arial Narrow" w:hAnsi="Arial Narrow"/>
                          <w:lang w:eastAsia="zh-CN" w:bidi="hi-IN"/>
                        </w:rPr>
                        <w:t>MIN-VR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18"/>
                          <w:szCs w:val="18"/>
                          <w:b/>
                          <w:bCs/>
                          <w:rFonts w:eastAsia="Noto Serif CJK SC" w:cs="Lohit Devanagari" w:ascii="Arial Narrow" w:hAnsi="Arial Narrow"/>
                          <w:lang w:eastAsia="zh-CN" w:bidi="hi-IN"/>
                        </w:rPr>
                        <w:t>Fls. ___</w:t>
                      </w:r>
                    </w:p>
                  </w:txbxContent>
                </v:textbox>
                <w10:wrap type="none"/>
                <v:fill o:detectmouseclick="t" color2="black"/>
                <v:stroke color="black" weight="25560" joinstyle="round" endcap="flat"/>
              </v:oval>
            </w:pict>
          </mc:Fallback>
        </mc:AlternateContent>
      </w:r>
    </w:p>
    <w:p>
      <w:pPr>
        <w:pStyle w:val="TCUAcitem91Linha"/>
        <w:spacing w:before="0" w:after="0"/>
        <w:ind w:start="0" w:end="0" w:hanging="0"/>
        <w:rPr>
          <w:rStyle w:val="DefaultParagraphFont"/>
        </w:rPr>
      </w:pPr>
      <w:r>
        <w:rPr/>
      </w:r>
    </w:p>
    <w:p>
      <w:pPr>
        <w:pStyle w:val="TCUAcitem91Linha"/>
        <w:spacing w:before="0" w:after="0"/>
        <w:ind w:start="0" w:end="0" w:hanging="0"/>
        <w:jc w:val="center"/>
        <w:rPr/>
      </w:pPr>
      <w:r>
        <w:rPr>
          <w:b/>
        </w:rPr>
        <w:t>ACÓRDÃO Nº 586/2020 - TCU - Plenário</w:t>
      </w:r>
    </w:p>
    <w:p>
      <w:pPr>
        <w:pStyle w:val="TCUAcitem91Linha"/>
        <w:spacing w:before="0" w:after="0"/>
        <w:ind w:start="0" w:end="0" w:hanging="0"/>
        <w:jc w:val="start"/>
        <w:rPr>
          <w:rStyle w:val="DefaultParagraphFont"/>
        </w:rPr>
      </w:pPr>
      <w:r>
        <w:rPr/>
      </w:r>
    </w:p>
    <w:p>
      <w:pPr>
        <w:pStyle w:val="TCUAcitem91Linha"/>
        <w:spacing w:before="0" w:after="120"/>
        <w:ind w:start="0" w:end="0" w:firstLine="1134"/>
        <w:rPr/>
      </w:pPr>
      <w:r>
        <w:rPr>
          <w:color w:val="000000"/>
          <w:szCs w:val="24"/>
        </w:rPr>
        <w:t>Trata-se de solicitação formulada pel</w:t>
      </w:r>
      <w:r>
        <w:rPr/>
        <w:t>o Ministro-Substituto de Estado da Infraestrutura, Sr. Marcelo Sampaio Cunha Filho, em que requer a dilação de prazo para a remessa de seis tomadas de contas especiais relativas a termos de cooperação celebrados entre o Departamento Nacional de Infraestrutura de Transportes – DNIT e o Departamento de Engenharia e Construção do Exército Brasileiro – DEC (peça 1).</w:t>
      </w:r>
    </w:p>
    <w:p>
      <w:pPr>
        <w:pStyle w:val="TCUAcitem91Linha"/>
        <w:spacing w:before="0" w:after="120"/>
        <w:ind w:start="0" w:end="0" w:firstLine="1134"/>
        <w:rPr/>
      </w:pPr>
      <w:r>
        <w:rPr>
          <w:szCs w:val="24"/>
        </w:rPr>
        <w:t xml:space="preserve">Considerando que </w:t>
      </w:r>
      <w:r>
        <w:rPr/>
        <w:t>a justificativa apresentada pelo Ministro-Substituto de Estado da Infraestrutura é dotada de plausibilidade, uma vez que as dificuldades operacionais elencadas no Ofício 11.3840/2019/Codel/CGCONT/DIR/DNIT/SEDE, de 13/11/2019, de fato, são motivadoras de atraso no trâmite das tomadas de contas especiais</w:t>
      </w:r>
      <w:r>
        <w:rPr>
          <w:szCs w:val="24"/>
        </w:rPr>
        <w:t>;</w:t>
      </w:r>
    </w:p>
    <w:p>
      <w:pPr>
        <w:pStyle w:val="TCUAcitem91Linha"/>
        <w:spacing w:before="0" w:after="120"/>
        <w:ind w:start="0" w:end="0" w:firstLine="1134"/>
        <w:rPr/>
      </w:pPr>
      <w:r>
        <w:rPr>
          <w:color w:val="000000"/>
          <w:szCs w:val="24"/>
        </w:rPr>
        <w:t xml:space="preserve">Os Ministros do Tribunal de Contas da União, reunidos em Sessão </w:t>
      </w:r>
      <w:r>
        <w:rPr>
          <w:szCs w:val="24"/>
        </w:rPr>
        <w:t>de Plenário</w:t>
      </w:r>
      <w:r>
        <w:rPr>
          <w:color w:val="000000"/>
          <w:szCs w:val="24"/>
        </w:rPr>
        <w:t xml:space="preserve">, ACORDAM, por unanimidade, com fundamento nos arts. 143, inciso V, alíneas “a” e “e”, e 169, inciso V, do Regimento Interno, c/c o art.11, </w:t>
      </w:r>
      <w:r>
        <w:rPr>
          <w:szCs w:val="24"/>
          <w:shd w:fill="FFFFFF" w:val="clear"/>
        </w:rPr>
        <w:t>§§ 2º e 3º</w:t>
      </w:r>
      <w:r>
        <w:rPr>
          <w:color w:val="000000"/>
          <w:szCs w:val="24"/>
        </w:rPr>
        <w:t>, da IN-TCU 71/2012, em:</w:t>
      </w:r>
    </w:p>
    <w:p>
      <w:pPr>
        <w:pStyle w:val="Normal"/>
        <w:tabs>
          <w:tab w:val="clear" w:pos="708"/>
          <w:tab w:val="left" w:pos="1134" w:leader="none"/>
          <w:tab w:val="right" w:pos="9639" w:leader="none"/>
        </w:tabs>
        <w:spacing w:before="0" w:after="120"/>
        <w:ind w:start="0" w:end="0" w:firstLine="1134"/>
        <w:jc w:val="both"/>
        <w:rPr/>
      </w:pPr>
      <w:r>
        <w:rPr>
          <w:szCs w:val="24"/>
        </w:rPr>
        <w:t>a) conhecer desta solicitação, para, no mérito, deferi-la;</w:t>
        <w:tab/>
      </w:r>
    </w:p>
    <w:p>
      <w:pPr>
        <w:pStyle w:val="ListParagraph"/>
        <w:tabs>
          <w:tab w:val="clear" w:pos="708"/>
          <w:tab w:val="left" w:pos="1134" w:leader="none"/>
        </w:tabs>
        <w:spacing w:before="0" w:after="120"/>
        <w:ind w:start="0" w:end="0" w:firstLine="1134"/>
        <w:contextualSpacing/>
        <w:jc w:val="both"/>
        <w:rPr/>
      </w:pPr>
      <w:r>
        <w:rPr>
          <w:sz w:val="24"/>
          <w:szCs w:val="24"/>
        </w:rPr>
        <w:t>b) prorrogar, por 30 dias, a contar deste Acórdão, o prazo estabelecido para a remessa da TCE referente ao Termo de Cooperação 243/2010;</w:t>
      </w:r>
    </w:p>
    <w:p>
      <w:pPr>
        <w:pStyle w:val="ListParagraph"/>
        <w:tabs>
          <w:tab w:val="clear" w:pos="708"/>
          <w:tab w:val="left" w:pos="1134" w:leader="none"/>
        </w:tabs>
        <w:spacing w:before="0" w:after="120"/>
        <w:ind w:start="0" w:end="0" w:firstLine="1134"/>
        <w:contextualSpacing/>
        <w:jc w:val="both"/>
        <w:rPr/>
      </w:pPr>
      <w:r>
        <w:rPr>
          <w:sz w:val="24"/>
          <w:szCs w:val="24"/>
        </w:rPr>
        <w:t>c) prorrogar, por 180 dias, a contar deste Acórdão, o prazo estabelecido para a remessa das TCE’s referentes aos Termos de Cooperação 372/2010, 644/2010, 428/2010, 284/2010 e 245/2010;</w:t>
      </w:r>
    </w:p>
    <w:p>
      <w:pPr>
        <w:pStyle w:val="ListParagraph"/>
        <w:tabs>
          <w:tab w:val="clear" w:pos="708"/>
          <w:tab w:val="left" w:pos="1134" w:leader="none"/>
        </w:tabs>
        <w:spacing w:before="0" w:after="120"/>
        <w:ind w:start="0" w:end="0" w:firstLine="1134"/>
        <w:contextualSpacing/>
        <w:jc w:val="both"/>
        <w:rPr/>
      </w:pPr>
      <w:r>
        <w:rPr>
          <w:sz w:val="24"/>
          <w:szCs w:val="24"/>
        </w:rPr>
        <w:t>d) encaminhar cópia desta deliberação, acompanhada da instrução da unidade técnica, ao Ministro de Estado da Infraestrutura; e</w:t>
      </w:r>
    </w:p>
    <w:p>
      <w:pPr>
        <w:pStyle w:val="TCUAcitem91Linha"/>
        <w:spacing w:before="0" w:after="120"/>
        <w:ind w:start="0" w:end="0" w:firstLine="1134"/>
        <w:rPr/>
      </w:pPr>
      <w:r>
        <w:rPr>
          <w:szCs w:val="24"/>
        </w:rPr>
        <w:t>e) encerrar o presente processo, nos termos do art. 169, inciso V, do RI/TCU.</w:t>
      </w:r>
    </w:p>
    <w:p>
      <w:pPr>
        <w:pStyle w:val="TCUAcitem91Linha"/>
        <w:spacing w:before="0" w:after="0"/>
        <w:ind w:start="0" w:end="0" w:hanging="0"/>
        <w:rPr/>
      </w:pPr>
      <w:r>
        <w:rPr>
          <w:b/>
        </w:rPr>
        <w:t>1. Processo TC-006.196/2020-9 (SOLICITAÇÃO)</w:t>
      </w:r>
    </w:p>
    <w:p>
      <w:pPr>
        <w:pStyle w:val="TCUAcitem91Linha"/>
        <w:spacing w:before="0" w:after="0"/>
        <w:ind w:start="0" w:end="0" w:hanging="0"/>
        <w:rPr/>
      </w:pPr>
      <w:r>
        <w:rPr/>
        <w:tab/>
        <w:t>1.1. Relator: Ministro Vital do Rêgo.</w:t>
      </w:r>
    </w:p>
    <w:p>
      <w:pPr>
        <w:pStyle w:val="TCUAcitem91Linha"/>
        <w:spacing w:before="0" w:after="0"/>
        <w:ind w:start="0" w:end="0" w:hanging="0"/>
        <w:rPr/>
      </w:pPr>
      <w:r>
        <w:rPr/>
        <w:tab/>
        <w:t>1.2. Representante do Ministério Público: não atuou.</w:t>
      </w:r>
    </w:p>
    <w:p>
      <w:pPr>
        <w:pStyle w:val="TCUAcitem91Linha"/>
        <w:spacing w:before="0" w:after="0"/>
        <w:ind w:start="0" w:end="0" w:hanging="0"/>
        <w:rPr/>
      </w:pPr>
      <w:r>
        <w:rPr/>
        <w:tab/>
        <w:t>1.3. Unidade Técnica: Secretaria de Controle Externo de Tomada de Contas Especial (SecexTCE).</w:t>
      </w:r>
    </w:p>
    <w:p>
      <w:pPr>
        <w:pStyle w:val="TCUAcitem91Linha"/>
        <w:spacing w:before="0" w:after="0"/>
        <w:ind w:start="0" w:end="0" w:hanging="0"/>
        <w:rPr/>
      </w:pPr>
      <w:r>
        <w:rPr/>
        <w:tab/>
        <w:t>1.4. Representação legal: não há.</w:t>
      </w:r>
    </w:p>
    <w:p>
      <w:pPr>
        <w:pStyle w:val="TCUAcitem91Linha"/>
        <w:spacing w:before="0" w:after="0"/>
        <w:ind w:start="0" w:end="0" w:hanging="0"/>
        <w:rPr/>
      </w:pPr>
      <w:r>
        <w:rPr/>
        <w:tab/>
        <w:t>1.5. Determinações/Recomendações/Orientações: não há.</w:t>
      </w:r>
    </w:p>
    <w:p>
      <w:pPr>
        <w:pStyle w:val="TCUAcitem91Linha"/>
        <w:spacing w:before="0" w:after="0"/>
        <w:ind w:start="0" w:end="0" w:hanging="0"/>
        <w:jc w:val="center"/>
        <w:rPr>
          <w:rStyle w:val="DefaultParagraphFont"/>
        </w:rPr>
      </w:pPr>
      <w:r>
        <w:rPr/>
      </w:r>
    </w:p>
    <w:p>
      <w:pPr>
        <w:pStyle w:val="Normal"/>
        <w:ind w:start="0" w:end="0" w:hanging="0"/>
        <w:rPr>
          <w:rStyle w:val="DefaultParagraphFont"/>
          <w:szCs w:val="24"/>
        </w:rPr>
      </w:pPr>
      <w:r>
        <w:rPr>
          <w:szCs w:val="24"/>
        </w:rPr>
      </w:r>
    </w:p>
    <w:p>
      <w:pPr>
        <w:pStyle w:val="Normal"/>
        <w:ind w:start="0" w:end="0" w:hanging="0"/>
        <w:rPr/>
      </w:pPr>
      <w:r>
        <w:rPr>
          <w:szCs w:val="24"/>
        </w:rPr>
        <w:t>Dados da Sessão:</w:t>
      </w:r>
      <w:r>
        <w:rPr/>
        <w:br/>
      </w:r>
      <w:r>
        <w:rPr>
          <w:szCs w:val="24"/>
        </w:rPr>
        <w:t xml:space="preserve">Ata n° 8/2020 – Plenário </w:t>
      </w:r>
    </w:p>
    <w:p>
      <w:pPr>
        <w:pStyle w:val="Normal"/>
        <w:ind w:start="0" w:end="0" w:hanging="0"/>
        <w:rPr/>
      </w:pPr>
      <w:r>
        <w:rPr>
          <w:szCs w:val="24"/>
        </w:rPr>
        <w:t xml:space="preserve">Data: 18/3/2020 – Ordinária </w:t>
      </w:r>
    </w:p>
    <w:p>
      <w:pPr>
        <w:pStyle w:val="Normal"/>
        <w:ind w:start="0" w:end="0" w:hanging="0"/>
        <w:rPr/>
      </w:pPr>
      <w:r>
        <w:rPr/>
        <w:t>Relator: Ministro VITAL DO RÊGO</w:t>
      </w:r>
    </w:p>
    <w:p>
      <w:pPr>
        <w:pStyle w:val="Normal"/>
        <w:ind w:start="0" w:end="0" w:hanging="0"/>
        <w:rPr/>
      </w:pPr>
      <w:r>
        <w:rPr>
          <w:szCs w:val="24"/>
        </w:rPr>
        <w:t xml:space="preserve">Presidente: Ministro JOSÉ MUCIO MONTEIRO </w:t>
      </w:r>
    </w:p>
    <w:p>
      <w:pPr>
        <w:pStyle w:val="Normal"/>
        <w:ind w:start="0" w:end="0" w:hanging="0"/>
        <w:rPr/>
      </w:pPr>
      <w:r>
        <w:rPr>
          <w:szCs w:val="24"/>
        </w:rPr>
        <w:t>Representante do Ministério Público: Procuradora-Geral CRISTINA MACHADO DA COSTA E SILVA</w:t>
      </w:r>
    </w:p>
    <w:p>
      <w:pPr>
        <w:pStyle w:val="Normal"/>
        <w:ind w:start="0" w:end="0" w:hanging="0"/>
        <w:jc w:val="center"/>
        <w:rPr>
          <w:rStyle w:val="DefaultParagraphFont"/>
          <w:szCs w:val="24"/>
        </w:rPr>
      </w:pPr>
      <w:r>
        <w:rPr>
          <w:szCs w:val="24"/>
        </w:rPr>
      </w:r>
    </w:p>
    <w:p>
      <w:pPr>
        <w:pStyle w:val="Normal"/>
        <w:ind w:start="0" w:end="0" w:hanging="0"/>
        <w:jc w:val="center"/>
        <w:rPr/>
      </w:pPr>
      <w:r>
        <w:rPr>
          <w:szCs w:val="24"/>
        </w:rPr>
        <w:t>TCU, em 18 de março de 2020.</w:t>
      </w:r>
    </w:p>
    <w:p>
      <w:pPr>
        <w:pStyle w:val="Normal"/>
        <w:ind w:start="0" w:end="0" w:hanging="0"/>
        <w:jc w:val="center"/>
        <w:rPr>
          <w:rStyle w:val="DefaultParagraphFont"/>
          <w:szCs w:val="24"/>
        </w:rPr>
      </w:pPr>
      <w:r>
        <w:rPr>
          <w:szCs w:val="24"/>
        </w:rPr>
      </w:r>
    </w:p>
    <w:p>
      <w:pPr>
        <w:pStyle w:val="Normal"/>
        <w:ind w:start="0" w:end="0" w:hanging="0"/>
        <w:jc w:val="center"/>
        <w:rPr>
          <w:rStyle w:val="DefaultParagraphFont"/>
          <w:szCs w:val="24"/>
        </w:rPr>
      </w:pPr>
      <w:r>
        <w:rPr>
          <w:szCs w:val="24"/>
        </w:rPr>
      </w:r>
    </w:p>
    <w:p>
      <w:pPr>
        <w:pStyle w:val="Normal"/>
        <w:ind w:start="0" w:end="0" w:hanging="0"/>
        <w:jc w:val="center"/>
        <w:rPr/>
      </w:pPr>
      <w:r>
        <w:rPr>
          <w:szCs w:val="24"/>
        </w:rPr>
        <w:t>Documento eletrônico gerado automaticamente pelo Sistema SAGAS</w:t>
      </w:r>
    </w:p>
    <w:p>
      <w:pPr>
        <w:pStyle w:val="Normal"/>
        <w:ind w:start="0" w:end="0" w:hanging="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709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widowControl/>
      <w:bidi w:val="0"/>
      <w:spacing w:lineRule="auto" w:line="276" w:before="0" w:after="200"/>
      <w:ind w:start="0" w:end="0" w:hanging="0"/>
      <w:jc w:val="start"/>
      <w:textAlignment w:val="auto"/>
      <w:rPr>
        <w:lang w:val="pt-BR"/>
      </w:rPr>
    </w:pPr>
    <w:r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23495</wp:posOffset>
          </wp:positionH>
          <wp:positionV relativeFrom="paragraph">
            <wp:posOffset>-47625</wp:posOffset>
          </wp:positionV>
          <wp:extent cx="638175" cy="552450"/>
          <wp:effectExtent l="0" t="0" r="0" b="0"/>
          <wp:wrapSquare wrapText="bothSides"/>
          <wp:docPr id="2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object>
        <v:shape id="ole_rId2" style="width:45.75pt;height:33.75pt" o:ole="">
          <v:imagedata r:id="rId3" o:title=""/>
        </v:shape>
        <o:OLEObject Type="Embed" ProgID="PBrush" ShapeID="ole_rId2" DrawAspect="" ObjectID="_1147010854" r:id="rId2"/>
      </w:object>
    </w:r>
    <w:r>
      <w:rPr>
        <w:rFonts w:cs="Times New Roman"/>
        <w:sz w:val="16"/>
        <w:szCs w:val="16"/>
        <w:lang w:val="pt-BR" w:eastAsia="pt-BR" w:bidi="ar-SA"/>
      </w:rPr>
      <w:tab/>
      <w:tab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741045</wp:posOffset>
              </wp:positionH>
              <wp:positionV relativeFrom="page">
                <wp:posOffset>469265</wp:posOffset>
              </wp:positionV>
              <wp:extent cx="5835015" cy="64516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5015" cy="6451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ind w:start="0" w:end="0" w:hanging="0"/>
                            <w:jc w:val="start"/>
                            <w:textAlignment w:val="auto"/>
                            <w:rPr>
                              <w:lang w:val="pt-BR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22"/>
                              <w:szCs w:val="22"/>
                              <w:lang w:val="pt-BR" w:eastAsia="pt-BR" w:bidi="ar-SA"/>
                            </w:rPr>
                            <w:t>TRIBUNAL DE CONTAS DA UNIÃO</w:t>
                          </w:r>
                        </w:p>
                        <w:p>
                          <w:pPr>
                            <w:pStyle w:val="Normal"/>
                            <w:widowControl/>
                            <w:bidi w:val="0"/>
                            <w:ind w:start="0" w:end="0" w:hanging="0"/>
                            <w:jc w:val="start"/>
                            <w:textAlignment w:val="auto"/>
                            <w:rPr>
                              <w:lang w:val="pt-BR"/>
                            </w:rPr>
                          </w:pPr>
                          <w:r>
                            <w:rPr>
                              <w:rFonts w:cs="Times New Roman"/>
                              <w:sz w:val="22"/>
                              <w:szCs w:val="22"/>
                              <w:lang w:val="pt-BR" w:eastAsia="pt-BR" w:bidi="ar-SA"/>
                            </w:rPr>
                            <w:t>Excerto da Relação  6/2020 - TCU – Plenário</w:t>
                            <w:tab/>
                            <w:tab/>
                            <w:tab/>
                            <w:tab/>
                          </w:r>
                        </w:p>
                        <w:p>
                          <w:pPr>
                            <w:pStyle w:val="Normal"/>
                            <w:widowControl/>
                            <w:bidi w:val="0"/>
                            <w:ind w:start="0" w:end="0" w:hanging="0"/>
                            <w:jc w:val="start"/>
                            <w:textAlignment w:val="auto"/>
                            <w:rPr>
                              <w:lang w:val="pt-BR"/>
                            </w:rPr>
                          </w:pPr>
                          <w:r>
                            <w:rPr>
                              <w:rFonts w:cs="Times New Roman"/>
                              <w:sz w:val="22"/>
                              <w:szCs w:val="22"/>
                              <w:lang w:val="pt-BR" w:eastAsia="pt-BR" w:bidi="ar-SA"/>
                            </w:rPr>
                            <w:t>Relator - Ministro VITAL DO RÊGO</w:t>
                          </w:r>
                        </w:p>
                        <w:p>
                          <w:pPr>
                            <w:pStyle w:val="Normal"/>
                            <w:widowControl/>
                            <w:bidi w:val="0"/>
                            <w:ind w:start="0" w:end="0" w:hanging="0"/>
                            <w:jc w:val="start"/>
                            <w:textAlignment w:val="auto"/>
                            <w:rPr>
                              <w:rStyle w:val="DefaultParagraphFont"/>
                              <w:rFonts w:ascii="Times New Roman" w:hAnsi="Times New Roman" w:cs="Times New Roman"/>
                              <w:sz w:val="24"/>
                              <w:szCs w:val="20"/>
                              <w:lang w:val="pt-BR" w:eastAsia="pt-BR" w:bidi="ar-SA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0"/>
                              <w:lang w:val="pt-BR" w:eastAsia="pt-BR" w:bidi="ar-SA"/>
                            </w:rPr>
                          </w:r>
                        </w:p>
                      </w:txbxContent>
                    </wps:txbx>
                    <wps:bodyPr anchor="t" lIns="63500" tIns="35560" rIns="63500" bIns="635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59.45pt;height:50.8pt;mso-wrap-distance-left:5.7pt;mso-wrap-distance-right:5.7pt;mso-wrap-distance-top:5.7pt;mso-wrap-distance-bottom:5.7pt;margin-top:36.95pt;mso-position-vertical-relative:page;margin-left:58.35pt;mso-position-horizontal-relative:text">
              <v:textbox inset="0.0694444444444444in,0.0388888888888889in,0.0694444444444444in,0.0694444444444444in">
                <w:txbxContent>
                  <w:p>
                    <w:pPr>
                      <w:pStyle w:val="Normal"/>
                      <w:widowControl/>
                      <w:bidi w:val="0"/>
                      <w:ind w:start="0" w:end="0" w:hanging="0"/>
                      <w:jc w:val="start"/>
                      <w:textAlignment w:val="auto"/>
                      <w:rPr>
                        <w:lang w:val="pt-BR"/>
                      </w:rPr>
                    </w:pPr>
                    <w:r>
                      <w:rPr>
                        <w:rFonts w:cs="Times New Roman"/>
                        <w:b/>
                        <w:sz w:val="22"/>
                        <w:szCs w:val="22"/>
                        <w:lang w:val="pt-BR" w:eastAsia="pt-BR" w:bidi="ar-SA"/>
                      </w:rPr>
                      <w:t>TRIBUNAL DE CONTAS DA UNIÃO</w:t>
                    </w:r>
                  </w:p>
                  <w:p>
                    <w:pPr>
                      <w:pStyle w:val="Normal"/>
                      <w:widowControl/>
                      <w:bidi w:val="0"/>
                      <w:ind w:start="0" w:end="0" w:hanging="0"/>
                      <w:jc w:val="start"/>
                      <w:textAlignment w:val="auto"/>
                      <w:rPr>
                        <w:lang w:val="pt-BR"/>
                      </w:rPr>
                    </w:pPr>
                    <w:r>
                      <w:rPr>
                        <w:rFonts w:cs="Times New Roman"/>
                        <w:sz w:val="22"/>
                        <w:szCs w:val="22"/>
                        <w:lang w:val="pt-BR" w:eastAsia="pt-BR" w:bidi="ar-SA"/>
                      </w:rPr>
                      <w:t>Excerto da Relação  6/2020 - TCU – Plenário</w:t>
                      <w:tab/>
                      <w:tab/>
                      <w:tab/>
                      <w:tab/>
                    </w:r>
                  </w:p>
                  <w:p>
                    <w:pPr>
                      <w:pStyle w:val="Normal"/>
                      <w:widowControl/>
                      <w:bidi w:val="0"/>
                      <w:ind w:start="0" w:end="0" w:hanging="0"/>
                      <w:jc w:val="start"/>
                      <w:textAlignment w:val="auto"/>
                      <w:rPr>
                        <w:lang w:val="pt-BR"/>
                      </w:rPr>
                    </w:pPr>
                    <w:r>
                      <w:rPr>
                        <w:rFonts w:cs="Times New Roman"/>
                        <w:sz w:val="22"/>
                        <w:szCs w:val="22"/>
                        <w:lang w:val="pt-BR" w:eastAsia="pt-BR" w:bidi="ar-SA"/>
                      </w:rPr>
                      <w:t>Relator - Ministro VITAL DO RÊGO</w:t>
                    </w:r>
                  </w:p>
                  <w:p>
                    <w:pPr>
                      <w:pStyle w:val="Normal"/>
                      <w:widowControl/>
                      <w:bidi w:val="0"/>
                      <w:ind w:start="0" w:end="0" w:hanging="0"/>
                      <w:jc w:val="start"/>
                      <w:textAlignment w:val="auto"/>
                      <w:rPr>
                        <w:rStyle w:val="DefaultParagraphFont"/>
                        <w:rFonts w:ascii="Times New Roman" w:hAnsi="Times New Roman" w:cs="Times New Roman"/>
                        <w:sz w:val="24"/>
                        <w:szCs w:val="20"/>
                        <w:lang w:val="pt-BR" w:eastAsia="pt-BR" w:bidi="ar-SA"/>
                      </w:rPr>
                    </w:pPr>
                    <w:r>
                      <w:rPr>
                        <w:rFonts w:cs="Times New Roman"/>
                        <w:sz w:val="24"/>
                        <w:szCs w:val="20"/>
                        <w:lang w:val="pt-BR" w:eastAsia="pt-BR" w:bidi="ar-SA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start"/>
      <w:textAlignment w:val="auto"/>
    </w:pPr>
    <w:rPr>
      <w:rFonts w:ascii="Times New Roman" w:hAnsi="Times New Roman" w:eastAsia="Symbol" w:cs="Times New Roman"/>
      <w:color w:val="auto"/>
      <w:kern w:val="2"/>
      <w:sz w:val="24"/>
      <w:szCs w:val="20"/>
      <w:lang w:val="pt-BR" w:eastAsia="pt-BR" w:bidi="ar-SA"/>
    </w:rPr>
  </w:style>
  <w:style w:type="paragraph" w:styleId="Ttulo1">
    <w:name w:val="Heading 1"/>
    <w:basedOn w:val="Normal"/>
    <w:qFormat/>
    <w:pPr>
      <w:keepNext w:val="true"/>
      <w:widowControl w:val="false"/>
      <w:tabs>
        <w:tab w:val="clear" w:pos="708"/>
        <w:tab w:val="left" w:pos="-142" w:leader="none"/>
      </w:tabs>
      <w:jc w:val="both"/>
      <w:outlineLvl w:val="0"/>
    </w:pPr>
    <w:rPr>
      <w:color w:val="0000FF"/>
      <w:szCs w:val="24"/>
    </w:rPr>
  </w:style>
  <w:style w:type="paragraph" w:styleId="Ttulo2">
    <w:name w:val="Heading 2"/>
    <w:basedOn w:val="Normal"/>
    <w:qFormat/>
    <w:pPr>
      <w:keepNext w:val="true"/>
      <w:outlineLvl w:val="1"/>
    </w:pPr>
    <w:rPr>
      <w:szCs w:val="24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Cambria" w:hAnsi="Cambria"/>
      <w:b/>
      <w:bCs/>
      <w:kern w:val="2"/>
      <w:sz w:val="32"/>
      <w:szCs w:val="32"/>
    </w:rPr>
  </w:style>
  <w:style w:type="character" w:styleId="Ttulo2Char">
    <w:name w:val="Título 2 Char"/>
    <w:basedOn w:val="DefaultParagraphFont"/>
    <w:qFormat/>
    <w:rPr>
      <w:rFonts w:ascii="Cambria" w:hAnsi="Cambria"/>
      <w:b/>
      <w:bCs/>
      <w:i/>
      <w:iCs/>
      <w:sz w:val="28"/>
      <w:szCs w:val="28"/>
    </w:rPr>
  </w:style>
  <w:style w:type="character" w:styleId="Corpodetexto2Char">
    <w:name w:val="Corpo de texto 2 Char"/>
    <w:basedOn w:val="DefaultParagraphFont"/>
    <w:qFormat/>
    <w:rPr>
      <w:sz w:val="20"/>
    </w:rPr>
  </w:style>
  <w:style w:type="character" w:styleId="TextosemFormataoChar">
    <w:name w:val="Texto sem Formatação Char"/>
    <w:basedOn w:val="DefaultParagraphFont"/>
    <w:qFormat/>
    <w:rPr>
      <w:rFonts w:ascii="Courier New" w:hAnsi="Courier New" w:cs="Courier New"/>
      <w:sz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decomentrioChar">
    <w:name w:val="Texto de comentário Char"/>
    <w:basedOn w:val="DefaultParagraphFont"/>
    <w:qFormat/>
    <w:rPr>
      <w:sz w:val="20"/>
    </w:rPr>
  </w:style>
  <w:style w:type="character" w:styleId="CabealhoChar">
    <w:name w:val="Cabeçalho Char"/>
    <w:basedOn w:val="DefaultParagraphFont"/>
    <w:qFormat/>
    <w:rPr>
      <w:sz w:val="20"/>
    </w:rPr>
  </w:style>
  <w:style w:type="character" w:styleId="RodapChar">
    <w:name w:val="Rodapé Char"/>
    <w:basedOn w:val="DefaultParagraphFont"/>
    <w:qFormat/>
    <w:rPr>
      <w:sz w:val="20"/>
    </w:rPr>
  </w:style>
  <w:style w:type="character" w:styleId="CorpodetextoChar">
    <w:name w:val="Corpo de texto Char"/>
    <w:basedOn w:val="DefaultParagraphFont"/>
    <w:qFormat/>
    <w:rPr>
      <w:sz w:val="20"/>
    </w:rPr>
  </w:style>
  <w:style w:type="character" w:styleId="Pagenumber">
    <w:name w:val="page number"/>
    <w:basedOn w:val="DefaultParagraphFont"/>
    <w:qFormat/>
    <w:rPr/>
  </w:style>
  <w:style w:type="character" w:styleId="TtuloChar">
    <w:name w:val="Título Char"/>
    <w:basedOn w:val="DefaultParagraphFont"/>
    <w:qFormat/>
    <w:rPr>
      <w:b/>
      <w:bCs/>
      <w:kern w:val="2"/>
      <w:sz w:val="32"/>
      <w:szCs w:val="32"/>
    </w:rPr>
  </w:style>
  <w:style w:type="character" w:styleId="SubttuloChar">
    <w:name w:val="Subtítulo Char"/>
    <w:basedOn w:val="DefaultParagraphFont"/>
    <w:qFormat/>
    <w:rPr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jc w:val="both"/>
    </w:pPr>
    <w:rPr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 w:val="false"/>
      <w:bidi w:val="0"/>
      <w:jc w:val="start"/>
      <w:textAlignment w:val="auto"/>
    </w:pPr>
    <w:rPr>
      <w:rFonts w:ascii="Times New Roman" w:hAnsi="Times New Roman" w:eastAsia="Symbol" w:cs="Cambria Math"/>
      <w:color w:val="auto"/>
      <w:kern w:val="2"/>
      <w:sz w:val="24"/>
      <w:szCs w:val="24"/>
      <w:lang w:val="pt-BR" w:eastAsia="zh-CN" w:bidi="hi-IN"/>
    </w:rPr>
  </w:style>
  <w:style w:type="paragraph" w:styleId="BodyText2">
    <w:name w:val="Body Text 2"/>
    <w:basedOn w:val="Normal"/>
    <w:qFormat/>
    <w:pPr>
      <w:jc w:val="end"/>
    </w:pPr>
    <w:rPr>
      <w:szCs w:val="24"/>
    </w:rPr>
  </w:style>
  <w:style w:type="paragraph" w:styleId="Zzz">
    <w:name w:val="zzz"/>
    <w:basedOn w:val="Normal"/>
    <w:autoRedefine/>
    <w:qFormat/>
    <w:pPr>
      <w:tabs>
        <w:tab w:val="clear" w:pos="708"/>
        <w:tab w:val="left" w:pos="360" w:leader="none"/>
        <w:tab w:val="left" w:pos="1418" w:leader="none"/>
      </w:tabs>
      <w:spacing w:before="240" w:after="0"/>
      <w:ind w:start="360" w:hanging="360"/>
      <w:jc w:val="both"/>
    </w:pPr>
    <w:rPr>
      <w:szCs w:val="24"/>
    </w:rPr>
  </w:style>
  <w:style w:type="paragraph" w:styleId="Sumrio1">
    <w:name w:val="TOC 1"/>
    <w:basedOn w:val="Normal"/>
    <w:autoRedefine/>
    <w:pPr>
      <w:spacing w:before="120" w:after="120"/>
    </w:pPr>
    <w:rPr>
      <w:b/>
      <w:bCs/>
      <w:caps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Annotationtext">
    <w:name w:val="annotation text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76" w:before="0" w:after="200"/>
    </w:pPr>
    <w:rPr/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jc w:val="center"/>
      <w:outlineLvl w:val="0"/>
    </w:pPr>
    <w:rPr>
      <w:b/>
      <w:bCs/>
      <w:kern w:val="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szCs w:val="24"/>
    </w:rPr>
  </w:style>
  <w:style w:type="paragraph" w:styleId="TCURelVotodemais">
    <w:name w:val="TCU - Rel/Voto - demais §§"/>
    <w:basedOn w:val="Normal"/>
    <w:qFormat/>
    <w:pPr>
      <w:tabs>
        <w:tab w:val="clear" w:pos="708"/>
        <w:tab w:val="left" w:pos="1134" w:leader="none"/>
      </w:tabs>
      <w:spacing w:before="0" w:after="160"/>
      <w:jc w:val="both"/>
    </w:pPr>
    <w:rPr>
      <w:rFonts w:eastAsia="MS Mincho"/>
    </w:rPr>
  </w:style>
  <w:style w:type="paragraph" w:styleId="TCUAcitem91Linha">
    <w:name w:val="TCU -  Ac - item 9 - 1ª Linha"/>
    <w:basedOn w:val="TCURelVotodemais"/>
    <w:qFormat/>
    <w:pPr>
      <w:spacing w:before="0" w:after="160"/>
      <w:jc w:val="both"/>
    </w:pPr>
    <w:rPr>
      <w:rFonts w:eastAsia="MS Mincho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>
      <w:rFonts w:eastAsia="MS Mincho"/>
      <w:sz w:val="20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LibreOffice_project/4e471d8c02c9c90f512f7f9ead8875b57fcb1ec3</Application>
  <Pages>1</Pages>
  <Words>344</Words>
  <Characters>1993</Characters>
  <CharactersWithSpaces>2333</CharactersWithSpaces>
  <Paragraphs>26</Paragraphs>
  <Company>tcu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2008-03-05T18:42:00Z</dcterms:created>
  <dc:creator/>
  <dc:description/>
  <dc:language>pt-BR</dc:language>
  <cp:lastModifiedBy/>
  <cp:lastPrinted>2007-09-13T16:01:00Z</cp:lastPrinted>
  <dcterms:modified xsi:type="dcterms:W3CDTF">2013-07-09T17:38:00Z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tcu</vt:lpwstr>
  </property>
  <property fmtid="{D5CDD505-2E9C-101B-9397-08002B2CF9AE}" pid="3" name="Operator">
    <vt:lpwstr>melgacorm</vt:lpwstr>
  </property>
</Properties>
</file>