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-142" w:leader="none"/>
        </w:tabs>
        <w:bidi w:val="0"/>
        <w:ind w:start="360" w:end="0" w:hanging="0"/>
        <w:rPr>
          <w:rFonts w:ascii="Times New Roman" w:hAnsi="Times New Roman"/>
          <w:szCs w:val="24"/>
        </w:rPr>
      </w:pPr>
      <w:r>
        <w:rPr>
          <w:szCs w:val="24"/>
        </w:rPr>
      </w:r>
    </w:p>
    <w:p>
      <w:pPr>
        <w:pStyle w:val="Normal"/>
        <w:widowControl w:val="false"/>
        <w:tabs>
          <w:tab w:val="clear" w:pos="708"/>
          <w:tab w:val="left" w:pos="-142" w:leader="none"/>
        </w:tabs>
        <w:bidi w:val="0"/>
        <w:ind w:start="360" w:end="0" w:hanging="0"/>
        <w:jc w:val="center"/>
        <w:rPr/>
      </w:pPr>
      <w:r>
        <w:rPr>
          <w:szCs w:val="24"/>
        </w:rPr>
        <w:t>ACÓRDÃO Nº 606/2020 – TCU – Plenário</w:t>
      </w:r>
    </w:p>
    <w:p>
      <w:pPr>
        <w:pStyle w:val="TCUEpgrafe"/>
        <w:bidi w:val="0"/>
        <w:ind w:start="0" w:end="0" w:hanging="0"/>
        <w:jc w:val="center"/>
        <w:rPr>
          <w:rFonts w:ascii="Times New Roman" w:hAnsi="Times New Roman"/>
          <w:szCs w:val="24"/>
        </w:rPr>
      </w:pPr>
      <w:r>
        <w:rPr>
          <w:szCs w:val="24"/>
        </w:rPr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1. Processo nº TC 001.922/2009-5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 xml:space="preserve">2. Grupo II – Classe de Assunto: I - Embargos de Declaração (Tomada de Contas Especial) 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3. Recorrente:</w:t>
      </w:r>
      <w:r>
        <w:rPr/>
        <w:t xml:space="preserve"> </w:t>
      </w:r>
      <w:r>
        <w:rPr>
          <w:szCs w:val="24"/>
        </w:rPr>
        <w:t>Hospfar Ind. e Com. de Produtos Hospitalares Ltda. (26.921.908/0001-21)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4. Órgão/Entidade: Governo do Estado de Goiás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5. Relator: Ministro Raimundo Carreiro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5.1. Relator da deliberação recorrida: Ministro</w:t>
      </w:r>
      <w:r>
        <w:rPr/>
        <w:t xml:space="preserve"> </w:t>
      </w:r>
      <w:r>
        <w:rPr>
          <w:szCs w:val="24"/>
        </w:rPr>
        <w:t>José Múcio Monteiro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6. Representante do Ministério Público: não atuou.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7. Unidade Técnica: Secretaria de Recursos - Serur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>8. Advogados com procuração nos autos:  Antônio Augusto Rosa Gilberti</w:t>
      </w:r>
      <w:r>
        <w:rPr>
          <w:color w:val="000000"/>
          <w:szCs w:val="24"/>
        </w:rPr>
        <w:t xml:space="preserve"> (OAB/GO 11.703), Carla Valente Brandão (OAB/GO 13.267) </w:t>
      </w:r>
      <w:r>
        <w:rPr>
          <w:szCs w:val="24"/>
        </w:rPr>
        <w:t>e outros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>
          <w:szCs w:val="24"/>
        </w:rPr>
        <w:t xml:space="preserve"> </w:t>
      </w:r>
    </w:p>
    <w:p>
      <w:pPr>
        <w:pStyle w:val="TCUAcitem9"/>
        <w:bidi w:val="0"/>
        <w:ind w:start="0" w:end="0" w:hanging="0"/>
        <w:rPr/>
      </w:pPr>
      <w:r>
        <w:rPr/>
        <w:t>9. Acórdão:</w:t>
      </w:r>
    </w:p>
    <w:p>
      <w:pPr>
        <w:pStyle w:val="TCUAcitem9"/>
        <w:bidi w:val="0"/>
        <w:ind w:start="0" w:end="0" w:firstLine="1134"/>
        <w:rPr/>
      </w:pPr>
      <w:r>
        <w:rPr/>
        <w:t>VISTOS, relatados e discutidos estes autos de embargos de declaração opostos por Hospfar Ind. e Com. de Produtos Hospitalares Ltda. contra o Acórdão 2923/2018 – TCU – Plenário, que negou provimento ao recurso de reconsideração interposto contra o Acórdão 1025/2015 – TCU – Plenário, modificado pelo Acórdão 815/2017 – TCU – Plenário.</w:t>
      </w:r>
    </w:p>
    <w:p>
      <w:pPr>
        <w:pStyle w:val="TCUAcitem9"/>
        <w:bidi w:val="0"/>
        <w:ind w:start="0" w:end="0" w:firstLine="1134"/>
        <w:rPr/>
      </w:pPr>
      <w:r>
        <w:rPr/>
        <w:t>ACORDAM os Ministros do Tribunal de Contas da União, reunidos em Sessão Plenária, diante das razões expostas pelo Relator, em:</w:t>
      </w:r>
    </w:p>
    <w:p>
      <w:pPr>
        <w:pStyle w:val="TCUAcitem9"/>
        <w:bidi w:val="0"/>
        <w:ind w:start="0" w:end="0" w:firstLine="1134"/>
        <w:rPr/>
      </w:pPr>
      <w:r>
        <w:rPr/>
        <w:t xml:space="preserve">9.1 conhecer dos embargos da empresa </w:t>
      </w:r>
      <w:r>
        <w:rPr>
          <w:szCs w:val="24"/>
        </w:rPr>
        <w:t>Hospfar Ind. e Com. de Produtos Hospitalares Ltda., para</w:t>
      </w:r>
      <w:r>
        <w:rPr/>
        <w:t>, no mérito, rejeitá-los;</w:t>
      </w:r>
    </w:p>
    <w:p>
      <w:pPr>
        <w:pStyle w:val="TCUAcitem9"/>
        <w:bidi w:val="0"/>
        <w:ind w:start="0" w:end="0" w:firstLine="1134"/>
        <w:rPr/>
      </w:pPr>
      <w:r>
        <w:rPr/>
        <w:t>9.2. comunicar o inteiro teor da presente deliberação à Procuradoria da República no Estado de Goiás, em consonância com o disposto no art. 16, § 3º, da Lei 8.443/1992, bem como ao Ministério Público do Estado de Goiás, ao Tribunal de Contas do Estado de Goiás, à Secretaria da Saúde do Estado de Goiás, aos recorrentes e aos demais interessados.</w:t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>
          <w:rFonts w:ascii="Times New Roman" w:hAnsi="Times New Roman"/>
          <w:szCs w:val="24"/>
        </w:rPr>
      </w:pPr>
      <w:r>
        <w:rPr>
          <w:szCs w:val="24"/>
        </w:rPr>
      </w:r>
    </w:p>
    <w:p>
      <w:pPr>
        <w:pStyle w:val="Normal"/>
        <w:bidi w:val="0"/>
        <w:ind w:start="0" w:end="0" w:hanging="0"/>
        <w:jc w:val="both"/>
        <w:rPr/>
      </w:pPr>
      <w:r>
        <w:rPr>
          <w:color w:val="000000"/>
          <w:szCs w:val="24"/>
        </w:rPr>
        <w:t>10. Ata n° 8/2020 – Plenário.</w:t>
      </w:r>
    </w:p>
    <w:p>
      <w:pPr>
        <w:pStyle w:val="Normal"/>
        <w:bidi w:val="0"/>
        <w:ind w:start="0" w:end="0" w:hanging="0"/>
        <w:jc w:val="both"/>
        <w:rPr/>
      </w:pPr>
      <w:r>
        <w:rPr>
          <w:color w:val="000000"/>
          <w:szCs w:val="24"/>
        </w:rPr>
        <w:t>11. Data da Sessão: 18/3/2020 – Ordinária.</w:t>
      </w:r>
    </w:p>
    <w:p>
      <w:pPr>
        <w:pStyle w:val="Normal"/>
        <w:bidi w:val="0"/>
        <w:ind w:start="0" w:end="0" w:hanging="0"/>
        <w:jc w:val="both"/>
        <w:rPr/>
      </w:pPr>
      <w:r>
        <w:rPr>
          <w:color w:val="000000"/>
          <w:szCs w:val="24"/>
        </w:rPr>
        <w:t>12. Código eletrônico para localização na página do TCU na Internet: AC-0606-08/20-P.</w:t>
      </w:r>
    </w:p>
    <w:p>
      <w:pPr>
        <w:pStyle w:val="Normal"/>
        <w:bidi w:val="0"/>
        <w:ind w:start="0" w:end="0" w:hanging="0"/>
        <w:jc w:val="both"/>
        <w:rPr/>
      </w:pPr>
      <w:r>
        <w:rPr>
          <w:color w:val="000000"/>
          <w:szCs w:val="24"/>
        </w:rPr>
        <w:t xml:space="preserve">13. Especificação do quórum: </w:t>
      </w:r>
    </w:p>
    <w:p>
      <w:pPr>
        <w:pStyle w:val="Normal"/>
        <w:bidi w:val="0"/>
        <w:ind w:start="0" w:end="0" w:hanging="0"/>
        <w:jc w:val="both"/>
        <w:rPr/>
      </w:pPr>
      <w:r>
        <w:rPr>
          <w:szCs w:val="24"/>
        </w:rPr>
        <w:t>13.1. Ministros presentes: José Mucio Monteiro (Presidente), Walton Alencar Rodrigues, Benjamin Zymler, Augusto Nardes, Raimundo Carreiro (Relator), Ana Arraes, Bruno Dantas e Vital do Rêgo.</w:t>
      </w:r>
    </w:p>
    <w:p>
      <w:pPr>
        <w:pStyle w:val="Normal"/>
        <w:bidi w:val="0"/>
        <w:ind w:start="0" w:end="0" w:hanging="0"/>
        <w:jc w:val="both"/>
        <w:rPr/>
      </w:pPr>
      <w:r>
        <w:rPr>
          <w:szCs w:val="24"/>
        </w:rPr>
        <w:t>13.2. Ministro-Substituto convocado: André Luís de Carvalho.</w:t>
      </w:r>
    </w:p>
    <w:p>
      <w:pPr>
        <w:pStyle w:val="Normal"/>
        <w:bidi w:val="0"/>
        <w:ind w:start="0" w:end="0" w:hanging="0"/>
        <w:jc w:val="both"/>
        <w:rPr/>
      </w:pPr>
      <w:r>
        <w:rPr>
          <w:szCs w:val="24"/>
        </w:rPr>
        <w:t>13.3. Ministro-Substituto presente: Weder de Oliveira.</w:t>
      </w:r>
    </w:p>
    <w:p>
      <w:pPr>
        <w:pStyle w:val="Normal"/>
        <w:bidi w:val="0"/>
        <w:ind w:start="0" w:end="0" w:hanging="0"/>
        <w:jc w:val="both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bidi w:val="0"/>
        <w:ind w:start="0" w:end="0" w:hanging="0"/>
        <w:jc w:val="both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tbl>
      <w:tblPr>
        <w:tblW w:w="10200" w:type="dxa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5100"/>
        <w:gridCol w:w="5099"/>
      </w:tblGrid>
      <w:tr>
        <w:trPr/>
        <w:tc>
          <w:tcPr>
            <w:tcW w:w="5100" w:type="dxa"/>
            <w:tcBorders/>
          </w:tcPr>
          <w:p>
            <w:pPr>
              <w:pStyle w:val="Normal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color w:val="000000"/>
                <w:sz w:val="20"/>
              </w:rPr>
              <w:t>(Assinado Eletronicamente)</w:t>
            </w:r>
          </w:p>
          <w:p>
            <w:pPr>
              <w:pStyle w:val="Normal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color w:val="000000"/>
                <w:szCs w:val="24"/>
              </w:rPr>
              <w:t>JOSÉ MUCIO MONTEIRO</w:t>
            </w:r>
          </w:p>
        </w:tc>
        <w:tc>
          <w:tcPr>
            <w:tcW w:w="5099" w:type="dxa"/>
            <w:tcBorders/>
          </w:tcPr>
          <w:p>
            <w:pPr>
              <w:pStyle w:val="Normal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color w:val="000000"/>
                <w:sz w:val="20"/>
              </w:rPr>
              <w:t>(Assinado Eletronicamente)</w:t>
            </w:r>
          </w:p>
          <w:p>
            <w:pPr>
              <w:pStyle w:val="Normal"/>
              <w:tabs>
                <w:tab w:val="clear" w:pos="708"/>
              </w:tabs>
              <w:bidi w:val="0"/>
              <w:ind w:start="0" w:end="0" w:hanging="0"/>
              <w:jc w:val="center"/>
              <w:rPr/>
            </w:pPr>
            <w:r>
              <w:rPr>
                <w:color w:val="000000"/>
                <w:szCs w:val="24"/>
              </w:rPr>
              <w:t>RAIMUNDO CARREIRO</w:t>
            </w:r>
          </w:p>
        </w:tc>
      </w:tr>
      <w:tr>
        <w:trPr/>
        <w:tc>
          <w:tcPr>
            <w:tcW w:w="5100" w:type="dxa"/>
            <w:tcBorders/>
          </w:tcPr>
          <w:p>
            <w:pPr>
              <w:pStyle w:val="Normal"/>
              <w:bidi w:val="0"/>
              <w:ind w:start="0" w:end="0" w:hanging="0"/>
              <w:jc w:val="center"/>
              <w:rPr/>
            </w:pPr>
            <w:r>
              <w:rPr>
                <w:color w:val="000000"/>
                <w:szCs w:val="24"/>
              </w:rPr>
              <w:t>Presidente</w:t>
            </w:r>
          </w:p>
        </w:tc>
        <w:tc>
          <w:tcPr>
            <w:tcW w:w="5099" w:type="dxa"/>
            <w:tcBorders/>
          </w:tcPr>
          <w:p>
            <w:pPr>
              <w:pStyle w:val="Normal"/>
              <w:bidi w:val="0"/>
              <w:ind w:start="0" w:end="0" w:hanging="0"/>
              <w:jc w:val="center"/>
              <w:rPr/>
            </w:pPr>
            <w:r>
              <w:rPr>
                <w:color w:val="000000"/>
                <w:szCs w:val="24"/>
              </w:rPr>
              <w:t>Relator</w:t>
            </w:r>
          </w:p>
        </w:tc>
      </w:tr>
    </w:tbl>
    <w:p>
      <w:pPr>
        <w:pStyle w:val="Normal"/>
        <w:bidi w:val="0"/>
        <w:ind w:start="0" w:end="0" w:hanging="0"/>
        <w:jc w:val="center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bidi w:val="0"/>
        <w:ind w:start="0" w:end="0" w:hanging="0"/>
        <w:jc w:val="center"/>
        <w:rPr/>
      </w:pPr>
      <w:r>
        <w:rPr>
          <w:color w:val="000000"/>
          <w:szCs w:val="24"/>
        </w:rPr>
        <w:t>Fui presente: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bidi w:val="0"/>
        <w:ind w:start="0" w:end="0" w:hanging="0"/>
        <w:jc w:val="center"/>
        <w:rPr/>
      </w:pPr>
      <w:r>
        <w:rPr>
          <w:color w:val="000000"/>
          <w:sz w:val="20"/>
        </w:rPr>
        <w:t>(Assinado Eletronicamente)</w:t>
      </w:r>
    </w:p>
    <w:p>
      <w:pPr>
        <w:pStyle w:val="Normal"/>
        <w:bidi w:val="0"/>
        <w:ind w:start="0" w:end="0" w:hanging="0"/>
        <w:jc w:val="center"/>
        <w:rPr/>
      </w:pPr>
      <w:r>
        <w:rPr>
          <w:color w:val="000000"/>
          <w:szCs w:val="24"/>
        </w:rPr>
        <w:t>CRISTINA MACHADO DA COSTA E SILVA</w:t>
      </w:r>
    </w:p>
    <w:p>
      <w:pPr>
        <w:pStyle w:val="Normal"/>
        <w:bidi w:val="0"/>
        <w:ind w:start="0" w:end="0" w:hanging="0"/>
        <w:jc w:val="center"/>
        <w:rPr/>
      </w:pPr>
      <w:r>
        <w:rPr>
          <w:color w:val="000000"/>
          <w:szCs w:val="24"/>
        </w:rPr>
        <w:t>Procuradora-Geral</w:t>
      </w:r>
    </w:p>
    <w:p>
      <w:pPr>
        <w:pStyle w:val="Normal"/>
        <w:bidi w:val="0"/>
        <w:ind w:start="0" w:end="0" w:hanging="0"/>
        <w:jc w:val="both"/>
        <w:rPr>
          <w:rFonts w:ascii="Times New Roman" w:hAnsi="Times New Roman"/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widowControl w:val="false"/>
        <w:tabs>
          <w:tab w:val="clear" w:pos="708"/>
          <w:tab w:val="left" w:pos="284" w:leader="none"/>
        </w:tabs>
        <w:bidi w:val="0"/>
        <w:ind w:start="0" w:end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7" w:header="855" w:top="1667" w:footer="567" w:bottom="85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  <w:font w:name="Times New (W1)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widowControl/>
      <w:bidi w:val="0"/>
      <w:ind w:start="0" w:end="0" w:hanging="0"/>
      <w:jc w:val="end"/>
      <w:textAlignment w:val="auto"/>
      <w:rPr/>
    </w:pPr>
    <w:r>
      <w:rPr>
        <w:rFonts w:cs="Times New Roman"/>
        <w:sz w:val="24"/>
        <w:szCs w:val="22"/>
        <w:lang w:val="pt-BR" w:eastAsia="pt-BR" w:bidi="ar-SA"/>
      </w:rPr>
      <w:fldChar w:fldCharType="begin"/>
    </w:r>
    <w:r>
      <w:rPr>
        <w:sz w:val="24"/>
        <w:szCs w:val="22"/>
        <w:rFonts w:cs="Times New Roman"/>
        <w:lang w:val="pt-BR" w:eastAsia="pt-BR" w:bidi="ar-SA"/>
      </w:rPr>
      <w:instrText> PAGE </w:instrText>
    </w:r>
    <w:r>
      <w:rPr>
        <w:sz w:val="24"/>
        <w:szCs w:val="22"/>
        <w:rFonts w:cs="Times New Roman"/>
        <w:lang w:val="pt-BR" w:eastAsia="pt-BR" w:bidi="ar-SA"/>
      </w:rPr>
      <w:fldChar w:fldCharType="separate"/>
    </w:r>
    <w:r>
      <w:rPr>
        <w:sz w:val="24"/>
        <w:szCs w:val="22"/>
        <w:rFonts w:cs="Times New Roman"/>
        <w:lang w:val="pt-BR" w:eastAsia="pt-BR" w:bidi="ar-SA"/>
      </w:rPr>
      <w:t>2</w:t>
    </w:r>
    <w:r>
      <w:rPr>
        <w:sz w:val="24"/>
        <w:szCs w:val="22"/>
        <w:rFonts w:cs="Times New Roman"/>
        <w:lang w:val="pt-BR" w:eastAsia="pt-BR" w:bidi="ar-SA"/>
      </w:rPr>
      <w:fldChar w:fldCharType="end"/>
    </w:r>
  </w:p>
  <w:p>
    <w:pPr>
      <w:pStyle w:val="Rodap"/>
      <w:widowControl/>
      <w:bidi w:val="0"/>
      <w:ind w:start="0" w:end="0" w:hanging="0"/>
      <w:jc w:val="end"/>
      <w:textAlignment w:val="auto"/>
      <w:rPr>
        <w:rFonts w:ascii="Times New Roman" w:hAnsi="Times New Roman" w:cs="Times New Roman"/>
        <w:sz w:val="24"/>
        <w:szCs w:val="22"/>
        <w:lang w:val="pt-BR" w:eastAsia="en-US" w:bidi="ar-SA"/>
      </w:rPr>
    </w:pPr>
    <w:r>
      <w:rPr>
        <w:rFonts w:cs="Times New Roman"/>
        <w:sz w:val="24"/>
        <w:szCs w:val="22"/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widowControl/>
      <w:bidi w:val="0"/>
      <w:ind w:start="0" w:end="0" w:hanging="0"/>
      <w:jc w:val="start"/>
      <w:textAlignment w:val="auto"/>
      <w:rPr>
        <w:rFonts w:ascii="Times New Roman" w:hAnsi="Times New Roman" w:cs="Times New Roman"/>
        <w:sz w:val="24"/>
        <w:szCs w:val="22"/>
        <w:lang w:val="pt-BR" w:eastAsia="en-US" w:bidi="ar-SA"/>
      </w:rPr>
    </w:pPr>
    <w:r>
      <w:rPr>
        <w:rFonts w:cs="Times New Roman"/>
        <w:sz w:val="24"/>
        <w:szCs w:val="22"/>
        <w:lang w:val="pt-BR" w:eastAsia="en-US" w:bidi="ar-SA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23495</wp:posOffset>
          </wp:positionH>
          <wp:positionV relativeFrom="paragraph">
            <wp:posOffset>-47625</wp:posOffset>
          </wp:positionV>
          <wp:extent cx="638175" cy="552450"/>
          <wp:effectExtent l="0" t="0" r="0" b="0"/>
          <wp:wrapSquare wrapText="bothSides"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widowControl/>
      <w:tabs>
        <w:tab w:val="clear" w:pos="8504"/>
        <w:tab w:val="center" w:pos="4252" w:leader="none"/>
        <w:tab w:val="right" w:pos="9923" w:leader="none"/>
      </w:tabs>
      <w:bidi w:val="0"/>
      <w:ind w:start="0" w:end="0" w:hanging="0"/>
      <w:jc w:val="start"/>
      <w:textAlignment w:val="auto"/>
      <w:rPr/>
    </w:pPr>
    <w:r>
      <w:rPr>
        <w:rFonts w:cs="Times New Roman"/>
        <w:sz w:val="24"/>
        <w:szCs w:val="22"/>
        <w:lang w:val="pt-BR" w:eastAsia="en-US" w:bidi="ar-SA"/>
      </w:rPr>
      <w:t xml:space="preserve">                      </w:t>
    </w:r>
    <w:r>
      <w:rPr>
        <w:rFonts w:cs="Times New Roman" w:ascii="Arial Black" w:hAnsi="Arial Black"/>
        <w:b/>
        <w:sz w:val="18"/>
        <w:szCs w:val="18"/>
        <w:lang w:val="pt-BR" w:eastAsia="en-US" w:bidi="ar-SA"/>
      </w:rPr>
      <w:t>TRIBUNAL DE CONTAS DA UNIÃO</w:t>
    </w:r>
    <w:r>
      <w:rPr>
        <w:rFonts w:cs="Times New Roman" w:ascii="Times New (W1)" w:hAnsi="Times New (W1)"/>
        <w:b/>
        <w:sz w:val="22"/>
        <w:szCs w:val="22"/>
        <w:lang w:val="pt-BR" w:eastAsia="en-US" w:bidi="ar-SA"/>
      </w:rPr>
      <w:tab/>
    </w:r>
    <w:r>
      <w:rPr>
        <w:rFonts w:cs="Arial" w:ascii="Arial" w:hAnsi="Arial"/>
        <w:sz w:val="18"/>
        <w:szCs w:val="18"/>
        <w:lang w:val="pt-BR" w:eastAsia="en-US" w:bidi="ar-SA"/>
      </w:rPr>
      <w:t>TC 001.922/2009-5</w:t>
    </w:r>
  </w:p>
  <w:p>
    <w:pPr>
      <w:pStyle w:val="Cabealho"/>
      <w:widowControl/>
      <w:tabs>
        <w:tab w:val="clear" w:pos="8504"/>
        <w:tab w:val="center" w:pos="4252" w:leader="none"/>
        <w:tab w:val="right" w:pos="9923" w:leader="none"/>
      </w:tabs>
      <w:bidi w:val="0"/>
      <w:ind w:start="0" w:end="0" w:hanging="0"/>
      <w:jc w:val="start"/>
      <w:textAlignment w:val="auto"/>
      <w:rPr>
        <w:rFonts w:ascii="Times New (W1)" w:hAnsi="Times New (W1)" w:cs="Times New Roman"/>
        <w:sz w:val="16"/>
        <w:szCs w:val="16"/>
        <w:lang w:val="pt-BR" w:eastAsia="en-US" w:bidi="ar-SA"/>
      </w:rPr>
    </w:pPr>
    <w:r>
      <w:rPr>
        <w:rFonts w:cs="Times New Roman" w:ascii="Times New (W1)" w:hAnsi="Times New (W1)"/>
        <w:sz w:val="16"/>
        <w:szCs w:val="16"/>
        <w:lang w:val="pt-BR" w:eastAsia="en-US" w:bidi="ar-SA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start"/>
      <w:textAlignment w:val="auto"/>
    </w:pPr>
    <w:rPr>
      <w:rFonts w:ascii="Times New Roman" w:hAnsi="Times New Roman" w:eastAsia="Cambria Math" w:cs="Times New Roman"/>
      <w:color w:val="auto"/>
      <w:kern w:val="2"/>
      <w:sz w:val="24"/>
      <w:szCs w:val="22"/>
      <w:lang w:val="pt-BR" w:eastAsia="en-US" w:bidi="ar-SA"/>
    </w:rPr>
  </w:style>
  <w:style w:type="paragraph" w:styleId="Ttulo1">
    <w:name w:val="Heading 1"/>
    <w:basedOn w:val="Normal"/>
    <w:qFormat/>
    <w:pPr>
      <w:keepNext w:val="true"/>
      <w:keepLines/>
      <w:outlineLvl w:val="0"/>
    </w:pPr>
    <w:rPr>
      <w:b/>
      <w:bCs/>
      <w:color w:val="365F91"/>
      <w:szCs w:val="28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Times New Roman" w:hAnsi="Times New Roman"/>
      <w:b/>
      <w:bCs/>
      <w:color w:val="365F91"/>
      <w:sz w:val="28"/>
      <w:szCs w:val="28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Corpodetexto2Char">
    <w:name w:val="Corpo de texto 2 Char"/>
    <w:basedOn w:val="DefaultParagraphFont"/>
    <w:qFormat/>
    <w:rPr>
      <w:rFonts w:ascii="Times New Roman" w:hAnsi="Times New Roman"/>
      <w:szCs w:val="24"/>
      <w:lang w:eastAsia="pt-BR"/>
    </w:rPr>
  </w:style>
  <w:style w:type="character" w:styleId="CorpodetextoChar">
    <w:name w:val="Corpo de texto Char"/>
    <w:basedOn w:val="DefaultParagraphFont"/>
    <w:qFormat/>
    <w:rPr>
      <w:rFonts w:ascii="Times New Roman" w:hAnsi="Times New Roman"/>
      <w:szCs w:val="24"/>
      <w:lang w:eastAsia="pt-BR"/>
    </w:rPr>
  </w:style>
  <w:style w:type="character" w:styleId="Pagenumber">
    <w:name w:val="page number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jc w:val="both"/>
    </w:pPr>
    <w:rPr>
      <w:szCs w:val="24"/>
      <w:lang w:eastAsia="pt-BR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start"/>
      <w:textAlignment w:val="auto"/>
    </w:pPr>
    <w:rPr>
      <w:rFonts w:ascii="Calibri" w:hAnsi="Calibri" w:eastAsia="Cambria Math" w:cs="Calibri"/>
      <w:color w:val="auto"/>
      <w:kern w:val="2"/>
      <w:sz w:val="22"/>
      <w:szCs w:val="22"/>
      <w:lang w:val="pt-BR" w:eastAsia="pt-BR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CUEpgrafe">
    <w:name w:val="TCU - Epígrafe"/>
    <w:basedOn w:val="Normal"/>
    <w:qFormat/>
    <w:pPr>
      <w:ind w:start="2835" w:hanging="0"/>
      <w:jc w:val="both"/>
    </w:pPr>
    <w:rPr>
      <w:szCs w:val="20"/>
      <w:lang w:eastAsia="pt-BR"/>
    </w:rPr>
  </w:style>
  <w:style w:type="paragraph" w:styleId="BodyText2">
    <w:name w:val="Body Text 2"/>
    <w:basedOn w:val="Normal"/>
    <w:qFormat/>
    <w:pPr>
      <w:jc w:val="end"/>
    </w:pPr>
    <w:rPr>
      <w:szCs w:val="24"/>
      <w:lang w:eastAsia="pt-BR"/>
    </w:rPr>
  </w:style>
  <w:style w:type="paragraph" w:styleId="Epgrafe">
    <w:name w:val="#Epígrafe"/>
    <w:basedOn w:val="Normal"/>
    <w:qFormat/>
    <w:pPr>
      <w:widowControl w:val="false"/>
      <w:suppressAutoHyphens w:val="true"/>
      <w:spacing w:before="1700" w:after="480"/>
      <w:jc w:val="center"/>
    </w:pPr>
    <w:rPr>
      <w:caps/>
      <w:szCs w:val="20"/>
      <w:lang w:eastAsia="pt-BR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TCUCentralizado">
    <w:name w:val="TCU - Centralizado"/>
    <w:basedOn w:val="Normal"/>
    <w:qFormat/>
    <w:pPr>
      <w:jc w:val="center"/>
    </w:pPr>
    <w:rPr>
      <w:szCs w:val="24"/>
    </w:rPr>
  </w:style>
  <w:style w:type="paragraph" w:styleId="TCURelVoto1">
    <w:name w:val="TCU - Rel/Voto - 1º §"/>
    <w:basedOn w:val="Normal"/>
    <w:qFormat/>
    <w:pPr>
      <w:spacing w:before="0" w:after="160"/>
      <w:ind w:firstLine="1134"/>
      <w:jc w:val="both"/>
    </w:pPr>
    <w:rPr/>
  </w:style>
  <w:style w:type="paragraph" w:styleId="TCUAcitem9">
    <w:name w:val="TCU - Ac - item 9 - §§"/>
    <w:basedOn w:val="TCURelVoto1"/>
    <w:qFormat/>
    <w:pPr>
      <w:ind w:firstLine="1134"/>
      <w:jc w:val="both"/>
    </w:pPr>
    <w:rPr/>
  </w:style>
  <w:style w:type="paragraph" w:styleId="TCURelVotodemais">
    <w:name w:val="TCU - Rel/Voto - demais §§"/>
    <w:basedOn w:val="Normal"/>
    <w:qFormat/>
    <w:pPr>
      <w:tabs>
        <w:tab w:val="clear" w:pos="708"/>
        <w:tab w:val="left" w:pos="1134" w:leader="none"/>
      </w:tabs>
      <w:spacing w:before="0" w:after="160"/>
      <w:jc w:val="both"/>
    </w:pPr>
    <w:rPr/>
  </w:style>
  <w:style w:type="paragraph" w:styleId="TCUAcitens1a8">
    <w:name w:val="TCU -   Ac - itens 1 a 8"/>
    <w:basedOn w:val="TCURelVotodemais"/>
    <w:qFormat/>
    <w:pPr>
      <w:jc w:val="both"/>
    </w:pPr>
    <w:rPr/>
  </w:style>
  <w:style w:type="paragraph" w:styleId="TCUSumrio">
    <w:name w:val="TCU - Sumário"/>
    <w:basedOn w:val="Normal"/>
    <w:qFormat/>
    <w:pPr>
      <w:ind w:start="5103" w:hanging="0"/>
      <w:jc w:val="both"/>
    </w:pPr>
    <w:rPr>
      <w:b/>
    </w:rPr>
  </w:style>
  <w:style w:type="paragraph" w:styleId="TCUTranscrio">
    <w:name w:val="TCU - Transcrição"/>
    <w:basedOn w:val="Normal"/>
    <w:qFormat/>
    <w:pPr>
      <w:spacing w:before="0" w:after="120"/>
      <w:ind w:start="284" w:firstLine="567"/>
      <w:jc w:val="both"/>
    </w:pPr>
    <w:rPr>
      <w:i/>
    </w:rPr>
  </w:style>
  <w:style w:type="paragraph" w:styleId="TCUAcitem91Linha">
    <w:name w:val="TCU -  Ac - item 9 - 1ª Linha"/>
    <w:basedOn w:val="TCURelVotodemais"/>
    <w:qFormat/>
    <w:pPr>
      <w:spacing w:before="0" w:after="160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LibreOffice_project/4e471d8c02c9c90f512f7f9ead8875b57fcb1ec3</Application>
  <Pages>2</Pages>
  <Words>332</Words>
  <Characters>1976</Characters>
  <CharactersWithSpaces>2311</CharactersWithSpaces>
  <Paragraphs>35</Paragraphs>
  <Company>TCU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2020-03-18T16:00:00Z</dcterms:created>
  <dc:creator/>
  <dc:description/>
  <dc:language>pt-BR</dc:language>
  <cp:lastModifiedBy/>
  <dcterms:modified xsi:type="dcterms:W3CDTF">2020-03-18T16:00:00Z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TCU</vt:lpwstr>
  </property>
  <property fmtid="{D5CDD505-2E9C-101B-9397-08002B2CF9AE}" pid="3" name="Operator">
    <vt:lpwstr>Danilo Rodrigues Romero</vt:lpwstr>
  </property>
</Properties>
</file>