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Campaign Summary Report: Campaign 1</w:t>
      </w:r>
    </w:p>
    <w:p>
      <w:r>
        <w:t>Report Date: 2025-08-01</w:t>
      </w:r>
    </w:p>
    <w:p>
      <w:r>
        <w:t>Campaign Date: 2024-06-16 00:00:00</w:t>
      </w:r>
    </w:p>
    <w:p>
      <w:r>
        <w:t>Customer Segment: Seniors 55+</w:t>
      </w:r>
    </w:p>
    <w:p>
      <w:r>
        <w:t>Campaign Topic: Holiday Sales Event</w:t>
      </w:r>
    </w:p>
    <w:p/>
    <w:p>
      <w:pPr>
        <w:pStyle w:val="Heading2"/>
      </w:pPr>
      <w:r>
        <w:t>Executive Summary</w:t>
      </w:r>
    </w:p>
    <w:p>
      <w:r>
        <w:t>The campaign 1 targeted Seniors 55+ with the objective to promote holiday sales event. Out of an audience size of 153880, emails were sent to 145,099 contacts, with a control group of 8,781. The campaign achieved an open rate of 29.01%, click rate of 8.98%, and a conversion rate of 4.51%, signifying strong engagement and effectiveness.</w:t>
      </w:r>
    </w:p>
    <w:p>
      <w:pPr>
        <w:pStyle w:val="Heading2"/>
      </w:pPr>
      <w:r>
        <w:t>Campaign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Campaign Id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Campaign Date</w:t>
            </w:r>
          </w:p>
        </w:tc>
        <w:tc>
          <w:tcPr>
            <w:tcW w:type="dxa" w:w="4320"/>
          </w:tcPr>
          <w:p>
            <w:r>
              <w:t>2024-06-16 00:00:00</w:t>
            </w:r>
          </w:p>
        </w:tc>
      </w:tr>
      <w:tr>
        <w:tc>
          <w:tcPr>
            <w:tcW w:type="dxa" w:w="4320"/>
          </w:tcPr>
          <w:p>
            <w:r>
              <w:t>Campaign Topic</w:t>
            </w:r>
          </w:p>
        </w:tc>
        <w:tc>
          <w:tcPr>
            <w:tcW w:type="dxa" w:w="4320"/>
          </w:tcPr>
          <w:p>
            <w:r>
              <w:t>Holiday Sales Event</w:t>
            </w:r>
          </w:p>
        </w:tc>
      </w:tr>
      <w:tr>
        <w:tc>
          <w:tcPr>
            <w:tcW w:type="dxa" w:w="4320"/>
          </w:tcPr>
          <w:p>
            <w:r>
              <w:t>Customer Segment</w:t>
            </w:r>
          </w:p>
        </w:tc>
        <w:tc>
          <w:tcPr>
            <w:tcW w:type="dxa" w:w="4320"/>
          </w:tcPr>
          <w:p>
            <w:r>
              <w:t>Seniors 55+</w:t>
            </w:r>
          </w:p>
        </w:tc>
      </w:tr>
      <w:tr>
        <w:tc>
          <w:tcPr>
            <w:tcW w:type="dxa" w:w="4320"/>
          </w:tcPr>
          <w:p>
            <w:r>
              <w:t>Audience Size</w:t>
            </w:r>
          </w:p>
        </w:tc>
        <w:tc>
          <w:tcPr>
            <w:tcW w:type="dxa" w:w="4320"/>
          </w:tcPr>
          <w:p>
            <w:r>
              <w:t>153,880</w:t>
            </w:r>
          </w:p>
        </w:tc>
      </w:tr>
      <w:tr>
        <w:tc>
          <w:tcPr>
            <w:tcW w:type="dxa" w:w="4320"/>
          </w:tcPr>
          <w:p>
            <w:r>
              <w:t>control_group_size</w:t>
            </w:r>
          </w:p>
        </w:tc>
        <w:tc>
          <w:tcPr>
            <w:tcW w:type="dxa" w:w="4320"/>
          </w:tcPr>
          <w:p>
            <w:r>
              <w:t>8,781</w:t>
            </w:r>
          </w:p>
        </w:tc>
      </w:tr>
    </w:tbl>
    <w:p/>
    <w:p>
      <w:pPr>
        <w:pStyle w:val="Heading2"/>
      </w:pPr>
      <w:r>
        <w:t>Key Metrics</w:t>
      </w:r>
    </w:p>
    <w:tbl>
      <w:tblPr>
        <w:tblStyle w:val="LightShading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Rate (%)</w:t>
            </w:r>
          </w:p>
        </w:tc>
      </w:tr>
      <w:tr>
        <w:tc>
          <w:tcPr>
            <w:tcW w:type="dxa" w:w="2880"/>
          </w:tcPr>
          <w:p>
            <w:r>
              <w:t>Emails Sent</w:t>
            </w:r>
          </w:p>
        </w:tc>
        <w:tc>
          <w:tcPr>
            <w:tcW w:type="dxa" w:w="2880"/>
          </w:tcPr>
          <w:p>
            <w:r>
              <w:t>145,099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Opens</w:t>
            </w:r>
          </w:p>
        </w:tc>
        <w:tc>
          <w:tcPr>
            <w:tcW w:type="dxa" w:w="2880"/>
          </w:tcPr>
          <w:p>
            <w:r>
              <w:t>42,089</w:t>
            </w:r>
          </w:p>
        </w:tc>
        <w:tc>
          <w:tcPr>
            <w:tcW w:type="dxa" w:w="2880"/>
          </w:tcPr>
          <w:p>
            <w:r>
              <w:t>29.01</w:t>
            </w:r>
          </w:p>
        </w:tc>
      </w:tr>
      <w:tr>
        <w:tc>
          <w:tcPr>
            <w:tcW w:type="dxa" w:w="2880"/>
          </w:tcPr>
          <w:p>
            <w:r>
              <w:t>Clicks</w:t>
            </w:r>
          </w:p>
        </w:tc>
        <w:tc>
          <w:tcPr>
            <w:tcW w:type="dxa" w:w="2880"/>
          </w:tcPr>
          <w:p>
            <w:r>
              <w:t>13,033</w:t>
            </w:r>
          </w:p>
        </w:tc>
        <w:tc>
          <w:tcPr>
            <w:tcW w:type="dxa" w:w="2880"/>
          </w:tcPr>
          <w:p>
            <w:r>
              <w:t>8.98</w:t>
            </w:r>
          </w:p>
        </w:tc>
      </w:tr>
      <w:tr>
        <w:tc>
          <w:tcPr>
            <w:tcW w:type="dxa" w:w="2880"/>
          </w:tcPr>
          <w:p>
            <w:r>
              <w:t>Conversions</w:t>
            </w:r>
          </w:p>
        </w:tc>
        <w:tc>
          <w:tcPr>
            <w:tcW w:type="dxa" w:w="2880"/>
          </w:tcPr>
          <w:p>
            <w:r>
              <w:t>6,537</w:t>
            </w:r>
          </w:p>
        </w:tc>
        <w:tc>
          <w:tcPr>
            <w:tcW w:type="dxa" w:w="2880"/>
          </w:tcPr>
          <w:p>
            <w:r>
              <w:t>4.51</w:t>
            </w:r>
          </w:p>
        </w:tc>
      </w:tr>
      <w:tr>
        <w:tc>
          <w:tcPr>
            <w:tcW w:type="dxa" w:w="2880"/>
          </w:tcPr>
          <w:p>
            <w:r>
              <w:t>Open to Click Rate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30.97</w:t>
            </w:r>
          </w:p>
        </w:tc>
      </w:tr>
    </w:tbl>
    <w:p/>
    <w:p>
      <w:pPr>
        <w:pStyle w:val="Heading2"/>
      </w:pPr>
      <w:r>
        <w:t>Performance Insights</w:t>
      </w:r>
    </w:p>
    <w:p>
      <w:r>
        <w:t>- The open rate of 29.01% indicates strong interest among the target audience.</w:t>
        <w:br/>
        <w:t>- An open to click rate of 30.97% suggests effective email content and calls-to-action.</w:t>
        <w:br/>
        <w:t>- The conversion rate of 4.51% reflects well on the campaign’s ability to drive results.</w:t>
      </w:r>
    </w:p>
    <w:p>
      <w:pPr>
        <w:pStyle w:val="Heading2"/>
      </w:pPr>
      <w:r>
        <w:t>Recommendations</w:t>
      </w:r>
    </w:p>
    <w:p>
      <w:r>
        <w:t>- Test subject lines and sending times to increase open rates.</w:t>
        <w:br/>
        <w:t>- Segment audience further for targeted offers.</w:t>
        <w:br/>
        <w:t>- Optimize landing pages to boost conversion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