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77F1340F"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r>
              <w:rPr>
                <w:rFonts w:ascii="宋体" w:hAnsi="宋体" w:cs="宋体" w:hint="eastAsia"/>
                <w:sz w:val="28"/>
                <w:szCs w:val="28"/>
              </w:rPr>
              <w:t>车生兵</w:t>
            </w:r>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lastRenderedPageBreak/>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最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端到端地学习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框位置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hint="eastAsia"/>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w:t>
            </w:r>
            <w:r w:rsidRPr="00187E3C">
              <w:rPr>
                <w:rFonts w:ascii="宋体" w:hAnsi="宋体" w:cs="宋体"/>
                <w:kern w:val="0"/>
                <w:sz w:val="24"/>
              </w:rPr>
              <w:lastRenderedPageBreak/>
              <w:t>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5531338E" w14:textId="3B1CDB8B" w:rsidR="004E5B74" w:rsidRPr="009718D1" w:rsidRDefault="00000000" w:rsidP="009718D1">
            <w:pPr>
              <w:pStyle w:val="af5"/>
              <w:numPr>
                <w:ilvl w:val="1"/>
                <w:numId w:val="17"/>
              </w:numPr>
              <w:ind w:right="-295" w:firstLineChars="0"/>
            </w:pPr>
            <w:r w:rsidRPr="009718D1">
              <w:rPr>
                <w:rFonts w:ascii="黑体" w:eastAsia="黑体" w:hAnsi="黑体" w:cs="黑体" w:hint="eastAsia"/>
              </w:rPr>
              <w:t>国内外研究现状</w:t>
            </w:r>
          </w:p>
          <w:p w14:paraId="65054003" w14:textId="77777777"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道路病害检测技术的发展大致经历了两个阶段。早期研究主要集中于传统的数字图像处理技术，例如研究人员利用边缘检测算子（如Canny、Sobel）来识别裂缝的轮廓，或通过阈值分割、形态学处理等方法来提取坑洞等区域特征。这些方法在简单的场景下能够取得一定的效果，但其严重依赖于人工设计的特征提取器，且对光照变化、路面阴影、水渍等噪声极为敏感，导致模型的鲁棒性和泛化能力严重不足，难以适应真实多变的道路环境。</w:t>
            </w:r>
          </w:p>
          <w:p w14:paraId="15759061" w14:textId="3D19DAB4"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进入深度学习时代后，目标检测算法的发展为道路病害检测带来了革命性的突破。其技术路线主要分为两大流派：一类是以R-CNN系列、Faster R-CNN为代表的两阶段检测算法。该类算法首先生成候选区域（Region Proposal），再对候选区域进行分类和位置回归，检测精度较高，但推理速度较慢，难以满足实时性要求。另一类是以SSD和YOLO系列为代表的单阶段检测算法，它们将检测问题转化为一个端到端的回归问题，直接预测目标的类别和边界框，实现了速度与精度的有效平衡。特别是YOLO算法，从最初的YOLOv1、v2，发展到YOLOv3、YOLOv5、YOLOv8等广为人知的版本，其网络结构、损失函数和训练策略不断演进，性能持续提升，已成为工业界和学术界实时检测任务的首选框架。许多研究工作已成功将YOLO模型应用于道路病害检测，并取得了显著成果。然而，在实际部署中，尤其是在车载边缘计算设备上，现有模型仍面临挑战，即如何在有限的计算资源下，进一步提升对微小裂缝、形态不规则病害的检测精度，同时保持甚至超越原有的推理速度。</w:t>
            </w:r>
          </w:p>
          <w:p w14:paraId="5A30922F" w14:textId="4531304B"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为了应对这一挑战，学术界和工业界正从两个主要方向进行探索。其一是模型轻量化设计，旨在降低模型的参数量和计算复杂度（FLOPs）。以</w:t>
            </w:r>
            <w:proofErr w:type="spellStart"/>
            <w:r w:rsidRPr="006E12A4">
              <w:rPr>
                <w:rFonts w:ascii="宋体" w:hAnsi="宋体" w:cs="宋体"/>
                <w:kern w:val="0"/>
                <w:sz w:val="24"/>
              </w:rPr>
              <w:t>MobileNet</w:t>
            </w:r>
            <w:proofErr w:type="spellEnd"/>
            <w:r w:rsidRPr="006E12A4">
              <w:rPr>
                <w:rFonts w:ascii="宋体" w:hAnsi="宋体" w:cs="宋体"/>
                <w:kern w:val="0"/>
                <w:sz w:val="24"/>
              </w:rPr>
              <w:t>系列、</w:t>
            </w:r>
            <w:proofErr w:type="spellStart"/>
            <w:r w:rsidRPr="006E12A4">
              <w:rPr>
                <w:rFonts w:ascii="宋体" w:hAnsi="宋体" w:cs="宋体"/>
                <w:kern w:val="0"/>
                <w:sz w:val="24"/>
              </w:rPr>
              <w:t>ShuffleNet</w:t>
            </w:r>
            <w:proofErr w:type="spellEnd"/>
            <w:r w:rsidRPr="006E12A4">
              <w:rPr>
                <w:rFonts w:ascii="宋体" w:hAnsi="宋体" w:cs="宋体"/>
                <w:kern w:val="0"/>
                <w:sz w:val="24"/>
              </w:rPr>
              <w:t>和</w:t>
            </w:r>
            <w:proofErr w:type="spellStart"/>
            <w:r w:rsidRPr="006E12A4">
              <w:rPr>
                <w:rFonts w:ascii="宋体" w:hAnsi="宋体" w:cs="宋体"/>
                <w:kern w:val="0"/>
                <w:sz w:val="24"/>
              </w:rPr>
              <w:t>GhostNet</w:t>
            </w:r>
            <w:proofErr w:type="spellEnd"/>
            <w:r w:rsidRPr="006E12A4">
              <w:rPr>
                <w:rFonts w:ascii="宋体" w:hAnsi="宋体" w:cs="宋体"/>
                <w:kern w:val="0"/>
                <w:sz w:val="24"/>
              </w:rPr>
              <w:t>为代表的轻量级网络架构，通过引入深度可分离卷积、通道混洗、幽灵模块（Ghost Module）等创新设计，在保证模型性能的同时，极大地压缩了模型体积，为深度学习模型在移动端和嵌入式设备上的应用铺平了道路。其二是通过注意力机制（Attention Mechanism）强化模型的特征表达能力。该机制模仿人类视觉系统，使模型能够自适应地聚焦于图像中的关键信息。从开创性的SE-Net，到融合了通道与空间注意力的CBAM，再到近期提出的无需额外参数的SimAM，注意力机制已被证明能够有效提升模型对小目标、遮挡目标的识别能力。</w:t>
            </w:r>
          </w:p>
          <w:p w14:paraId="1464F0B7" w14:textId="77777777"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在此背景下，最新的YOLOv12模型横空出世，其通过对网络结构的进一步优化，在多个基准数据集上展现了超越以往版本的卓越性能。尽管YOLOv12的性能强大，但其计算开销对于资源受限的边缘设备而言仍有优化空间。此外，对于道路病害这类具有多尺度、小目标、形态不规则等特性的检测任务，其特征提取和融合能力仍有进一步提升的潜力。因此，本研究选择YOLOv12作为基线模型，旨在通过对其进行针对性的轻量化改造和注意力机制融合，探索一种在检测精度和推理速度上达到更优平衡的道路病害实时检测新方法。</w:t>
            </w:r>
          </w:p>
          <w:p w14:paraId="4FC23F91" w14:textId="71F400CC" w:rsidR="004E5B74" w:rsidRPr="009718D1" w:rsidRDefault="00000000" w:rsidP="009718D1">
            <w:pPr>
              <w:pStyle w:val="af5"/>
              <w:numPr>
                <w:ilvl w:val="1"/>
                <w:numId w:val="17"/>
              </w:numPr>
              <w:ind w:right="-295" w:firstLineChars="0"/>
            </w:pPr>
            <w:r w:rsidRPr="009718D1">
              <w:rPr>
                <w:rFonts w:ascii="黑体" w:eastAsia="黑体" w:hAnsi="黑体" w:cs="黑体" w:hint="eastAsia"/>
              </w:rPr>
              <w:lastRenderedPageBreak/>
              <w:t>参考文献</w:t>
            </w:r>
          </w:p>
          <w:p w14:paraId="6A0D6AED" w14:textId="77777777" w:rsidR="004E5B74" w:rsidRDefault="00000000">
            <w:pPr>
              <w:spacing w:line="300" w:lineRule="exact"/>
              <w:ind w:left="286" w:hangingChars="119" w:hanging="286"/>
              <w:rPr>
                <w:sz w:val="24"/>
              </w:rPr>
            </w:pPr>
            <w:bookmarkStart w:id="0" w:name="参考文献1"/>
            <w:r>
              <w:rPr>
                <w:sz w:val="24"/>
              </w:rPr>
              <w:t xml:space="preserve">[1] A. </w:t>
            </w:r>
            <w:proofErr w:type="spellStart"/>
            <w:r>
              <w:rPr>
                <w:sz w:val="24"/>
              </w:rPr>
              <w:t>Papadoulis</w:t>
            </w:r>
            <w:proofErr w:type="spellEnd"/>
            <w:r>
              <w:rPr>
                <w:sz w:val="24"/>
              </w:rPr>
              <w:t xml:space="preserve">, M. Quddus, M. </w:t>
            </w:r>
            <w:proofErr w:type="spellStart"/>
            <w:r>
              <w:rPr>
                <w:sz w:val="24"/>
              </w:rPr>
              <w:t>Imprialou</w:t>
            </w:r>
            <w:proofErr w:type="spellEnd"/>
            <w:r>
              <w:rPr>
                <w:sz w:val="24"/>
              </w:rPr>
              <w:t>, Evaluating the safety impact of</w:t>
            </w:r>
            <w:r>
              <w:rPr>
                <w:rFonts w:hint="eastAsia"/>
                <w:sz w:val="24"/>
              </w:rPr>
              <w:t xml:space="preserve"> </w:t>
            </w:r>
            <w:r>
              <w:rPr>
                <w:sz w:val="24"/>
              </w:rPr>
              <w:t>connected and</w:t>
            </w:r>
            <w:r>
              <w:rPr>
                <w:rFonts w:hint="eastAsia"/>
                <w:sz w:val="24"/>
              </w:rPr>
              <w:t xml:space="preserve"> </w:t>
            </w:r>
            <w:r>
              <w:rPr>
                <w:sz w:val="24"/>
              </w:rPr>
              <w:t xml:space="preserve">autonomous vehicles on motorways, </w:t>
            </w:r>
            <w:proofErr w:type="spellStart"/>
            <w:r>
              <w:rPr>
                <w:sz w:val="24"/>
              </w:rPr>
              <w:t>Accid</w:t>
            </w:r>
            <w:proofErr w:type="spellEnd"/>
            <w:r>
              <w:rPr>
                <w:sz w:val="24"/>
              </w:rPr>
              <w:t>. Anal. Prev. 124</w:t>
            </w:r>
            <w:r>
              <w:rPr>
                <w:rFonts w:hint="eastAsia"/>
                <w:sz w:val="24"/>
              </w:rPr>
              <w:t xml:space="preserve"> </w:t>
            </w:r>
            <w:r>
              <w:rPr>
                <w:sz w:val="24"/>
              </w:rPr>
              <w:t>(2019) 12–22.</w:t>
            </w:r>
            <w:bookmarkEnd w:id="0"/>
          </w:p>
          <w:p w14:paraId="747171E8" w14:textId="4FCB4751" w:rsidR="004E5B74" w:rsidRDefault="004E5B74" w:rsidP="006E12A4">
            <w:pPr>
              <w:spacing w:line="300" w:lineRule="exact"/>
              <w:ind w:left="286" w:hangingChars="119" w:hanging="286"/>
              <w:rPr>
                <w:sz w:val="24"/>
              </w:rPr>
            </w:pPr>
          </w:p>
        </w:tc>
      </w:tr>
      <w:tr w:rsidR="004E5B74" w14:paraId="75F79E95" w14:textId="77777777" w:rsidTr="0079276D">
        <w:trPr>
          <w:trHeight w:val="13929"/>
        </w:trPr>
        <w:tc>
          <w:tcPr>
            <w:tcW w:w="9354" w:type="dxa"/>
            <w:gridSpan w:val="2"/>
          </w:tcPr>
          <w:p w14:paraId="144747A0" w14:textId="77777777" w:rsidR="004E5B74" w:rsidRPr="009718D1" w:rsidRDefault="00000000" w:rsidP="00875603">
            <w:pPr>
              <w:numPr>
                <w:ilvl w:val="0"/>
                <w:numId w:val="18"/>
              </w:numPr>
              <w:spacing w:afterLines="50" w:after="156"/>
              <w:ind w:right="-295"/>
              <w:rPr>
                <w:rFonts w:ascii="黑体" w:eastAsia="黑体" w:hAnsi="黑体"/>
                <w:b/>
                <w:sz w:val="28"/>
                <w:szCs w:val="28"/>
              </w:rPr>
            </w:pPr>
            <w:r w:rsidRPr="009718D1">
              <w:rPr>
                <w:rFonts w:ascii="黑体" w:eastAsia="黑体" w:hAnsi="黑体" w:hint="eastAsia"/>
                <w:b/>
                <w:sz w:val="28"/>
                <w:szCs w:val="28"/>
              </w:rPr>
              <w:lastRenderedPageBreak/>
              <w:t>主要的研究</w:t>
            </w:r>
            <w:r w:rsidRPr="009718D1">
              <w:rPr>
                <w:rFonts w:ascii="黑体" w:eastAsia="黑体" w:hAnsi="黑体"/>
                <w:b/>
                <w:sz w:val="28"/>
                <w:szCs w:val="28"/>
              </w:rPr>
              <w:t>思路和研究内容</w:t>
            </w:r>
          </w:p>
          <w:p w14:paraId="56853A12" w14:textId="7EFA6318" w:rsidR="006E12A4" w:rsidRPr="009718D1" w:rsidRDefault="00000000" w:rsidP="00875603">
            <w:pPr>
              <w:pStyle w:val="af5"/>
              <w:numPr>
                <w:ilvl w:val="1"/>
                <w:numId w:val="18"/>
              </w:numPr>
              <w:ind w:right="-295" w:firstLineChars="0"/>
              <w:rPr>
                <w:rFonts w:ascii="黑体" w:eastAsia="黑体" w:hAnsi="黑体" w:cs="Times New Roman"/>
                <w:bCs/>
                <w:kern w:val="2"/>
              </w:rPr>
            </w:pPr>
            <w:r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hint="eastAsia"/>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21C81E57" w:rsidR="004E5B74" w:rsidRDefault="00000000" w:rsidP="00875603">
            <w:pPr>
              <w:pStyle w:val="af5"/>
              <w:numPr>
                <w:ilvl w:val="1"/>
                <w:numId w:val="18"/>
              </w:numPr>
              <w:spacing w:line="360" w:lineRule="auto"/>
              <w:ind w:right="-295" w:firstLineChars="0"/>
              <w:rPr>
                <w:rFonts w:ascii="黑体" w:eastAsia="黑体" w:hAnsi="黑体"/>
                <w:bCs/>
              </w:rPr>
            </w:pPr>
            <w:r w:rsidRPr="009718D1">
              <w:rPr>
                <w:rFonts w:ascii="黑体" w:eastAsia="黑体" w:hAnsi="黑体" w:hint="eastAsia"/>
                <w:bCs/>
              </w:rPr>
              <w:t>研究内容</w:t>
            </w:r>
          </w:p>
          <w:p w14:paraId="2DC3F904" w14:textId="0A9D44BF" w:rsidR="00C5623B" w:rsidRDefault="00C5623B" w:rsidP="00875603">
            <w:pPr>
              <w:pStyle w:val="af5"/>
              <w:numPr>
                <w:ilvl w:val="2"/>
                <w:numId w:val="18"/>
              </w:numPr>
              <w:ind w:firstLineChars="0"/>
              <w:rPr>
                <w:rFonts w:ascii="黑体" w:eastAsia="黑体" w:hAnsi="黑体"/>
                <w:bCs/>
              </w:rPr>
            </w:pPr>
            <w:r>
              <w:rPr>
                <w:rFonts w:ascii="黑体" w:eastAsia="黑体" w:hAnsi="黑体" w:hint="eastAsia"/>
                <w:bCs/>
              </w:rPr>
              <w:t>数据集分析</w:t>
            </w:r>
          </w:p>
          <w:p w14:paraId="45D1F790" w14:textId="4FE9DAA6" w:rsidR="00C5623B" w:rsidRPr="00C5623B" w:rsidRDefault="00C5623B" w:rsidP="00C5623B">
            <w:pPr>
              <w:widowControl/>
              <w:spacing w:beforeLines="50" w:before="156" w:afterLines="50" w:after="156"/>
              <w:ind w:firstLineChars="200" w:firstLine="480"/>
              <w:rPr>
                <w:rFonts w:ascii="宋体" w:hAnsi="宋体" w:cs="宋体" w:hint="eastAsia"/>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预训练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r w:rsidR="00875603">
              <w:rPr>
                <w:rFonts w:ascii="宋体" w:hAnsi="宋体" w:cs="宋体"/>
                <w:kern w:val="0"/>
                <w:sz w:val="24"/>
              </w:rPr>
              <w:fldChar w:fldCharType="begin"/>
            </w:r>
            <w:r w:rsidR="00875603">
              <w:rPr>
                <w:rFonts w:ascii="宋体" w:hAnsi="宋体" w:cs="宋体"/>
                <w:kern w:val="0"/>
                <w:sz w:val="24"/>
              </w:rPr>
              <w:instrText xml:space="preserve"> LISTNUM </w:instrText>
            </w:r>
            <w:r w:rsidR="00875603">
              <w:rPr>
                <w:rFonts w:ascii="宋体" w:hAnsi="宋体" w:cs="宋体"/>
                <w:kern w:val="0"/>
                <w:sz w:val="24"/>
              </w:rPr>
              <w:fldChar w:fldCharType="end"/>
            </w:r>
          </w:p>
          <w:p w14:paraId="123D82F3" w14:textId="523580A9" w:rsidR="008D3CC5" w:rsidRPr="008D3CC5" w:rsidRDefault="006E12A4" w:rsidP="00875603">
            <w:pPr>
              <w:pStyle w:val="af5"/>
              <w:numPr>
                <w:ilvl w:val="2"/>
                <w:numId w:val="18"/>
              </w:numPr>
              <w:ind w:firstLineChars="0"/>
              <w:rPr>
                <w:rFonts w:ascii="黑体" w:eastAsia="黑体" w:hAnsi="黑体"/>
                <w:color w:val="000000"/>
                <w:lang w:bidi="ar"/>
              </w:rPr>
            </w:pPr>
            <w:r w:rsidRPr="008D3CC5">
              <w:rPr>
                <w:rFonts w:ascii="黑体" w:eastAsia="黑体" w:hAnsi="黑体"/>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深入分析YOLOv12的网络结构，定位其骨干网络（Backbone）或颈部网络（Neck）中计算量密集的核心模块（例如C3K2或其在YOLOv12中的等效高级模块）。本研究拟借鉴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9718D1" w:rsidRDefault="006E12A4" w:rsidP="00875603">
            <w:pPr>
              <w:pStyle w:val="af5"/>
              <w:numPr>
                <w:ilvl w:val="2"/>
                <w:numId w:val="18"/>
              </w:numPr>
              <w:ind w:firstLineChars="0"/>
              <w:rPr>
                <w:rFonts w:ascii="黑体" w:eastAsia="黑体" w:hAnsi="黑体"/>
              </w:rPr>
            </w:pPr>
            <w:r w:rsidRPr="009718D1">
              <w:rPr>
                <w:rFonts w:ascii="黑体" w:eastAsia="黑体" w:hAnsi="黑体"/>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为提升模型对道路裂缝、小型坑洞等细微且形态不规则目标的检测精度，本研究计划在改进后的网络中引入一种高效的注意力机制。初步选定SimAM（Simple,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9718D1" w:rsidRDefault="00C5623B" w:rsidP="00875603">
            <w:pPr>
              <w:pStyle w:val="af5"/>
              <w:numPr>
                <w:ilvl w:val="2"/>
                <w:numId w:val="18"/>
              </w:numPr>
              <w:ind w:firstLineChars="0"/>
              <w:rPr>
                <w:rFonts w:ascii="黑体" w:eastAsia="黑体" w:hAnsi="黑体"/>
              </w:rPr>
            </w:pPr>
            <w:r w:rsidRPr="009718D1">
              <w:rPr>
                <w:rFonts w:ascii="黑体" w:eastAsia="黑体" w:hAnsi="黑体"/>
              </w:rPr>
              <w:t>性能评估</w:t>
            </w:r>
          </w:p>
          <w:p w14:paraId="54F5D4F5" w14:textId="676B6A15" w:rsidR="00C5623B" w:rsidRPr="00875603" w:rsidRDefault="00875603" w:rsidP="00875603">
            <w:pPr>
              <w:widowControl/>
              <w:spacing w:beforeLines="50" w:before="156" w:afterLines="50" w:after="156"/>
              <w:ind w:firstLineChars="200" w:firstLine="480"/>
              <w:rPr>
                <w:rFonts w:hint="eastAsia"/>
              </w:rPr>
            </w:pPr>
            <w:r w:rsidRPr="008D3CC5">
              <w:rPr>
                <w:rFonts w:ascii="宋体" w:hAnsi="宋体" w:cs="宋体"/>
                <w:kern w:val="0"/>
                <w:sz w:val="24"/>
              </w:rPr>
              <w:lastRenderedPageBreak/>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lastRenderedPageBreak/>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hint="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该方法以“零负担”的方式，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79276D">
        <w:trPr>
          <w:cantSplit/>
          <w:trHeight w:val="13929"/>
        </w:trPr>
        <w:tc>
          <w:tcPr>
            <w:tcW w:w="9354" w:type="dxa"/>
            <w:gridSpan w:val="2"/>
          </w:tcPr>
          <w:p w14:paraId="073C6B48" w14:textId="3B84896A"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lastRenderedPageBreak/>
              <w:t>拟采取的研究方法、措施和进度安排</w:t>
            </w:r>
          </w:p>
          <w:p w14:paraId="33EC561D" w14:textId="49FD3E2D" w:rsidR="004E5B74" w:rsidRDefault="006B0190" w:rsidP="006B0190">
            <w:pPr>
              <w:pStyle w:val="30"/>
              <w:spacing w:beforeLines="50" w:before="156" w:line="240" w:lineRule="auto"/>
              <w:ind w:firstLineChars="0"/>
              <w:rPr>
                <w:rFonts w:ascii="黑体" w:hAnsi="黑体"/>
                <w:b w:val="0"/>
              </w:rPr>
            </w:pPr>
            <w:r>
              <w:rPr>
                <w:rFonts w:ascii="黑体" w:hAnsi="黑体" w:hint="eastAsia"/>
                <w:b w:val="0"/>
              </w:rPr>
              <w:t>4.1研究方法及措施</w:t>
            </w:r>
          </w:p>
          <w:p w14:paraId="0B845B77" w14:textId="77777777" w:rsidR="00C97CBE" w:rsidRP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6FB588A5" w14:textId="6BAA79A8"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数据集： 采用公开大规模道路病害数据集RDD2022。该数据集包含丰富的病害类型（如纵向/横向裂缝、网裂、坑洞等）和复杂的道路场景，能够全面评估模型的性能。</w:t>
            </w:r>
          </w:p>
          <w:p w14:paraId="2248066C"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评价指标： 为了全面评估模型性能，将采用多维度评价指标。</w:t>
            </w:r>
          </w:p>
          <w:p w14:paraId="53EC3C94" w14:textId="5F0C9859" w:rsidR="00375FAA" w:rsidRPr="004508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4508AA">
              <w:rPr>
                <w:rFonts w:asciiTheme="minorEastAsia" w:eastAsiaTheme="minorEastAsia" w:hAnsiTheme="minorEastAsia"/>
              </w:rPr>
              <w:t xml:space="preserve">检测性能： 精确率（Precision）、召回率（Recall）、F1分数（F1-Score）以及平均精度均值（mAP@0.5, </w:t>
            </w:r>
            <w:r w:rsidR="00375FAA" w:rsidRPr="00875603">
              <w:rPr>
                <w:rFonts w:asciiTheme="minorEastAsia" w:eastAsiaTheme="minorEastAsia" w:hAnsiTheme="minorEastAsia"/>
              </w:rPr>
              <w:t>mAP@0.5:0.95</w:t>
            </w:r>
            <w:r w:rsidRPr="004508AA">
              <w:rPr>
                <w:rFonts w:asciiTheme="minorEastAsia" w:eastAsiaTheme="minorEastAsia" w:hAnsiTheme="minorEastAsia"/>
              </w:rPr>
              <w:t>）。</w:t>
            </w:r>
          </w:p>
          <w:p w14:paraId="31DF1CF2" w14:textId="41320DB6" w:rsidR="00375FAA" w:rsidRPr="00375F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375FAA">
              <w:rPr>
                <w:rFonts w:asciiTheme="minorEastAsia" w:eastAsiaTheme="minorEastAsia" w:hAnsiTheme="minorEastAsia"/>
              </w:rPr>
              <w:t>运行性能： 每秒帧数（FPS）用于衡量模型的推理速度，模型参数量（Parameters）和浮点运算次数（FLOPs）用于衡量模型的复杂度。</w:t>
            </w:r>
          </w:p>
          <w:p w14:paraId="66BC4D30" w14:textId="238FE604"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实验平台： 实验将在高性能计算服务器上进行，硬件配置为NVIDIA RTX 40系列或同等级别GPU，软件环境为Ubuntu操作系统，采用</w:t>
            </w:r>
            <w:proofErr w:type="spellStart"/>
            <w:r w:rsidRPr="004508AA">
              <w:rPr>
                <w:rFonts w:asciiTheme="minorEastAsia" w:eastAsiaTheme="minorEastAsia" w:hAnsiTheme="minorEastAsia"/>
              </w:rPr>
              <w:t>PyTorch</w:t>
            </w:r>
            <w:proofErr w:type="spellEnd"/>
            <w:r w:rsidRPr="004508AA">
              <w:rPr>
                <w:rFonts w:asciiTheme="minorEastAsia" w:eastAsiaTheme="minorEastAsia" w:hAnsiTheme="minorEastAsia"/>
              </w:rPr>
              <w:t>深度学习框架进行模型搭建与训练。</w:t>
            </w:r>
          </w:p>
          <w:p w14:paraId="60EA1B94"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消融研究： 为验证各改进点的有效性，将设计详细的消融实验（Ablation Study），包括：① 原始YOLOv12基线模型；② 仅集成轻量化模块的模型；③ 仅集成注意力机制的模型；④ 同时集成两种改进策略的最终模型。通过对比这四组实验的结果，科学地论证每个创新点的贡献。</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2026年12月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lastRenderedPageBreak/>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7CC2F5E0" w14:textId="77777777" w:rsidR="002A1B75" w:rsidRP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本人已通过研究生阶段的课程学习，掌握了深度学习、计算机视觉和数字图像处理等领域的扎实理论基础。熟练掌握Python编程语言以及</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等深度学习框架，具备独立进行模型设计、代码实现、实验调试与数据分析的能力。已对YOLO系列目标检测算法的发展脉络和核心原理进行了系统性的学习，并对模型轻量化及注意力机制等前沿技术进行了广泛的文献调研，为本课题的顺利开展奠定了坚实的基础。</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77777777" w:rsidR="00954B62" w:rsidRPr="00954B62"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p>
          <w:p w14:paraId="1ACAA6FC" w14:textId="55C1812A" w:rsidR="002A1B75" w:rsidRPr="002A1B75"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w:t>
            </w:r>
            <w:proofErr w:type="spellStart"/>
            <w:r w:rsidRPr="002A1B75">
              <w:rPr>
                <w:rFonts w:asciiTheme="minorEastAsia" w:eastAsiaTheme="minorEastAsia" w:hAnsiTheme="minorEastAsia"/>
                <w:bCs/>
              </w:rPr>
              <w:t>GhostNet</w:t>
            </w:r>
            <w:proofErr w:type="spellEnd"/>
            <w:r w:rsidRPr="002A1B75">
              <w:rPr>
                <w:rFonts w:asciiTheme="minorEastAsia" w:eastAsiaTheme="minorEastAsia" w:hAnsiTheme="minorEastAsia"/>
                <w:bCs/>
              </w:rPr>
              <w: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lastRenderedPageBreak/>
              <w:t>六、经费预算</w:t>
            </w:r>
            <w:r w:rsidRPr="00135516">
              <w:rPr>
                <w:rFonts w:ascii="黑体" w:eastAsia="黑体" w:hAnsi="黑体" w:hint="eastAsia"/>
                <w:sz w:val="28"/>
                <w:szCs w:val="28"/>
              </w:rPr>
              <w:t>(预算经费总额(元)、开支项目、主要用途、预算金费等)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资料复印、文献购买、参加国内学术会议等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lastRenderedPageBreak/>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lastRenderedPageBreak/>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lastRenderedPageBreak/>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lastRenderedPageBreak/>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吻合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可行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基本可行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适合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基本适合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0"/>
      <w:footerReference w:type="default" r:id="rId11"/>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0B61D" w14:textId="77777777" w:rsidR="005364D9" w:rsidRDefault="005364D9">
      <w:r>
        <w:separator/>
      </w:r>
    </w:p>
  </w:endnote>
  <w:endnote w:type="continuationSeparator" w:id="0">
    <w:p w14:paraId="1660797C" w14:textId="77777777" w:rsidR="005364D9" w:rsidRDefault="0053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楷体"/>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CB06F" w14:textId="77777777" w:rsidR="005364D9" w:rsidRDefault="005364D9">
      <w:r>
        <w:separator/>
      </w:r>
    </w:p>
  </w:footnote>
  <w:footnote w:type="continuationSeparator" w:id="0">
    <w:p w14:paraId="2ECB6338" w14:textId="77777777" w:rsidR="005364D9" w:rsidRDefault="005364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1C7F4"/>
    <w:multiLevelType w:val="singleLevel"/>
    <w:tmpl w:val="0EC1C7F4"/>
    <w:lvl w:ilvl="0">
      <w:start w:val="1"/>
      <w:numFmt w:val="decimal"/>
      <w:suff w:val="space"/>
      <w:lvlText w:val="(%1)"/>
      <w:lvlJc w:val="left"/>
    </w:lvl>
  </w:abstractNum>
  <w:abstractNum w:abstractNumId="4"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5"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2"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4"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0"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51D5C04"/>
    <w:multiLevelType w:val="multilevel"/>
    <w:tmpl w:val="95FEC39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29"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2E45938"/>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28"/>
  </w:num>
  <w:num w:numId="2" w16cid:durableId="1067994644">
    <w:abstractNumId w:val="9"/>
  </w:num>
  <w:num w:numId="3" w16cid:durableId="571165151">
    <w:abstractNumId w:val="19"/>
  </w:num>
  <w:num w:numId="4" w16cid:durableId="1710688027">
    <w:abstractNumId w:val="5"/>
  </w:num>
  <w:num w:numId="5" w16cid:durableId="241112609">
    <w:abstractNumId w:val="15"/>
  </w:num>
  <w:num w:numId="6" w16cid:durableId="1503819390">
    <w:abstractNumId w:val="14"/>
  </w:num>
  <w:num w:numId="7" w16cid:durableId="1549998759">
    <w:abstractNumId w:val="2"/>
  </w:num>
  <w:num w:numId="8" w16cid:durableId="2015842210">
    <w:abstractNumId w:val="22"/>
  </w:num>
  <w:num w:numId="9" w16cid:durableId="1173960304">
    <w:abstractNumId w:val="22"/>
    <w:lvlOverride w:ilvl="1">
      <w:startOverride w:val="1"/>
    </w:lvlOverride>
  </w:num>
  <w:num w:numId="10" w16cid:durableId="1513182173">
    <w:abstractNumId w:val="1"/>
  </w:num>
  <w:num w:numId="11" w16cid:durableId="744453025">
    <w:abstractNumId w:val="10"/>
  </w:num>
  <w:num w:numId="12" w16cid:durableId="102507323">
    <w:abstractNumId w:val="23"/>
  </w:num>
  <w:num w:numId="13" w16cid:durableId="1352292447">
    <w:abstractNumId w:val="27"/>
  </w:num>
  <w:num w:numId="14" w16cid:durableId="1851213286">
    <w:abstractNumId w:val="6"/>
  </w:num>
  <w:num w:numId="15" w16cid:durableId="882910645">
    <w:abstractNumId w:val="7"/>
  </w:num>
  <w:num w:numId="16" w16cid:durableId="682511429">
    <w:abstractNumId w:val="12"/>
  </w:num>
  <w:num w:numId="17" w16cid:durableId="570123059">
    <w:abstractNumId w:val="30"/>
  </w:num>
  <w:num w:numId="18" w16cid:durableId="485710187">
    <w:abstractNumId w:val="26"/>
  </w:num>
  <w:num w:numId="19" w16cid:durableId="168106637">
    <w:abstractNumId w:val="18"/>
  </w:num>
  <w:num w:numId="20" w16cid:durableId="904488338">
    <w:abstractNumId w:val="25"/>
  </w:num>
  <w:num w:numId="21" w16cid:durableId="1927687122">
    <w:abstractNumId w:val="17"/>
  </w:num>
  <w:num w:numId="22" w16cid:durableId="2057462586">
    <w:abstractNumId w:val="24"/>
  </w:num>
  <w:num w:numId="23" w16cid:durableId="1919361615">
    <w:abstractNumId w:val="8"/>
  </w:num>
  <w:num w:numId="24" w16cid:durableId="1824926822">
    <w:abstractNumId w:val="0"/>
  </w:num>
  <w:num w:numId="25" w16cid:durableId="1478645930">
    <w:abstractNumId w:val="21"/>
  </w:num>
  <w:num w:numId="26" w16cid:durableId="925460332">
    <w:abstractNumId w:val="31"/>
  </w:num>
  <w:num w:numId="27" w16cid:durableId="1446728411">
    <w:abstractNumId w:val="29"/>
  </w:num>
  <w:num w:numId="28" w16cid:durableId="1472332988">
    <w:abstractNumId w:val="16"/>
  </w:num>
  <w:num w:numId="29" w16cid:durableId="1251541857">
    <w:abstractNumId w:val="13"/>
  </w:num>
  <w:num w:numId="30" w16cid:durableId="1442604914">
    <w:abstractNumId w:val="20"/>
  </w:num>
  <w:num w:numId="31" w16cid:durableId="1001271844">
    <w:abstractNumId w:val="4"/>
  </w:num>
  <w:num w:numId="32" w16cid:durableId="362638135">
    <w:abstractNumId w:val="32"/>
  </w:num>
  <w:num w:numId="33" w16cid:durableId="1062481554">
    <w:abstractNumId w:val="11"/>
  </w:num>
  <w:num w:numId="34" w16cid:durableId="5601374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43000"/>
    <w:rsid w:val="00062E09"/>
    <w:rsid w:val="000A0A03"/>
    <w:rsid w:val="000C59BC"/>
    <w:rsid w:val="00124B5D"/>
    <w:rsid w:val="0013495E"/>
    <w:rsid w:val="00135516"/>
    <w:rsid w:val="00145C7F"/>
    <w:rsid w:val="0015151A"/>
    <w:rsid w:val="00165F5C"/>
    <w:rsid w:val="0018492D"/>
    <w:rsid w:val="00187E3C"/>
    <w:rsid w:val="001E2CCE"/>
    <w:rsid w:val="00220373"/>
    <w:rsid w:val="00221B94"/>
    <w:rsid w:val="002258B1"/>
    <w:rsid w:val="00254272"/>
    <w:rsid w:val="00255505"/>
    <w:rsid w:val="00257B65"/>
    <w:rsid w:val="002672B7"/>
    <w:rsid w:val="00273F4C"/>
    <w:rsid w:val="002A1B75"/>
    <w:rsid w:val="003416BC"/>
    <w:rsid w:val="003555BC"/>
    <w:rsid w:val="00362F1A"/>
    <w:rsid w:val="003707CE"/>
    <w:rsid w:val="00374728"/>
    <w:rsid w:val="00375FAA"/>
    <w:rsid w:val="00383939"/>
    <w:rsid w:val="003D77B9"/>
    <w:rsid w:val="003E6D6A"/>
    <w:rsid w:val="00405F4A"/>
    <w:rsid w:val="004209EE"/>
    <w:rsid w:val="004444A8"/>
    <w:rsid w:val="004508AA"/>
    <w:rsid w:val="00463C85"/>
    <w:rsid w:val="004C63DE"/>
    <w:rsid w:val="004E0D25"/>
    <w:rsid w:val="004E5B74"/>
    <w:rsid w:val="004F155C"/>
    <w:rsid w:val="005364D9"/>
    <w:rsid w:val="0058023E"/>
    <w:rsid w:val="005B499D"/>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A21"/>
    <w:rsid w:val="007A16CA"/>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251E0"/>
    <w:rsid w:val="00933FA6"/>
    <w:rsid w:val="00951AD1"/>
    <w:rsid w:val="00954B62"/>
    <w:rsid w:val="00970ECF"/>
    <w:rsid w:val="009718D1"/>
    <w:rsid w:val="009B54A8"/>
    <w:rsid w:val="009D098D"/>
    <w:rsid w:val="00A027CB"/>
    <w:rsid w:val="00A113B6"/>
    <w:rsid w:val="00A151A7"/>
    <w:rsid w:val="00A51ECB"/>
    <w:rsid w:val="00A60B20"/>
    <w:rsid w:val="00A66B2F"/>
    <w:rsid w:val="00A753B2"/>
    <w:rsid w:val="00A92537"/>
    <w:rsid w:val="00AA2E7C"/>
    <w:rsid w:val="00AA6CAB"/>
    <w:rsid w:val="00AB0750"/>
    <w:rsid w:val="00AC6CDA"/>
    <w:rsid w:val="00AD76CF"/>
    <w:rsid w:val="00B07AC7"/>
    <w:rsid w:val="00B37BA1"/>
    <w:rsid w:val="00B41985"/>
    <w:rsid w:val="00B43028"/>
    <w:rsid w:val="00BB3D59"/>
    <w:rsid w:val="00BB46D1"/>
    <w:rsid w:val="00BD1190"/>
    <w:rsid w:val="00C15509"/>
    <w:rsid w:val="00C276DD"/>
    <w:rsid w:val="00C5623B"/>
    <w:rsid w:val="00C97CBE"/>
    <w:rsid w:val="00CA2A5F"/>
    <w:rsid w:val="00CB1712"/>
    <w:rsid w:val="00CB52DF"/>
    <w:rsid w:val="00CC15D7"/>
    <w:rsid w:val="00CE083A"/>
    <w:rsid w:val="00CE22AD"/>
    <w:rsid w:val="00D00B82"/>
    <w:rsid w:val="00D02E40"/>
    <w:rsid w:val="00D6503D"/>
    <w:rsid w:val="00D73241"/>
    <w:rsid w:val="00D85B86"/>
    <w:rsid w:val="00DC23FA"/>
    <w:rsid w:val="00DE27EF"/>
    <w:rsid w:val="00DE67A5"/>
    <w:rsid w:val="00DE7A1E"/>
    <w:rsid w:val="00E22659"/>
    <w:rsid w:val="00E52623"/>
    <w:rsid w:val="00E91FD9"/>
    <w:rsid w:val="00E926D6"/>
    <w:rsid w:val="00EC1081"/>
    <w:rsid w:val="00EC1CFE"/>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16</Pages>
  <Words>4280</Words>
  <Characters>4580</Characters>
  <Application>Microsoft Office Word</Application>
  <DocSecurity>0</DocSecurity>
  <Lines>269</Lines>
  <Paragraphs>147</Paragraphs>
  <ScaleCrop>false</ScaleCrop>
  <Company>ph</Company>
  <LinksUpToDate>false</LinksUpToDate>
  <CharactersWithSpaces>8713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非凡 刘</cp:lastModifiedBy>
  <cp:revision>47</cp:revision>
  <cp:lastPrinted>2017-10-13T03:40:00Z</cp:lastPrinted>
  <dcterms:created xsi:type="dcterms:W3CDTF">2014-03-10T01:27:00Z</dcterms:created>
  <dcterms:modified xsi:type="dcterms:W3CDTF">2025-09-26T04:05:00Z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