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2A44"/>
          <w:sz w:val="28"/>
          <w:szCs w:val="28"/>
        </w:rPr>
        <w:t xml:space="preserve">Universidad Iberoamericana</w:t>
      </w:r>
    </w:p>
    <w:p>
      <w:pPr>
        <w:spacing w:after="1400" w:before="0"/>
        <w:jc w:val="center"/>
      </w:pPr>
      <w:r>
        <w:rPr>
          <w:color w:val="1F2A44"/>
          <w:sz w:val="24"/>
          <w:szCs w:val="24"/>
        </w:rPr>
        <w:t xml:space="preserve">Cooperación Internacional</w:t>
      </w:r>
    </w:p>
    <w:p>
      <w:pPr>
        <w:spacing w:after="60" w:before="0"/>
        <w:jc w:val="center"/>
      </w:pPr>
      <w:r>
        <w:rPr>
          <w:b/>
          <w:bCs/>
          <w:color w:val="1F2A44"/>
          <w:sz w:val="40"/>
          <w:szCs w:val="40"/>
        </w:rPr>
        <w:t xml:space="preserve">Seguridad, desarrollo y cooperación internacional:</w:t>
      </w:r>
    </w:p>
    <w:p>
      <w:pPr>
        <w:spacing w:after="600" w:before="0"/>
        <w:jc w:val="center"/>
      </w:pPr>
      <w:r>
        <w:rPr>
          <w:b w:val="false"/>
          <w:bCs w:val="false"/>
          <w:color w:val="2E64A8"/>
          <w:sz w:val="30"/>
          <w:szCs w:val="30"/>
        </w:rPr>
        <w:t xml:space="preserve">del orden de posguerra a los complejos regionales de seguridad</w:t>
      </w:r>
    </w:p>
    <w:p>
      <w:pPr>
        <w:spacing w:after="1600" w:before="0"/>
        <w:jc w:val="center"/>
      </w:pPr>
      <w:r>
        <w:rPr>
          <w:i/>
          <w:iCs/>
          <w:color w:val="1F2A44"/>
          <w:sz w:val="24"/>
          <w:szCs w:val="24"/>
        </w:rPr>
        <w:t xml:space="preserve">Trabajo de evaluación · respuestas a las preguntas 1 a 10</w:t>
      </w:r>
    </w:p>
    <w:p>
      <w:pPr>
        <w:spacing w:after="120" w:before="0"/>
        <w:jc w:val="center"/>
      </w:pPr>
      <w:r>
        <w:rPr>
          <w:b/>
          <w:bCs/>
          <w:color w:val="1F2A44"/>
          <w:sz w:val="22"/>
          <w:szCs w:val="22"/>
        </w:rPr>
        <w:t xml:space="preserve">Profesora:</w:t>
      </w:r>
      <w:r>
        <w:rPr>
          <w:color w:val="1F2A44"/>
          <w:sz w:val="22"/>
          <w:szCs w:val="22"/>
        </w:rPr>
        <w:t xml:space="preserve"> Dra. Blanca Elena Gómez García</w:t>
      </w:r>
    </w:p>
    <w:p>
      <w:pPr>
        <w:spacing w:after="120" w:before="0"/>
        <w:jc w:val="center"/>
      </w:pPr>
      <w:r>
        <w:rPr>
          <w:b/>
          <w:bCs/>
          <w:color w:val="1F2A44"/>
          <w:sz w:val="22"/>
          <w:szCs w:val="22"/>
        </w:rPr>
        <w:t xml:space="preserve">Alumno(a):</w:t>
      </w:r>
      <w:r>
        <w:rPr>
          <w:color w:val="1F2A44"/>
          <w:sz w:val="22"/>
          <w:szCs w:val="22"/>
        </w:rPr>
        <w:t xml:space="preserve"> [Nombre completo]</w:t>
      </w:r>
    </w:p>
    <w:p>
      <w:pPr>
        <w:spacing w:after="120" w:before="0"/>
        <w:jc w:val="center"/>
      </w:pPr>
      <w:r>
        <w:rPr>
          <w:b/>
          <w:bCs/>
          <w:color w:val="1F2A44"/>
          <w:sz w:val="22"/>
          <w:szCs w:val="22"/>
        </w:rPr>
        <w:t xml:space="preserve">Matrícula / ID:</w:t>
      </w:r>
      <w:r>
        <w:rPr>
          <w:color w:val="1F2A44"/>
          <w:sz w:val="22"/>
          <w:szCs w:val="22"/>
        </w:rPr>
        <w:t xml:space="preserve"> [ ]</w:t>
      </w:r>
    </w:p>
    <w:p>
      <w:pPr>
        <w:spacing w:after="1200" w:before="0"/>
        <w:jc w:val="center"/>
      </w:pPr>
      <w:r>
        <w:rPr>
          <w:b/>
          <w:bCs/>
          <w:color w:val="1F2A44"/>
          <w:sz w:val="22"/>
          <w:szCs w:val="22"/>
        </w:rPr>
        <w:t xml:space="preserve">Fecha:</w:t>
      </w:r>
      <w:r>
        <w:rPr>
          <w:color w:val="1F2A44"/>
          <w:sz w:val="22"/>
          <w:szCs w:val="22"/>
        </w:rPr>
        <w:t xml:space="preserve"> octubre de 2026</w:t>
      </w:r>
    </w:p>
    <w:p>
      <w:pPr>
        <w:pStyle w:val="Heading1"/>
        <w:keepNext/>
        <w:pageBreakBefore/>
      </w:pPr>
      <w:r>
        <w:t xml:space="preserve">Nota metodológica y contenido</w:t>
      </w:r>
    </w:p>
    <w:p>
      <w:pPr>
        <w:spacing w:after="140" w:before="0" w:line="288"/>
        <w:jc w:val="both"/>
      </w:pPr>
      <w:r>
        <w:rPr>
          <w:sz w:val="22"/>
          <w:szCs w:val="22"/>
        </w:rPr>
        <w:t xml:space="preserve">Cada respuesta se construye a partir de los materiales del curso: la lectura de Blanca Elena Gómez García, «El binomio seguridad‑desarrollo: ¿de qué estamos hablando?» (2014); las presentaciones de clase sobre arquitectura institucional de posguerra, cooperación militar, cooperación y conflicto (Marrero Rocha), geopolítica de los materiales críticos, desarrollo y justicia social, complejos regionales de seguridad (Buzan y Wæver), ciclo del proyecto y economía de la rosquilla; y el documental sobre el Plan Marshall. Cuando fue necesario completar datos (por ejemplo, decisiones recientes de la OTAN o casos de cooperación militar en América Latina) se indica la fuente en las referencias.</w:t>
      </w:r>
    </w:p>
    <w:p>
      <w:pPr>
        <w:spacing w:after="140" w:before="0" w:line="288"/>
        <w:jc w:val="both"/>
      </w:pPr>
      <w:r>
        <w:rPr>
          <w:sz w:val="22"/>
          <w:szCs w:val="22"/>
        </w:rPr>
        <w:t xml:space="preserve">En todas las respuestas procuro explicar </w:t>
      </w:r>
      <w:r>
        <w:rPr>
          <w:b/>
          <w:bCs/>
          <w:sz w:val="22"/>
          <w:szCs w:val="22"/>
        </w:rPr>
        <w:t xml:space="preserve">por qué</w:t>
      </w:r>
      <w:r>
        <w:rPr>
          <w:sz w:val="22"/>
          <w:szCs w:val="22"/>
        </w:rPr>
        <w:t xml:space="preserve"> ocurrieron los hechos y </w:t>
      </w:r>
      <w:r>
        <w:rPr>
          <w:b/>
          <w:bCs/>
          <w:sz w:val="22"/>
          <w:szCs w:val="22"/>
        </w:rPr>
        <w:t xml:space="preserve">qué implicaciones</w:t>
      </w:r>
      <w:r>
        <w:rPr>
          <w:sz w:val="22"/>
          <w:szCs w:val="22"/>
        </w:rPr>
        <w:t xml:space="preserve"> tuvieron, y distingo entre hechos verificables e interpretación propia cuando la pregunta lo 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cantSplit/>
          <w:tblHeader/>
        </w:trPr>
        <w:tc>
          <w:tcPr>
            <w:tcW w:type="dxa" w:w="12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20"/>
                <w:szCs w:val="20"/>
              </w:rPr>
              <w:t xml:space="preserve">Pregunta</w:t>
            </w:r>
          </w:p>
        </w:tc>
        <w:tc>
          <w:tcPr>
            <w:tcW w:type="dxa" w:w="816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20"/>
                <w:szCs w:val="20"/>
              </w:rPr>
              <w:t xml:space="preserve">Tema</w:t>
            </w:r>
          </w:p>
        </w:tc>
      </w:tr>
      <w:tr>
        <w:trPr>
          <w:cantSplit/>
        </w:trPr>
        <w:tc>
          <w:tcPr>
            <w:tcW w:type="dxa" w:w="12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1</w:t>
            </w:r>
          </w:p>
        </w:tc>
        <w:tc>
          <w:tcPr>
            <w:tcW w:type="dxa" w:w="8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Libertad del miedo y libertad de la necesidad: contexto histórico (Gómez García)</w:t>
            </w:r>
          </w:p>
        </w:tc>
      </w:tr>
      <w:tr>
        <w:trPr>
          <w:cantSplit/>
        </w:trPr>
        <w:tc>
          <w:tcPr>
            <w:tcW w:type="dxa" w:w="12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2</w:t>
            </w:r>
          </w:p>
        </w:tc>
        <w:tc>
          <w:tcPr>
            <w:tcW w:type="dxa" w:w="8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Cuadro comparativo de tipos y modalidades de cooperación internacional</w:t>
            </w:r>
          </w:p>
        </w:tc>
      </w:tr>
      <w:tr>
        <w:trPr>
          <w:cantSplit/>
        </w:trPr>
        <w:tc>
          <w:tcPr>
            <w:tcW w:type="dxa" w:w="12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3</w:t>
            </w:r>
          </w:p>
        </w:tc>
        <w:tc>
          <w:tcPr>
            <w:tcW w:type="dxa" w:w="8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La respuesta soviética al Plan Marshall (documental)</w:t>
            </w:r>
          </w:p>
        </w:tc>
      </w:tr>
      <w:tr>
        <w:trPr>
          <w:cantSplit/>
        </w:trPr>
        <w:tc>
          <w:tcPr>
            <w:tcW w:type="dxa" w:w="12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4</w:t>
            </w:r>
          </w:p>
        </w:tc>
        <w:tc>
          <w:tcPr>
            <w:tcW w:type="dxa" w:w="8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Dominios estratégicos y transformación de la OTAN en el siglo XXI</w:t>
            </w:r>
          </w:p>
        </w:tc>
      </w:tr>
      <w:tr>
        <w:trPr>
          <w:cantSplit/>
        </w:trPr>
        <w:tc>
          <w:tcPr>
            <w:tcW w:type="dxa" w:w="12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5</w:t>
            </w:r>
          </w:p>
        </w:tc>
        <w:tc>
          <w:tcPr>
            <w:tcW w:type="dxa" w:w="8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Conflicto y cooperación según Inmaculada Marrero aplicado a los minerales críticos</w:t>
            </w:r>
          </w:p>
        </w:tc>
      </w:tr>
      <w:tr>
        <w:trPr>
          <w:cantSplit/>
        </w:trPr>
        <w:tc>
          <w:tcPr>
            <w:tcW w:type="dxa" w:w="12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6</w:t>
            </w:r>
          </w:p>
        </w:tc>
        <w:tc>
          <w:tcPr>
            <w:tcW w:type="dxa" w:w="8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Mapa mental de la arquitectura institucional de posguerra</w:t>
            </w:r>
          </w:p>
        </w:tc>
      </w:tr>
      <w:tr>
        <w:trPr>
          <w:cantSplit/>
        </w:trPr>
        <w:tc>
          <w:tcPr>
            <w:tcW w:type="dxa" w:w="12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7</w:t>
            </w:r>
          </w:p>
        </w:tc>
        <w:tc>
          <w:tcPr>
            <w:tcW w:type="dxa" w:w="8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Complejo Regional de Seguridad de Medio Oriente (Buzan y Wæver)</w:t>
            </w:r>
          </w:p>
        </w:tc>
      </w:tr>
      <w:tr>
        <w:trPr>
          <w:cantSplit/>
        </w:trPr>
        <w:tc>
          <w:tcPr>
            <w:tcW w:type="dxa" w:w="12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8</w:t>
            </w:r>
          </w:p>
        </w:tc>
        <w:tc>
          <w:tcPr>
            <w:tcW w:type="dxa" w:w="8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Complejo Regional de Seguridad de Asia y comparación con Medio Oriente</w:t>
            </w:r>
          </w:p>
        </w:tc>
      </w:tr>
      <w:tr>
        <w:trPr>
          <w:cantSplit/>
        </w:trPr>
        <w:tc>
          <w:tcPr>
            <w:tcW w:type="dxa" w:w="12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9</w:t>
            </w:r>
          </w:p>
        </w:tc>
        <w:tc>
          <w:tcPr>
            <w:tcW w:type="dxa" w:w="8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20"/>
                <w:szCs w:val="20"/>
              </w:rPr>
              <w:t xml:space="preserve">Cooperación militar de Rusia con América Latina</w:t>
            </w:r>
          </w:p>
        </w:tc>
      </w:tr>
      <w:tr>
        <w:trPr>
          <w:cantSplit/>
        </w:trPr>
        <w:tc>
          <w:tcPr>
            <w:tcW w:type="dxa" w:w="12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10</w:t>
            </w:r>
          </w:p>
        </w:tc>
        <w:tc>
          <w:tcPr>
            <w:tcW w:type="dxa" w:w="8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20"/>
                <w:szCs w:val="20"/>
              </w:rPr>
              <w:t xml:space="preserve">Cooperación militar de Estados Unidos con América Latina y comparación</w:t>
            </w:r>
          </w:p>
        </w:tc>
      </w:tr>
    </w:tbl>
    <w:p>
      <w:pPr>
        <w:spacing w:after="120"/>
      </w:pPr>
    </w:p>
    <w:p>
      <w:pPr>
        <w:pStyle w:val="Heading1"/>
        <w:keepNext/>
        <w:pageBreakBefore/>
      </w:pPr>
      <w:r>
        <w:t xml:space="preserve">1. Libertad del miedo y libertad de la necesidad: contexto histórico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A partir de la lectura de Blanca Elena Gómez García, reconstruye el contexto histórico en el que adquieren relevancia los conceptos de libertad del miedo y libertad de la necesidad.</w:t>
            </w:r>
          </w:p>
        </w:tc>
      </w:tr>
    </w:tbl>
    <w:p>
      <w:pPr>
        <w:spacing w:after="140"/>
      </w:pPr>
    </w:p>
    <w:p>
      <w:pPr>
        <w:spacing w:after="140" w:before="0" w:line="288"/>
        <w:jc w:val="both"/>
      </w:pPr>
      <w:r>
        <w:rPr>
          <w:sz w:val="22"/>
          <w:szCs w:val="22"/>
        </w:rPr>
        <w:t xml:space="preserve">Gómez García (2014) parte de una tesis que ordena toda la respuesta: el binomio seguridad‑desarrollo </w:t>
      </w:r>
      <w:r>
        <w:rPr>
          <w:b/>
          <w:bCs/>
          <w:sz w:val="22"/>
          <w:szCs w:val="22"/>
        </w:rPr>
        <w:t xml:space="preserve">no nace en 1994</w:t>
      </w:r>
      <w:r>
        <w:rPr>
          <w:sz w:val="22"/>
          <w:szCs w:val="22"/>
        </w:rPr>
        <w:t xml:space="preserve"> con el concepto de Seguridad Humana (SH) del PNUD, sino en la segunda posguerra mundial; 1994 sólo lo hace visible y le pone nombre. Las dos libertades son, en su lectura, las dos «lógicas discursivas» que componen ese binomio: la </w:t>
      </w:r>
      <w:r>
        <w:rPr>
          <w:b/>
          <w:bCs/>
          <w:sz w:val="22"/>
          <w:szCs w:val="22"/>
        </w:rPr>
        <w:t xml:space="preserve">libertad de la necesidad</w:t>
      </w:r>
      <w:r>
        <w:rPr>
          <w:sz w:val="22"/>
          <w:szCs w:val="22"/>
        </w:rPr>
        <w:t xml:space="preserve"> corresponde a la cuestión del desarrollo y la </w:t>
      </w:r>
      <w:r>
        <w:rPr>
          <w:b/>
          <w:bCs/>
          <w:sz w:val="22"/>
          <w:szCs w:val="22"/>
        </w:rPr>
        <w:t xml:space="preserve">libertad del miedo</w:t>
      </w:r>
      <w:r>
        <w:rPr>
          <w:sz w:val="22"/>
          <w:szCs w:val="22"/>
        </w:rPr>
        <w:t xml:space="preserve"> a la cuestión de la seguridad. Por eso la autora retoma a Ulfgard (2010) cuando afirma que la dificultad de la SH «reside en su carácter divergente», pues encierra dos aproximaciones distintas a las libertades fundamentales del individuo.</w:t>
      </w:r>
    </w:p>
    <w:p>
      <w:pPr>
        <w:spacing w:after="140" w:before="0" w:line="288"/>
        <w:jc w:val="both"/>
      </w:pPr>
      <w:r>
        <w:rPr>
          <w:sz w:val="22"/>
          <w:szCs w:val="22"/>
        </w:rPr>
        <w:t xml:space="preserve">Como antecedente (complemento de investigación propia), la fórmula proviene del discurso de las Cuatro Libertades de F. D. Roosevelt (enero de 1941) y de la Carta del Atlántico (agosto de 1941), que prometía un orden en el que todos los pueblos pudieran vivir «libres del miedo y de la necesidad». Es decir, ambas libertades nacieron como la promesa de los Aliados sobre el mundo que debía surgir después de la guerra.</w:t>
      </w:r>
    </w:p>
    <w:p>
      <w:pPr>
        <w:pStyle w:val="Heading2"/>
        <w:keepNext/>
      </w:pPr>
      <w:r>
        <w:t xml:space="preserve">a) Tres momentos históricos</w:t>
      </w:r>
    </w:p>
    <w:p>
      <w:pPr>
        <w:pStyle w:val="Heading3"/>
        <w:keepNext/>
      </w:pPr>
      <w:r>
        <w:t xml:space="preserve">Momento 1. La segunda posguerra y la Guerra Fría temprana (1945‑1961): nace el binomio</w:t>
      </w:r>
    </w:p>
    <w:p>
      <w:pPr>
        <w:spacing w:after="140" w:before="0" w:line="288"/>
        <w:jc w:val="both"/>
      </w:pPr>
      <w:r>
        <w:rPr>
          <w:sz w:val="22"/>
          <w:szCs w:val="22"/>
        </w:rPr>
        <w:t xml:space="preserve">La autora identifica cuatro hechos que determinaron la agenda de cooperación: la precaria condición europea, la descolonización en masa, la llamada cuestión griega y la consolidación de Estados Unidos como potencia mundial. La cadena causal es clara. Europa era vista como amenaza a la seguridad porque estaba destruida económicamente y debilitada militarmente; se priorizó la recuperación económica porque traería, como consecuencia, el fortalecimiento militar. De ahí el </w:t>
      </w:r>
      <w:r>
        <w:rPr>
          <w:b/>
          <w:bCs/>
          <w:sz w:val="22"/>
          <w:szCs w:val="22"/>
        </w:rPr>
        <w:t xml:space="preserve">Plan Marshall</w:t>
      </w:r>
      <w:r>
        <w:rPr>
          <w:sz w:val="22"/>
          <w:szCs w:val="22"/>
        </w:rPr>
        <w:t xml:space="preserve"> (1947): 13 mil millones de dólares condicionados a que los europeos diseñaran su propia estrategia de administración. En Grecia, en plena guerra civil, Truman sostuvo que la pobreza era una condición de subdesarrollo que podía arrastrar al país hacia el socialismo; así se formuló la </w:t>
      </w:r>
      <w:r>
        <w:rPr>
          <w:b/>
          <w:bCs/>
          <w:sz w:val="22"/>
          <w:szCs w:val="22"/>
        </w:rPr>
        <w:t xml:space="preserve">doctrina de la contención</w:t>
      </w:r>
      <w:r>
        <w:rPr>
          <w:sz w:val="22"/>
          <w:szCs w:val="22"/>
        </w:rPr>
        <w:t xml:space="preserve">, que según Calle y Merke combinó políticas (OTAN, apoyo a la integración europea), estrategias (disuasión) y recursos (Plan Marshall).</w:t>
      </w:r>
    </w:p>
    <w:p>
      <w:pPr>
        <w:spacing w:after="140" w:before="0" w:line="288"/>
        <w:jc w:val="both"/>
      </w:pPr>
      <w:r>
        <w:rPr>
          <w:sz w:val="22"/>
          <w:szCs w:val="22"/>
        </w:rPr>
        <w:t xml:space="preserve">La implicación es decisiva: </w:t>
      </w:r>
      <w:r>
        <w:rPr>
          <w:b/>
          <w:bCs/>
          <w:sz w:val="22"/>
          <w:szCs w:val="22"/>
        </w:rPr>
        <w:t xml:space="preserve">el subdesarrollo pasa a leerse como un peligro para el statu quo</w:t>
      </w:r>
      <w:r>
        <w:rPr>
          <w:sz w:val="22"/>
          <w:szCs w:val="22"/>
        </w:rPr>
        <w:t xml:space="preserve">, y la cooperación para el desarrollo se convierte en un instrumento de seguridad. La Alianza para el Progreso (1961‑1970) confirma la tesis: la ayuda se reorientó hacia los Estados «en peligro» frente a la expansión soviética. En este momento la libertad de la necesidad se piensa como crecimiento y modernización (las cinco etapas de Rostow) y la libertad del miedo sigue siendo la seguridad del Estado frente al enemigo ideológico.</w:t>
      </w:r>
    </w:p>
    <w:p>
      <w:pPr>
        <w:pStyle w:val="Heading3"/>
        <w:keepNext/>
      </w:pPr>
      <w:r>
        <w:t xml:space="preserve">Momento 2. Crisis del desarrollo y fin de la Guerra Fría (décadas de 1970 a 1990): ambos conceptos se redefinen</w:t>
      </w:r>
    </w:p>
    <w:p>
      <w:pPr>
        <w:spacing w:after="140" w:before="0" w:line="288"/>
        <w:jc w:val="both"/>
      </w:pPr>
      <w:r>
        <w:rPr>
          <w:sz w:val="22"/>
          <w:szCs w:val="22"/>
        </w:rPr>
        <w:t xml:space="preserve">La estanflación de los setenta, las crisis petroleras y las «recetas» neoliberales del Banco Mundial en los ochenta (más mercado, menos Estado) mostraron que medio siglo de «desarrollo» había producido desigualdad, pobreza e inseguridad. Al terminar la Guerra Fría, el triunfo de la cosmovisión liberal parecía equivaler a la paz, «pero el contexto demostró todo lo contrario»: los conflictos en la ex Yugoslavia y en África evidenciaron que la violencia ya no era principalmente interestatal y que se alimentaba de la privación.</w:t>
      </w:r>
    </w:p>
    <w:p>
      <w:pPr>
        <w:spacing w:after="140" w:before="0" w:line="288"/>
        <w:jc w:val="both"/>
      </w:pPr>
      <w:r>
        <w:rPr>
          <w:sz w:val="22"/>
          <w:szCs w:val="22"/>
        </w:rPr>
        <w:t xml:space="preserve">Esto provocó dos giros paralelos. En el desarrollo, el PNUD adoptó el </w:t>
      </w:r>
      <w:r>
        <w:rPr>
          <w:b/>
          <w:bCs/>
          <w:sz w:val="22"/>
          <w:szCs w:val="22"/>
        </w:rPr>
        <w:t xml:space="preserve">Desarrollo Humano</w:t>
      </w:r>
      <w:r>
        <w:rPr>
          <w:sz w:val="22"/>
          <w:szCs w:val="22"/>
        </w:rPr>
        <w:t xml:space="preserve"> (1990), basado en Amartya Sen, para quien el desarrollo es expansión de libertades y la pobreza es privación de capacidades. En la seguridad, Ullman (1983) redefinió la amenaza como aquello que degrada drásticamente la calidad de vida de los habitantes; Tuchman Mathews (1989) defendió ampliar la agenda, y Buzan (1991) propuso cinco sectores (militar, político, económico, societal y ambiental) y cuatro niveles de análisis. El efecto causal es que la necesidad y el miedo empiezan a verse como fenómenos que se retroalimentan.</w:t>
      </w:r>
    </w:p>
    <w:p>
      <w:pPr>
        <w:pStyle w:val="Heading3"/>
        <w:keepNext/>
      </w:pPr>
      <w:r>
        <w:t xml:space="preserve">Momento 3. 1994‑2005: institucionalización de la Seguridad Humana y de la Responsabilidad de Proteger</w:t>
      </w:r>
    </w:p>
    <w:p>
      <w:pPr>
        <w:spacing w:after="140" w:before="0" w:line="288"/>
        <w:jc w:val="both"/>
      </w:pPr>
      <w:r>
        <w:rPr>
          <w:sz w:val="22"/>
          <w:szCs w:val="22"/>
        </w:rPr>
        <w:t xml:space="preserve">El Informe sobre Desarrollo Humano de 1994 visibiliza el binomio. Coloca al individuo, y no al territorio, como objeto de la seguridad; propone el desarrollo, y no las armas, como herramienta; y define siete dimensiones: económica, alimentaria, sanitaria, ambiental, personal, comunitaria y política. En 1995, el informe </w:t>
      </w:r>
      <w:r>
        <w:rPr>
          <w:i/>
          <w:iCs/>
          <w:sz w:val="22"/>
          <w:szCs w:val="22"/>
        </w:rPr>
        <w:t xml:space="preserve">Our Global Neighbourhood</w:t>
      </w:r>
      <w:r>
        <w:rPr>
          <w:sz w:val="22"/>
          <w:szCs w:val="22"/>
        </w:rPr>
        <w:t xml:space="preserve"> y la </w:t>
      </w:r>
      <w:r>
        <w:rPr>
          <w:i/>
          <w:iCs/>
          <w:sz w:val="22"/>
          <w:szCs w:val="22"/>
        </w:rPr>
        <w:t xml:space="preserve">Agenda para el Desarrollo</w:t>
      </w:r>
      <w:r>
        <w:rPr>
          <w:sz w:val="22"/>
          <w:szCs w:val="22"/>
        </w:rPr>
        <w:t xml:space="preserve"> de Boutros‑Ghali (la paz como «fuente necesaria» del desarrollo) consolidan la relación. En la Cumbre del Milenio, Kofi Annan, recordando Rwanda y Srebrenica, llamó a un mundo libre del miedo y de la necesidad, lo que dio origen a la Comisión de Seguridad Humana (2001).</w:t>
      </w:r>
    </w:p>
    <w:p>
      <w:pPr>
        <w:spacing w:after="140" w:before="0" w:line="288"/>
        <w:jc w:val="both"/>
      </w:pPr>
      <w:r>
        <w:rPr>
          <w:sz w:val="22"/>
          <w:szCs w:val="22"/>
        </w:rPr>
        <w:t xml:space="preserve">Sin embargo, el 11 de septiembre de 2001 devolvió la agenda a la seguridad tradicional (la «lucha contra el terrorismo») y, en diciembre de ese año, la comisión impulsada por Canadá publicó </w:t>
      </w:r>
      <w:r>
        <w:rPr>
          <w:i/>
          <w:iCs/>
          <w:sz w:val="22"/>
          <w:szCs w:val="22"/>
        </w:rPr>
        <w:t xml:space="preserve">La responsabilidad de proteger</w:t>
      </w:r>
      <w:r>
        <w:rPr>
          <w:sz w:val="22"/>
          <w:szCs w:val="22"/>
        </w:rPr>
        <w:t xml:space="preserve">: prevenir, reaccionar y reconstruir. La implicación, según la autora, es ambivalente: la libertad del miedo se convierte también en una vía para </w:t>
      </w:r>
      <w:r>
        <w:rPr>
          <w:b/>
          <w:bCs/>
          <w:sz w:val="22"/>
          <w:szCs w:val="22"/>
        </w:rPr>
        <w:t xml:space="preserve">limitar la soberanía</w:t>
      </w:r>
      <w:r>
        <w:rPr>
          <w:sz w:val="22"/>
          <w:szCs w:val="22"/>
        </w:rPr>
        <w:t xml:space="preserve"> de los Estados que no protegen a su población.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blHeader/>
        </w:trPr>
        <w:tc>
          <w:tcPr>
            <w:tcW w:type="dxa" w:w="18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8"/>
                <w:szCs w:val="18"/>
              </w:rPr>
              <w:t xml:space="preserve">Momento</w:t>
            </w:r>
          </w:p>
        </w:tc>
        <w:tc>
          <w:tcPr>
            <w:tcW w:type="dxa" w:w="252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8"/>
                <w:szCs w:val="18"/>
              </w:rPr>
              <w:t xml:space="preserve">Libertad de la necesidad</w:t>
            </w:r>
          </w:p>
        </w:tc>
        <w:tc>
          <w:tcPr>
            <w:tcW w:type="dxa" w:w="252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8"/>
                <w:szCs w:val="18"/>
              </w:rPr>
              <w:t xml:space="preserve">Libertad del miedo</w:t>
            </w:r>
          </w:p>
        </w:tc>
        <w:tc>
          <w:tcPr>
            <w:tcW w:type="dxa" w:w="252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8"/>
                <w:szCs w:val="18"/>
              </w:rPr>
              <w:t xml:space="preserve">Implicación para la cooperación</w:t>
            </w:r>
          </w:p>
        </w:tc>
      </w:tr>
      <w:tr>
        <w:trPr>
          <w:cantSplit/>
        </w:trPr>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8"/>
                <w:szCs w:val="18"/>
              </w:rPr>
              <w:t xml:space="preserve">1945‑1961</w:t>
            </w:r>
            <w:r>
              <w:rPr>
                <w:sz w:val="18"/>
                <w:szCs w:val="18"/>
              </w:rPr>
              <w:t xml:space="preserve"> Posguerra y contención</w:t>
            </w:r>
          </w:p>
        </w:tc>
        <w:tc>
          <w:tcPr>
            <w:tcW w:type="dxa" w:w="252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Crecimiento e industrialización (teoría económica del desarrollo, Rostow)</w:t>
            </w:r>
          </w:p>
        </w:tc>
        <w:tc>
          <w:tcPr>
            <w:tcW w:type="dxa" w:w="252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Seguridad nacional del Estado; división Este‑Oeste</w:t>
            </w:r>
          </w:p>
        </w:tc>
        <w:tc>
          <w:tcPr>
            <w:tcW w:type="dxa" w:w="252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Ayuda condicionada como contención: Plan Marshall, punto cuatro, ALPRO</w:t>
            </w:r>
          </w:p>
        </w:tc>
      </w:tr>
      <w:tr>
        <w:trPr>
          <w:cantSplit/>
        </w:trPr>
        <w:tc>
          <w:tcPr>
            <w:tcW w:type="dxa" w:w="18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8"/>
                <w:szCs w:val="18"/>
              </w:rPr>
              <w:t xml:space="preserve">1970‑1990</w:t>
            </w:r>
            <w:r>
              <w:rPr>
                <w:sz w:val="18"/>
                <w:szCs w:val="18"/>
              </w:rPr>
              <w:t xml:space="preserve"> Crisis y fin de la Guerra Fría</w:t>
            </w:r>
          </w:p>
        </w:tc>
        <w:tc>
          <w:tcPr>
            <w:tcW w:type="dxa" w:w="252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8"/>
                <w:szCs w:val="18"/>
              </w:rPr>
              <w:t xml:space="preserve">Críticas de la CEPAL y la dependencia; Desarrollo Humano (Sen, 1990)</w:t>
            </w:r>
          </w:p>
        </w:tc>
        <w:tc>
          <w:tcPr>
            <w:tcW w:type="dxa" w:w="252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8"/>
                <w:szCs w:val="18"/>
              </w:rPr>
              <w:t xml:space="preserve">Ampliación de la seguridad (Ullman, Tuchman, Buzan); conflictos intraestatales</w:t>
            </w:r>
          </w:p>
        </w:tc>
        <w:tc>
          <w:tcPr>
            <w:tcW w:type="dxa" w:w="252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8"/>
                <w:szCs w:val="18"/>
              </w:rPr>
              <w:t xml:space="preserve">Recetas neoliberales que profundizan la desigualdad; búsqueda de enfoques integrales</w:t>
            </w:r>
          </w:p>
        </w:tc>
      </w:tr>
      <w:tr>
        <w:trPr>
          <w:cantSplit/>
        </w:trPr>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8"/>
                <w:szCs w:val="18"/>
              </w:rPr>
              <w:t xml:space="preserve">1994‑2005</w:t>
            </w:r>
            <w:r>
              <w:rPr>
                <w:sz w:val="18"/>
                <w:szCs w:val="18"/>
              </w:rPr>
              <w:t xml:space="preserve"> Seguridad Humana y R2P</w:t>
            </w:r>
          </w:p>
        </w:tc>
        <w:tc>
          <w:tcPr>
            <w:tcW w:type="dxa" w:w="252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Siete dimensiones de la SH; pobreza como vulnerabilidad</w:t>
            </w:r>
          </w:p>
        </w:tc>
        <w:tc>
          <w:tcPr>
            <w:tcW w:type="dxa" w:w="252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Protección de civiles, R2P y lucha contra el terrorismo</w:t>
            </w:r>
          </w:p>
        </w:tc>
        <w:tc>
          <w:tcPr>
            <w:tcW w:type="dxa" w:w="252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Agendas selectivas: ayuda a Estados frágiles y límites a la soberanía</w:t>
            </w:r>
          </w:p>
        </w:tc>
      </w:tr>
    </w:tbl>
    <w:p>
      <w:pPr>
        <w:spacing w:after="120"/>
      </w:pPr>
    </w:p>
    <w:p>
      <w:pPr>
        <w:pStyle w:val="Heading2"/>
        <w:keepNext/>
      </w:pPr>
      <w:r>
        <w:t xml:space="preserve">b) Qué significa cada libertad y qué problema internacional atiende</w:t>
      </w:r>
    </w:p>
    <w:p>
      <w:pPr>
        <w:spacing w:after="140" w:before="0" w:line="288"/>
        <w:jc w:val="both"/>
      </w:pPr>
      <w:r>
        <w:rPr>
          <w:b/>
          <w:bCs/>
          <w:sz w:val="22"/>
          <w:szCs w:val="22"/>
        </w:rPr>
        <w:t xml:space="preserve">Libertad de la necesidad</w:t>
      </w:r>
      <w:r>
        <w:rPr>
          <w:sz w:val="22"/>
          <w:szCs w:val="22"/>
        </w:rPr>
        <w:t xml:space="preserve"> (</w:t>
      </w:r>
      <w:r>
        <w:rPr>
          <w:i/>
          <w:iCs/>
          <w:sz w:val="22"/>
          <w:szCs w:val="22"/>
        </w:rPr>
        <w:t xml:space="preserve">freedom from want</w:t>
      </w:r>
      <w:r>
        <w:rPr>
          <w:sz w:val="22"/>
          <w:szCs w:val="22"/>
        </w:rPr>
        <w:t xml:space="preserve">). Es la protección frente a las privaciones materiales que impiden una vida digna: ingreso, alimentación, salud, educación y vivienda. En el texto corresponde a la «cuestión del desarrollo». El problema internacional que atiende cambió con el tiempo. En la posguerra era el </w:t>
      </w:r>
      <w:r>
        <w:rPr>
          <w:b/>
          <w:bCs/>
          <w:sz w:val="22"/>
          <w:szCs w:val="22"/>
        </w:rPr>
        <w:t xml:space="preserve">subdesarrollo</w:t>
      </w:r>
      <w:r>
        <w:rPr>
          <w:sz w:val="22"/>
          <w:szCs w:val="22"/>
        </w:rPr>
        <w:t xml:space="preserve">, entendido como atraso industrial que volvía vulnerables a los Estados frente al socialismo; por eso la teoría económica del desarrollo prometía la secuencia inversión → industrialización → productividad → ingreso. Desde los noventa es la </w:t>
      </w:r>
      <w:r>
        <w:rPr>
          <w:b/>
          <w:bCs/>
          <w:sz w:val="22"/>
          <w:szCs w:val="22"/>
        </w:rPr>
        <w:t xml:space="preserve">pobreza como privación de capacidades</w:t>
      </w:r>
      <w:r>
        <w:rPr>
          <w:sz w:val="22"/>
          <w:szCs w:val="22"/>
        </w:rPr>
        <w:t xml:space="preserve"> (Sen), que excluye y genera vulnerabilidad. En la SH se traduce en las seguridades económica, alimentaria, sanitaria y ambiental.</w:t>
      </w:r>
    </w:p>
    <w:p>
      <w:pPr>
        <w:spacing w:after="140" w:before="0" w:line="288"/>
        <w:jc w:val="both"/>
      </w:pPr>
      <w:r>
        <w:rPr>
          <w:b/>
          <w:bCs/>
          <w:sz w:val="22"/>
          <w:szCs w:val="22"/>
        </w:rPr>
        <w:t xml:space="preserve">Libertad del miedo</w:t>
      </w:r>
      <w:r>
        <w:rPr>
          <w:sz w:val="22"/>
          <w:szCs w:val="22"/>
        </w:rPr>
        <w:t xml:space="preserve"> (</w:t>
      </w:r>
      <w:r>
        <w:rPr>
          <w:i/>
          <w:iCs/>
          <w:sz w:val="22"/>
          <w:szCs w:val="22"/>
        </w:rPr>
        <w:t xml:space="preserve">freedom from fear</w:t>
      </w:r>
      <w:r>
        <w:rPr>
          <w:sz w:val="22"/>
          <w:szCs w:val="22"/>
        </w:rPr>
        <w:t xml:space="preserve">). Es la protección frente a la violencia directa y sus amenazas: guerra, conflicto interno, genocidio, represión y crimen. Es la «cuestión de la seguridad», pero de una seguridad ampliada. El problema que atiende es que el concepto clásico, en el que el Estado es sujeto y objeto de la seguridad y que se define por la relación poder‑peligro, no protegía a las personas en los conflictos intraestatales de los noventa (ex Yugoslavia, Rwanda). Se expresa en las seguridades personal, comunitaria y política y, en su versión más estrecha, en la protección de civiles y la R2P.</w:t>
      </w:r>
    </w:p>
    <w:p>
      <w:pPr>
        <w:spacing w:after="140" w:before="0" w:line="288"/>
        <w:jc w:val="both"/>
      </w:pPr>
      <w:r>
        <w:rPr>
          <w:sz w:val="22"/>
          <w:szCs w:val="22"/>
        </w:rPr>
        <w:t xml:space="preserve">La tensión que subraya Ulfgard es que cada libertad privilegia actores e instrumentos distintos. La necesidad remite a agencias de desarrollo, mercados y políticas sociales; el miedo, a fuerzas de seguridad, operaciones de paz e incluso intervención. Por eso algunos actores, como Canadá con la R2P, privilegiaron la libertad del miedo, mientras el PNUD defendía la visión amplia.</w:t>
      </w:r>
    </w:p>
    <w:p>
      <w:pPr>
        <w:pStyle w:val="Heading2"/>
        <w:keepNext/>
      </w:pPr>
      <w:r>
        <w:t xml:space="preserve">c) Relación entre ambos conceptos y la cooperación posterior a la Segunda Guerra Mundial</w:t>
      </w:r>
    </w:p>
    <w:p>
      <w:pPr>
        <w:spacing w:after="140" w:before="0" w:line="288"/>
        <w:jc w:val="both"/>
      </w:pPr>
      <w:r>
        <w:rPr>
          <w:sz w:val="22"/>
          <w:szCs w:val="22"/>
        </w:rPr>
        <w:t xml:space="preserve">Ambos conceptos se relacionan de forma dialéctica: «no puede existir desarrollo sin seguridad, ni seguridad sin desarrollo». Esa relación fue el fundamento mismo de la cooperación de posguerra, no un añadido de los noventa. Tres argumentos lo muestran:</w:t>
      </w:r>
    </w:p>
    <w:p>
      <w:pPr>
        <w:pStyle w:val="ListParagraph"/>
        <w:numPr>
          <w:ilvl w:val="0"/>
          <w:numId w:val="2"/>
        </w:numPr>
        <w:spacing w:after="80" w:line="276"/>
        <w:jc w:val="both"/>
      </w:pPr>
      <w:r>
        <w:rPr>
          <w:b/>
          <w:bCs/>
          <w:sz w:val="22"/>
          <w:szCs w:val="22"/>
        </w:rPr>
        <w:t xml:space="preserve">La arquitectura institucional reparte las dos libertades, pero las conecta.</w:t>
      </w:r>
      <w:r>
        <w:rPr>
          <w:sz w:val="22"/>
          <w:szCs w:val="22"/>
        </w:rPr>
        <w:t xml:space="preserve"> La Carta de la ONU encomienda la paz y la seguridad al Consejo de Seguridad (miedo) y el bienestar económico y social al ECOSOC y a los organismos especializados (necesidad). Su artículo 55 vincula ambas al hablar de crear las «condiciones de estabilidad y bienestar necesarias para las relaciones pacíficas». Bretton Woods (FMI y Banco Mundial) institucionalizó la libertad de la necesidad para no repetir la depresión que, en los años treinta, condujo a la guerra.</w:t>
      </w:r>
    </w:p>
    <w:p>
      <w:pPr>
        <w:pStyle w:val="ListParagraph"/>
        <w:numPr>
          <w:ilvl w:val="0"/>
          <w:numId w:val="2"/>
        </w:numPr>
        <w:spacing w:after="80" w:line="276"/>
        <w:jc w:val="both"/>
      </w:pPr>
      <w:r>
        <w:rPr>
          <w:b/>
          <w:bCs/>
          <w:sz w:val="22"/>
          <w:szCs w:val="22"/>
        </w:rPr>
        <w:t xml:space="preserve">La cooperación Norte‑Sur nace como cooperación de seguridad.</w:t>
      </w:r>
      <w:r>
        <w:rPr>
          <w:sz w:val="22"/>
          <w:szCs w:val="22"/>
        </w:rPr>
        <w:t xml:space="preserve"> Como subraya Gómez García, la condicionalidad del Plan Marshall, el punto cuatro de Truman (asistencia técnica) y la ALPRO respondían a la premisa de que los Estados que no crecen «suponen un riesgo a la estabilidad global». La ayuda (necesidad) era un medio de contención (miedo).</w:t>
      </w:r>
    </w:p>
    <w:p>
      <w:pPr>
        <w:pStyle w:val="ListParagraph"/>
        <w:numPr>
          <w:ilvl w:val="0"/>
          <w:numId w:val="2"/>
        </w:numPr>
        <w:spacing w:after="80" w:line="276"/>
        <w:jc w:val="both"/>
      </w:pPr>
      <w:r>
        <w:rPr>
          <w:b/>
          <w:bCs/>
          <w:sz w:val="22"/>
          <w:szCs w:val="22"/>
        </w:rPr>
        <w:t xml:space="preserve">El binomio produce imaginarios geográficos.</w:t>
      </w:r>
      <w:r>
        <w:rPr>
          <w:sz w:val="22"/>
          <w:szCs w:val="22"/>
        </w:rPr>
        <w:t xml:space="preserve"> Siguiendo a Reid‑Henry, el desarrollo separó al Norte del Sur y la seguridad separó al Este del Oeste; ambas lógicas se combinan para clasificar a los Estados en desarrollados («buenos y pacíficos») y subdesarrollados («peligrosos»). Esto explica la selectividad de la ayuda. Entre 2001 y 2010, los principales receptores de AOD entre los Estados frágiles fueron Irak (29 252.55 mdd) y Afganistán (21 304.09 mdd); en Irak, Estados Unidos y Reino Unido aportaron 90% de la ayuda (material de clase sobre cooperación militar). La ayuda siguió las prioridades de seguridad, no las mayores carencias.</w:t>
      </w:r>
    </w:p>
    <w:p>
      <w:pPr>
        <w:pStyle w:val="Heading2"/>
        <w:keepNext/>
      </w:pPr>
      <w:r>
        <w:t xml:space="preserve">d) Conclusión: una seguridad que trasciende lo militar</w:t>
      </w:r>
    </w:p>
    <w:p>
      <w:pPr>
        <w:spacing w:after="140" w:before="0" w:line="288"/>
        <w:jc w:val="both"/>
      </w:pPr>
      <w:r>
        <w:rPr>
          <w:sz w:val="22"/>
          <w:szCs w:val="22"/>
        </w:rPr>
        <w:t xml:space="preserve">Las dos libertades permiten entender una seguridad que va más allá de lo militar por cuatro razones:</w:t>
      </w:r>
    </w:p>
    <w:p>
      <w:pPr>
        <w:pStyle w:val="ListParagraph"/>
        <w:numPr>
          <w:ilvl w:val="0"/>
          <w:numId w:val="2"/>
        </w:numPr>
        <w:spacing w:after="80" w:line="276"/>
        <w:jc w:val="both"/>
      </w:pPr>
      <w:r>
        <w:rPr>
          <w:sz w:val="22"/>
          <w:szCs w:val="22"/>
        </w:rPr>
        <w:t xml:space="preserve">Cambian el </w:t>
      </w:r>
      <w:r>
        <w:rPr>
          <w:b/>
          <w:bCs/>
          <w:sz w:val="22"/>
          <w:szCs w:val="22"/>
        </w:rPr>
        <w:t xml:space="preserve">objeto referente</w:t>
      </w:r>
      <w:r>
        <w:rPr>
          <w:sz w:val="22"/>
          <w:szCs w:val="22"/>
        </w:rPr>
        <w:t xml:space="preserve">: del Estado al individuo.</w:t>
      </w:r>
    </w:p>
    <w:p>
      <w:pPr>
        <w:pStyle w:val="ListParagraph"/>
        <w:numPr>
          <w:ilvl w:val="0"/>
          <w:numId w:val="2"/>
        </w:numPr>
        <w:spacing w:after="80" w:line="276"/>
        <w:jc w:val="both"/>
      </w:pPr>
      <w:r>
        <w:rPr>
          <w:sz w:val="22"/>
          <w:szCs w:val="22"/>
        </w:rPr>
        <w:t xml:space="preserve">Amplían los </w:t>
      </w:r>
      <w:r>
        <w:rPr>
          <w:b/>
          <w:bCs/>
          <w:sz w:val="22"/>
          <w:szCs w:val="22"/>
        </w:rPr>
        <w:t xml:space="preserve">sectores</w:t>
      </w:r>
      <w:r>
        <w:rPr>
          <w:sz w:val="22"/>
          <w:szCs w:val="22"/>
        </w:rPr>
        <w:t xml:space="preserve"> de amenaza: los cinco sectores de Buzan y las siete dimensiones del PNUD.</w:t>
      </w:r>
    </w:p>
    <w:p>
      <w:pPr>
        <w:pStyle w:val="ListParagraph"/>
        <w:numPr>
          <w:ilvl w:val="0"/>
          <w:numId w:val="2"/>
        </w:numPr>
        <w:spacing w:after="80" w:line="276"/>
        <w:jc w:val="both"/>
      </w:pPr>
      <w:r>
        <w:rPr>
          <w:sz w:val="22"/>
          <w:szCs w:val="22"/>
        </w:rPr>
        <w:t xml:space="preserve">Muestran que las amenazas están </w:t>
      </w:r>
      <w:r>
        <w:rPr>
          <w:b/>
          <w:bCs/>
          <w:sz w:val="22"/>
          <w:szCs w:val="22"/>
        </w:rPr>
        <w:t xml:space="preserve">interconectadas</w:t>
      </w:r>
      <w:r>
        <w:rPr>
          <w:sz w:val="22"/>
          <w:szCs w:val="22"/>
        </w:rPr>
        <w:t xml:space="preserve">: «cada amenaza alimenta a otra» y puede extenderse a nivel regional, por lo que exigen respuestas «integrales, multisectoriales y contextualizadas».</w:t>
      </w:r>
    </w:p>
    <w:p>
      <w:pPr>
        <w:pStyle w:val="ListParagraph"/>
        <w:numPr>
          <w:ilvl w:val="0"/>
          <w:numId w:val="2"/>
        </w:numPr>
        <w:spacing w:after="80" w:line="276"/>
        <w:jc w:val="both"/>
      </w:pPr>
      <w:r>
        <w:rPr>
          <w:sz w:val="22"/>
          <w:szCs w:val="22"/>
        </w:rPr>
        <w:t xml:space="preserve">Desplazan el </w:t>
      </w:r>
      <w:r>
        <w:rPr>
          <w:b/>
          <w:bCs/>
          <w:sz w:val="22"/>
          <w:szCs w:val="22"/>
        </w:rPr>
        <w:t xml:space="preserve">instrumento</w:t>
      </w:r>
      <w:r>
        <w:rPr>
          <w:sz w:val="22"/>
          <w:szCs w:val="22"/>
        </w:rPr>
        <w:t xml:space="preserve"> de la seguridad: de las armas al desarrollo.</w:t>
      </w:r>
    </w:p>
    <w:p>
      <w:pPr>
        <w:spacing w:after="140" w:before="0" w:line="288"/>
        <w:jc w:val="both"/>
      </w:pPr>
      <w:r>
        <w:rPr>
          <w:sz w:val="22"/>
          <w:szCs w:val="22"/>
        </w:rPr>
        <w:t xml:space="preserve">Un ejemplo trabajado en clase es la economía de la rosquilla de Kate Raworth. Su «suelo social» (alimentación, agua, salud) expresa la libertad de la necesidad, y su «techo ecológico» incorpora amenazas ambientales que ningún ejército puede contener.</w:t>
      </w:r>
    </w:p>
    <w:p>
      <w:pPr>
        <w:spacing w:after="140" w:before="0" w:line="288"/>
        <w:jc w:val="both"/>
      </w:pPr>
      <w:r>
        <w:rPr>
          <w:sz w:val="22"/>
          <w:szCs w:val="22"/>
        </w:rPr>
        <w:t xml:space="preserve">Mi postura, en línea con la autora, es que esta ampliación es necesaria pero no neutral. Al nombrar al subdesarrollo como peligro, el binomio también puede </w:t>
      </w:r>
      <w:r>
        <w:rPr>
          <w:b/>
          <w:bCs/>
          <w:sz w:val="22"/>
          <w:szCs w:val="22"/>
        </w:rPr>
        <w:t xml:space="preserve">securitizar</w:t>
      </w:r>
      <w:r>
        <w:rPr>
          <w:sz w:val="22"/>
          <w:szCs w:val="22"/>
        </w:rPr>
        <w:t xml:space="preserve"> el desarrollo, en el sentido de Buzan, y justificar condicionalidad o intervención. Por eso, entender la seguridad más allá de lo militar exige hacerse la misma pregunta que planteamos en la clase sobre desarrollo: ¿seguridad para qué, para quién y definida por quién?</w:t>
      </w:r>
    </w:p>
    <w:p>
      <w:pPr>
        <w:pStyle w:val="Heading1"/>
        <w:keepNext/>
      </w:pPr>
      <w:r>
        <w:t xml:space="preserve">2. Tipos y modalidades de cooperación internacional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Construye un cuadro comparativo en el que distingas entre tipos y modalidades de cooperación internacional revisados en clase. Posteriormente, selecciona dos casos y explica por qué pertenecen a categorías distintas.</w:t>
            </w:r>
          </w:p>
        </w:tc>
      </w:tr>
    </w:tbl>
    <w:p>
      <w:pPr>
        <w:spacing w:after="140"/>
      </w:pPr>
    </w:p>
    <w:p>
      <w:pPr>
        <w:spacing w:after="140" w:before="0" w:line="288"/>
        <w:jc w:val="both"/>
      </w:pPr>
      <w:r>
        <w:rPr>
          <w:sz w:val="22"/>
          <w:szCs w:val="22"/>
        </w:rPr>
        <w:t xml:space="preserve">Para clasificar usé </w:t>
      </w:r>
      <w:r>
        <w:rPr>
          <w:b/>
          <w:bCs/>
          <w:sz w:val="22"/>
          <w:szCs w:val="22"/>
        </w:rPr>
        <w:t xml:space="preserve">tres criterios explícitos</w:t>
      </w:r>
      <w:r>
        <w:rPr>
          <w:sz w:val="22"/>
          <w:szCs w:val="22"/>
        </w:rPr>
        <w:t xml:space="preserve">, porque un mismo caso puede ubicarse en varias categorías según la pregunta que se le haga:</w:t>
      </w:r>
    </w:p>
    <w:p>
      <w:pPr>
        <w:pStyle w:val="ListParagraph"/>
        <w:numPr>
          <w:ilvl w:val="0"/>
          <w:numId w:val="2"/>
        </w:numPr>
        <w:spacing w:after="80" w:line="276"/>
        <w:jc w:val="both"/>
      </w:pPr>
      <w:r>
        <w:rPr>
          <w:b/>
          <w:bCs/>
          <w:sz w:val="22"/>
          <w:szCs w:val="22"/>
        </w:rPr>
        <w:t xml:space="preserve">A. Actores y dirección del flujo:</w:t>
      </w:r>
      <w:r>
        <w:rPr>
          <w:sz w:val="22"/>
          <w:szCs w:val="22"/>
        </w:rPr>
        <w:t xml:space="preserve"> quién coopera y hacia dónde van los recursos (vertical, horizontal, triangular, subnacional).</w:t>
      </w:r>
    </w:p>
    <w:p>
      <w:pPr>
        <w:pStyle w:val="ListParagraph"/>
        <w:numPr>
          <w:ilvl w:val="0"/>
          <w:numId w:val="2"/>
        </w:numPr>
        <w:spacing w:after="80" w:line="276"/>
        <w:jc w:val="both"/>
      </w:pPr>
      <w:r>
        <w:rPr>
          <w:b/>
          <w:bCs/>
          <w:sz w:val="22"/>
          <w:szCs w:val="22"/>
        </w:rPr>
        <w:t xml:space="preserve">B. Ámbito e instrumento:</w:t>
      </w:r>
      <w:r>
        <w:rPr>
          <w:sz w:val="22"/>
          <w:szCs w:val="22"/>
        </w:rPr>
        <w:t xml:space="preserve"> qué se intercambia (dinero, conocimiento, armas, reglas) y con qué mecanismo.</w:t>
      </w:r>
    </w:p>
    <w:p>
      <w:pPr>
        <w:pStyle w:val="ListParagraph"/>
        <w:numPr>
          <w:ilvl w:val="0"/>
          <w:numId w:val="2"/>
        </w:numPr>
        <w:spacing w:after="80" w:line="276"/>
        <w:jc w:val="both"/>
      </w:pPr>
      <w:r>
        <w:rPr>
          <w:b/>
          <w:bCs/>
          <w:sz w:val="22"/>
          <w:szCs w:val="22"/>
        </w:rPr>
        <w:t xml:space="preserve">C. Lógica política:</w:t>
      </w:r>
      <w:r>
        <w:rPr>
          <w:sz w:val="22"/>
          <w:szCs w:val="22"/>
        </w:rPr>
        <w:t xml:space="preserve"> la matriz vista en la clase de materiales críticos (cooperación inclusiva, cooperación de bloque, competencia o coerción).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900"/>
        <w:gridCol w:w="2160"/>
        <w:gridCol w:w="2100"/>
      </w:tblGrid>
      <w:tr>
        <w:trPr>
          <w:cantSplit/>
          <w:tblHeader/>
        </w:trPr>
        <w:tc>
          <w:tcPr>
            <w:tcW w:type="dxa" w:w="17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Concepto</w:t>
            </w:r>
          </w:p>
        </w:tc>
        <w:tc>
          <w:tcPr>
            <w:tcW w:type="dxa" w:w="15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Tipo o modalidad (criterio)</w:t>
            </w:r>
          </w:p>
        </w:tc>
        <w:tc>
          <w:tcPr>
            <w:tcW w:type="dxa" w:w="19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Actores participantes</w:t>
            </w:r>
          </w:p>
        </w:tc>
        <w:tc>
          <w:tcPr>
            <w:tcW w:type="dxa" w:w="216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Característica distintiva</w:t>
            </w:r>
          </w:p>
        </w:tc>
        <w:tc>
          <w:tcPr>
            <w:tcW w:type="dxa" w:w="21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Ejemplo concreto</w:t>
            </w:r>
          </w:p>
        </w:tc>
      </w:tr>
      <w:tr>
        <w:trPr>
          <w:cantSplit/>
        </w:trPr>
        <w:tc>
          <w:tcPr>
            <w:tcW w:type="dxa" w:w="17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Cooperación Norte‑Sur para el desarrollo</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 · vertical; Ayuda Oficial al Desarrollo (AOD)</w:t>
            </w:r>
          </w:p>
        </w:tc>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Donantes del CAD‑OCDE, agencias bilaterales, organismos multilaterales y países receptores</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Asimetría donante‑receptor; la ayuda suele ir condicionada</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Alianza para el Progreso (1961‑1970); AOD a Estados frágiles 2001‑2010 (Irak, Afganistán)</w:t>
            </w:r>
          </w:p>
        </w:tc>
      </w:tr>
      <w:tr>
        <w:trPr>
          <w:cantSplit/>
        </w:trPr>
        <w:tc>
          <w:tcPr>
            <w:tcW w:type="dxa" w:w="17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Ayuda para la reconstrucción</w:t>
            </w:r>
          </w:p>
        </w:tc>
        <w:tc>
          <w:tcPr>
            <w:tcW w:type="dxa" w:w="1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 · Norte‑Norte, bilateral‑regional y condicionada</w:t>
            </w:r>
          </w:p>
        </w:tc>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EE. UU. y 16 países de Europa Occidental coordinados en la OECE</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Transferencia masiva condicionada a planificar en conjunto; doble objetivo económico y de contención</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Plan Marshall (1948‑1952, ≈13 mil mdd)</w:t>
            </w:r>
          </w:p>
        </w:tc>
      </w:tr>
      <w:tr>
        <w:trPr>
          <w:cantSplit/>
        </w:trPr>
        <w:tc>
          <w:tcPr>
            <w:tcW w:type="dxa" w:w="17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Cooperación Sur‑Sur</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 · horizontal</w:t>
            </w:r>
          </w:p>
        </w:tc>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Países en desarrollo o emergentes</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Discurso de beneficio mutuo y no injerencia, sin condicionalidad política explícita; alternativa al unilateralismo</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China‑Bolivia (2006): equipo y capacitación antidrogas; memorándum de defensa China‑Argentina (2007‑2012)</w:t>
            </w:r>
          </w:p>
        </w:tc>
      </w:tr>
      <w:tr>
        <w:trPr>
          <w:cantSplit/>
        </w:trPr>
        <w:tc>
          <w:tcPr>
            <w:tcW w:type="dxa" w:w="17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Cooperación triangular</w:t>
            </w:r>
          </w:p>
        </w:tc>
        <w:tc>
          <w:tcPr>
            <w:tcW w:type="dxa" w:w="1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 · mixta</w:t>
            </w:r>
          </w:p>
        </w:tc>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Donante tradicional + país «pivote» de renta media + país beneficiario</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El país pivote aporta experiencia cercana al contexto del receptor</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Programa de Asociación Japón‑México para capacitar a países de Centroamérica y el Caribe</w:t>
            </w:r>
          </w:p>
        </w:tc>
      </w:tr>
      <w:tr>
        <w:trPr>
          <w:cantSplit/>
        </w:trPr>
        <w:tc>
          <w:tcPr>
            <w:tcW w:type="dxa" w:w="17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Cooperación descentralizada (paradiplomacia)</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 · subnacional</w:t>
            </w:r>
          </w:p>
        </w:tc>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Gobiernos locales, ciudades, redes de ciudades y ONG</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Actores no centrales que cooperan por cercanía territorial y temas concretos</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Hermanamientos de ciudades; ciudades que adoptan el marco de la rosquilla (Ámsterdam, 2020)</w:t>
            </w:r>
          </w:p>
        </w:tc>
      </w:tr>
      <w:tr>
        <w:trPr>
          <w:cantSplit/>
        </w:trPr>
        <w:tc>
          <w:tcPr>
            <w:tcW w:type="dxa" w:w="17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Cooperación multilateral financiera</w:t>
            </w:r>
          </w:p>
        </w:tc>
        <w:tc>
          <w:tcPr>
            <w:tcW w:type="dxa" w:w="1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B · financiera</w:t>
            </w:r>
          </w:p>
        </w:tc>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FMI, Banco Mundial y bancos multilaterales de desarrollo (BMD); Estados con voto ponderado</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Recursos mancomunados y reglas comunes; el voto depende de las cuotas</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Marco conjunto de seis BMD (abril de 2026) para cadenas «minerales → manufactura»</w:t>
            </w:r>
          </w:p>
        </w:tc>
      </w:tr>
      <w:tr>
        <w:trPr>
          <w:cantSplit/>
        </w:trPr>
        <w:tc>
          <w:tcPr>
            <w:tcW w:type="dxa" w:w="17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Cooperación técnica</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B · técnica</w:t>
            </w:r>
          </w:p>
        </w:tc>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Agencias especializadas de la ONU, gobiernos y expertos</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Transfiere conocimiento, capacidades y estándares, no dinero</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Punto Cuatro de Truman (1949); proyecto UNCTAD‑Japón en África austral</w:t>
            </w:r>
          </w:p>
        </w:tc>
      </w:tr>
      <w:tr>
        <w:trPr>
          <w:cantSplit/>
        </w:trPr>
        <w:tc>
          <w:tcPr>
            <w:tcW w:type="dxa" w:w="17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Cooperación por proyectos</w:t>
            </w:r>
          </w:p>
        </w:tc>
        <w:tc>
          <w:tcPr>
            <w:tcW w:type="dxa" w:w="1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B · modalidad de ejecución</w:t>
            </w:r>
          </w:p>
        </w:tc>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Financiadores, ejecutores, beneficiarios directos e indirectos, entidades locales</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Ciclo del proyecto y Matriz de Marco Lógico; límites de tiempo, espacio y presupuesto</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Caso «Montecinos» visto en clase: enfermedades por manejo ineficiente del agua</w:t>
            </w:r>
          </w:p>
        </w:tc>
      </w:tr>
      <w:tr>
        <w:trPr>
          <w:cantSplit/>
        </w:trPr>
        <w:tc>
          <w:tcPr>
            <w:tcW w:type="dxa" w:w="17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Seguridad colectiva</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B · político‑militar universal</w:t>
            </w:r>
          </w:p>
        </w:tc>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Todos los miembros de la ONU; decide el Consejo de Seguridad (P5 con veto)</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Vocación universal: todos contra el agresor, sea quien sea</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Capítulo VII de la Carta; queja soviética ante el Consejo por la intervención británica en Grecia</w:t>
            </w:r>
          </w:p>
        </w:tc>
      </w:tr>
      <w:tr>
        <w:trPr>
          <w:cantSplit/>
        </w:trPr>
        <w:tc>
          <w:tcPr>
            <w:tcW w:type="dxa" w:w="17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Defensa colectiva</w:t>
            </w:r>
          </w:p>
        </w:tc>
        <w:tc>
          <w:tcPr>
            <w:tcW w:type="dxa" w:w="1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B · alianza militar</w:t>
            </w:r>
          </w:p>
        </w:tc>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Aliados (32 miembros de la OTAN)</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Asistencia mutua frente a una amenaza externa al grupo</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OTAN (art. 5, 1949; invocado tras el 11‑S); Pacto de Varsovia (1955)</w:t>
            </w:r>
          </w:p>
        </w:tc>
      </w:tr>
      <w:tr>
        <w:trPr>
          <w:cantSplit/>
        </w:trPr>
        <w:tc>
          <w:tcPr>
            <w:tcW w:type="dxa" w:w="17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Cooperación militar bilateral</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B · armas, entrenamiento y coproducción</w:t>
            </w:r>
          </w:p>
        </w:tc>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Estado proveedor, Estado receptor y empresas de defensa</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Transfiere equipo y doctrina; genera dependencia logística</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Brasil‑Rusia (2008‑2012): Igla‑S, Mi‑35 y empresa mixta; Plan Colombia; Iniciativa Mérida</w:t>
            </w:r>
          </w:p>
        </w:tc>
      </w:tr>
      <w:tr>
        <w:trPr>
          <w:cantSplit/>
        </w:trPr>
        <w:tc>
          <w:tcPr>
            <w:tcW w:type="dxa" w:w="17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Cooperación de bloque</w:t>
            </w:r>
            <w:r>
              <w:rPr>
                <w:sz w:val="16"/>
                <w:szCs w:val="16"/>
              </w:rPr>
              <w:t xml:space="preserve"> (</w:t>
            </w:r>
            <w:r>
              <w:rPr>
                <w:i/>
                <w:iCs/>
                <w:sz w:val="16"/>
                <w:szCs w:val="16"/>
              </w:rPr>
              <w:t xml:space="preserve">friend‑shoring</w:t>
            </w:r>
            <w:r>
              <w:rPr>
                <w:sz w:val="16"/>
                <w:szCs w:val="16"/>
              </w:rPr>
              <w:t xml:space="preserve">)</w:t>
            </w:r>
          </w:p>
        </w:tc>
        <w:tc>
          <w:tcPr>
            <w:tcW w:type="dxa" w:w="1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 · excluyente</w:t>
            </w:r>
          </w:p>
        </w:tc>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EE. UU., UE, Japón y «socios confiables»</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Coopera para competir: diversifica proveedores excluyendo a rivales</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Minerals Security Partnership; Plan de Acción EE. UU.‑Japón 2026 (posibles pisos de precio)</w:t>
            </w:r>
          </w:p>
        </w:tc>
      </w:tr>
      <w:tr>
        <w:trPr>
          <w:cantSplit/>
        </w:trPr>
        <w:tc>
          <w:tcPr>
            <w:tcW w:type="dxa" w:w="17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Cooperación inclusiva</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C · transformadora</w:t>
            </w:r>
          </w:p>
        </w:tc>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BMD, UNCTAD y países productores</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Se mide por cuánto transforma la estructura productiva del país proveedor</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Proyecto UNCTAD‑Japón en África austral; exigencias de valor agregado de RDC y Zambia</w:t>
            </w:r>
          </w:p>
        </w:tc>
      </w:tr>
    </w:tbl>
    <w:p>
      <w:pPr>
        <w:spacing w:after="120"/>
      </w:pPr>
    </w:p>
    <w:p>
      <w:pPr>
        <w:spacing w:after="140" w:before="0" w:line="288"/>
        <w:jc w:val="both"/>
      </w:pPr>
      <w:r>
        <w:rPr>
          <w:sz w:val="20"/>
          <w:szCs w:val="20"/>
        </w:rPr>
        <w:t xml:space="preserve">En el extremo opuesto de la matriz están la </w:t>
      </w:r>
      <w:r>
        <w:rPr>
          <w:b/>
          <w:bCs/>
          <w:sz w:val="20"/>
          <w:szCs w:val="20"/>
        </w:rPr>
        <w:t xml:space="preserve">competencia de mercado</w:t>
      </w:r>
      <w:r>
        <w:rPr>
          <w:sz w:val="20"/>
          <w:szCs w:val="20"/>
        </w:rPr>
        <w:t xml:space="preserve"> y la </w:t>
      </w:r>
      <w:r>
        <w:rPr>
          <w:b/>
          <w:bCs/>
          <w:sz w:val="20"/>
          <w:szCs w:val="20"/>
        </w:rPr>
        <w:t xml:space="preserve">coerción</w:t>
      </w:r>
      <w:r>
        <w:rPr>
          <w:sz w:val="20"/>
          <w:szCs w:val="20"/>
        </w:rPr>
        <w:t xml:space="preserve"> (por ejemplo, los controles chinos a la exportación de galio, germanio y tierras raras). No son cooperación, pero conviven con ella: la misma medida puede ser cooperativa para unos y excluyente para otros.</w:t>
      </w:r>
    </w:p>
    <w:p>
      <w:pPr>
        <w:pStyle w:val="Heading2"/>
        <w:keepNext/>
      </w:pPr>
      <w:r>
        <w:t xml:space="preserve">Dos casos de categorías distintas: seguridad colectiva (ONU) vs. defensa colectiva (OTAN)</w:t>
      </w:r>
    </w:p>
    <w:p>
      <w:pPr>
        <w:spacing w:after="140" w:before="0" w:line="288"/>
        <w:jc w:val="both"/>
      </w:pPr>
      <w:r>
        <w:rPr>
          <w:sz w:val="22"/>
          <w:szCs w:val="22"/>
        </w:rPr>
        <w:t xml:space="preserve">Elegí estos dos casos precisamente porque </w:t>
      </w:r>
      <w:r>
        <w:rPr>
          <w:b/>
          <w:bCs/>
          <w:sz w:val="22"/>
          <w:szCs w:val="22"/>
        </w:rPr>
        <w:t xml:space="preserve">se parecen</w:t>
      </w:r>
      <w:r>
        <w:rPr>
          <w:sz w:val="22"/>
          <w:szCs w:val="22"/>
        </w:rPr>
        <w:t xml:space="preserve">. Ambos son cooperación en el sector militar, ambos nacieron entre 1945 y 1949 y Estados Unidos participa en los dos. Si el único criterio fuera el sector, quedarían juntos. Los ubico en categorías distintas por cuatro criterios: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8"/>
                <w:szCs w:val="18"/>
              </w:rPr>
              <w:t xml:space="preserve">Criterio</w:t>
            </w:r>
          </w:p>
        </w:tc>
        <w:tc>
          <w:tcPr>
            <w:tcW w:type="dxa" w:w="348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8"/>
                <w:szCs w:val="18"/>
              </w:rPr>
              <w:t xml:space="preserve">ONU: seguridad colectiva</w:t>
            </w:r>
          </w:p>
        </w:tc>
        <w:tc>
          <w:tcPr>
            <w:tcW w:type="dxa" w:w="348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8"/>
                <w:szCs w:val="18"/>
              </w:rPr>
              <w:t xml:space="preserve">OTAN: defensa colectiva</w:t>
            </w:r>
          </w:p>
        </w:tc>
      </w:tr>
      <w:tr>
        <w:trPr>
          <w:cantSplit/>
        </w:trPr>
        <w:tc>
          <w:tcPr>
            <w:tcW w:type="dxa" w:w="24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8"/>
                <w:szCs w:val="18"/>
              </w:rPr>
              <w:t xml:space="preserve">1. Alcance de la membresía</w:t>
            </w:r>
          </w:p>
        </w:tc>
        <w:tc>
          <w:tcPr>
            <w:tcW w:type="dxa" w:w="34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Universal (193 Estados)</w:t>
            </w:r>
          </w:p>
        </w:tc>
        <w:tc>
          <w:tcPr>
            <w:tcW w:type="dxa" w:w="34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Restringida a aliados (12 fundadores en 1949, 32 hoy)</w:t>
            </w:r>
          </w:p>
        </w:tc>
      </w:tr>
      <w:tr>
        <w:trPr>
          <w:cantSplit/>
        </w:trPr>
        <w:tc>
          <w:tcPr>
            <w:tcW w:type="dxa" w:w="24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8"/>
                <w:szCs w:val="18"/>
              </w:rPr>
              <w:t xml:space="preserve">2. Ubicación de la amenaza</w:t>
            </w:r>
          </w:p>
        </w:tc>
        <w:tc>
          <w:tcPr>
            <w:tcW w:type="dxa" w:w="34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8"/>
                <w:szCs w:val="18"/>
              </w:rPr>
              <w:t xml:space="preserve">Dentro del sistema: cualquier miembro puede ser el agresor</w:t>
            </w:r>
          </w:p>
        </w:tc>
        <w:tc>
          <w:tcPr>
            <w:tcW w:type="dxa" w:w="34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8"/>
                <w:szCs w:val="18"/>
              </w:rPr>
              <w:t xml:space="preserve">Fuera del grupo: la amenaza es externa (la URSS en 1949; Rusia hoy)</w:t>
            </w:r>
          </w:p>
        </w:tc>
      </w:tr>
      <w:tr>
        <w:trPr>
          <w:cantSplit/>
        </w:trPr>
        <w:tc>
          <w:tcPr>
            <w:tcW w:type="dxa" w:w="24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8"/>
                <w:szCs w:val="18"/>
              </w:rPr>
              <w:t xml:space="preserve">3. Mecanismo de decisión</w:t>
            </w:r>
          </w:p>
        </w:tc>
        <w:tc>
          <w:tcPr>
            <w:tcW w:type="dxa" w:w="34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Consejo de Seguridad; veto del P5; capítulo VII</w:t>
            </w:r>
          </w:p>
        </w:tc>
        <w:tc>
          <w:tcPr>
            <w:tcW w:type="dxa" w:w="34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Consejo del Atlántico Norte por consenso; art. 5 (cada aliado adopta la acción «que juzgue necesaria»)</w:t>
            </w:r>
          </w:p>
        </w:tc>
      </w:tr>
      <w:tr>
        <w:trPr>
          <w:cantSplit/>
        </w:trPr>
        <w:tc>
          <w:tcPr>
            <w:tcW w:type="dxa" w:w="24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8"/>
                <w:szCs w:val="18"/>
              </w:rPr>
              <w:t xml:space="preserve">4. Lógica política (criterio C)</w:t>
            </w:r>
          </w:p>
        </w:tc>
        <w:tc>
          <w:tcPr>
            <w:tcW w:type="dxa" w:w="34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8"/>
                <w:szCs w:val="18"/>
              </w:rPr>
              <w:t xml:space="preserve">Inclusiva: gestiona el conflicto dentro de una institución común</w:t>
            </w:r>
          </w:p>
        </w:tc>
        <w:tc>
          <w:tcPr>
            <w:tcW w:type="dxa" w:w="34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8"/>
                <w:szCs w:val="18"/>
              </w:rPr>
              <w:t xml:space="preserve">De bloque: presupone un adversario y provoca contrabloques (Pacto de Varsovia)</w:t>
            </w:r>
          </w:p>
        </w:tc>
      </w:tr>
    </w:tbl>
    <w:p>
      <w:pPr>
        <w:spacing w:after="120"/>
      </w:pPr>
    </w:p>
    <w:p>
      <w:pPr>
        <w:spacing w:after="140" w:before="0" w:line="288"/>
        <w:jc w:val="both"/>
      </w:pPr>
      <w:r>
        <w:rPr>
          <w:sz w:val="22"/>
          <w:szCs w:val="22"/>
        </w:rPr>
        <w:t xml:space="preserve">La justificación de estos criterios es histórica y causal. La seguridad colectiva se diseñó en 1945 para impedir otra guerra mundial incorporando a todas las potencias, incluida la URSS. Pero el veto convirtió al Consejo en un espacio bloqueado por la rivalidad Este‑Oeste. Ante esa parálisis, Estados Unidos y Europa Occidental recurrieron al artículo 51 de la Carta (legítima defensa colectiva) para construir la OTAN, que Calle y Merke ubican entre las «políticas» de la contención. La OTAN no es, entonces, una variante de la ONU, sino una </w:t>
      </w:r>
      <w:r>
        <w:rPr>
          <w:b/>
          <w:bCs/>
          <w:sz w:val="22"/>
          <w:szCs w:val="22"/>
        </w:rPr>
        <w:t xml:space="preserve">respuesta a sus límites</w:t>
      </w:r>
      <w:r>
        <w:rPr>
          <w:sz w:val="22"/>
          <w:szCs w:val="22"/>
        </w:rPr>
        <w:t xml:space="preserve">.</w:t>
      </w:r>
    </w:p>
    <w:p>
      <w:pPr>
        <w:spacing w:after="140" w:before="0" w:line="288"/>
        <w:jc w:val="both"/>
      </w:pPr>
      <w:r>
        <w:rPr>
          <w:sz w:val="22"/>
          <w:szCs w:val="22"/>
        </w:rPr>
        <w:t xml:space="preserve">Por eso la diferencia no está en el actor, porque Estados Unidos está en ambas, ni en el sector, sino en </w:t>
      </w:r>
      <w:r>
        <w:rPr>
          <w:b/>
          <w:bCs/>
          <w:sz w:val="22"/>
          <w:szCs w:val="22"/>
        </w:rPr>
        <w:t xml:space="preserve">dónde se ubica al enemigo y en la lógica de inclusión o exclusión</w:t>
      </w:r>
      <w:r>
        <w:rPr>
          <w:sz w:val="22"/>
          <w:szCs w:val="22"/>
        </w:rPr>
        <w:t xml:space="preserve">. La distinción confirma un argumento del curso: una misma forma de cooperación puede ser cooperativa para sus miembros y excluyente, incluso generadora de conflicto, para los demás.</w:t>
      </w:r>
    </w:p>
    <w:p>
      <w:pPr>
        <w:pStyle w:val="Heading1"/>
        <w:keepNext/>
      </w:pPr>
      <w:r>
        <w:t xml:space="preserve">3. La respuesta de la Unión Soviética frente al Plan Marshall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A partir del documental revisado en clase, explica la respuesta de la Unión Soviética frente al Plan Marshall: oferta estadounidense → dilema soviético → decisión → estrategia hacia Europa del Este → consecuencias para el orden europeo.</w:t>
            </w:r>
          </w:p>
        </w:tc>
      </w:tr>
    </w:tbl>
    <w:p>
      <w:pPr>
        <w:spacing w:after="140"/>
      </w:pPr>
    </w:p>
    <w:p>
      <w:pPr>
        <w:spacing w:after="140" w:before="0" w:line="288"/>
        <w:jc w:val="both"/>
      </w:pPr>
      <w:r>
        <w:rPr>
          <w:sz w:val="22"/>
          <w:szCs w:val="22"/>
        </w:rPr>
        <w:t xml:space="preserve">Me baso en el documental visto en clase (serie </w:t>
      </w:r>
      <w:r>
        <w:rPr>
          <w:i/>
          <w:iCs/>
          <w:sz w:val="22"/>
          <w:szCs w:val="22"/>
        </w:rPr>
        <w:t xml:space="preserve">La Guerra Fría</w:t>
      </w:r>
      <w:r>
        <w:rPr>
          <w:sz w:val="22"/>
          <w:szCs w:val="22"/>
        </w:rPr>
        <w:t xml:space="preserve">, CNN, 1998, capítulo 3, «El Plan Marshall, 1947‑1952»), complementado con Gómez García (2014) y con la presentación «¿Desarrollarse es crecer?».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cantSplit/>
          <w:tblHeader/>
        </w:trPr>
        <w:tc>
          <w:tcPr>
            <w:tcW w:type="dxa" w:w="18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Etapa</w:t>
            </w:r>
          </w:p>
        </w:tc>
        <w:tc>
          <w:tcPr>
            <w:tcW w:type="dxa" w:w="406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Qué ocurrió</w:t>
            </w:r>
          </w:p>
        </w:tc>
        <w:tc>
          <w:tcPr>
            <w:tcW w:type="dxa" w:w="35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Por qué (lógica causal)</w:t>
            </w:r>
          </w:p>
        </w:tc>
      </w:tr>
      <w:tr>
        <w:trPr>
          <w:cantSplit/>
        </w:trPr>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1. Oferta estadounidense</w:t>
            </w:r>
          </w:p>
        </w:tc>
        <w:tc>
          <w:tcPr>
            <w:tcW w:type="dxa" w:w="40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5 de junio de 1947: George C. Marshall anuncia en Harvard un programa de ayuda dirigido «contra el hambre, la pobreza, la desesperación y el caos», abierto a toda Europa, incluida la URSS. Condición: que los europeos elaboraran un programa común y compartieran información sobre sus recursos y necesidades.</w:t>
            </w:r>
          </w:p>
        </w:tc>
        <w:tc>
          <w:tcPr>
            <w:tcW w:type="dxa" w:w="3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El invierno de 1946‑1947 mostró que Europa no se recuperaba y que la miseria fortalecía a los partidos comunistas (Francia, Italia). Para Washington, la recuperación económica era condición de estabilidad y, por lo tanto, de seguridad.</w:t>
            </w:r>
          </w:p>
        </w:tc>
      </w:tr>
      <w:tr>
        <w:trPr>
          <w:cantSplit/>
        </w:trPr>
        <w:tc>
          <w:tcPr>
            <w:tcW w:type="dxa" w:w="18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7"/>
                <w:szCs w:val="17"/>
              </w:rPr>
              <w:t xml:space="preserve">2. Dilema soviético</w:t>
            </w:r>
          </w:p>
        </w:tc>
        <w:tc>
          <w:tcPr>
            <w:tcW w:type="dxa" w:w="40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Aceptar implicaba abrir datos económicos, coordinarse en un esquema multilateral supervisado por EE. UU. e integrar a Europa del Este a un mercado ligado al dólar. Rechazar implicaba renunciar a recursos que una URSS devastada necesitaba y cargar con la responsabilidad de dividir Europa.</w:t>
            </w:r>
          </w:p>
        </w:tc>
        <w:tc>
          <w:tcPr>
            <w:tcW w:type="dxa" w:w="3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Para Stalin, Europa del Este era su cinturón de seguridad frente a nuevas invasiones; la ayuda se percibía como instrumento de penetración económica y política y como vía para reconstruir Alemania.</w:t>
            </w:r>
          </w:p>
        </w:tc>
      </w:tr>
      <w:tr>
        <w:trPr>
          <w:cantSplit/>
        </w:trPr>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3. Decisión</w:t>
            </w:r>
          </w:p>
        </w:tc>
        <w:tc>
          <w:tcPr>
            <w:tcW w:type="dxa" w:w="40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Conferencia de París (27 de junio‑2 de julio de 1947): Molotov propone que cada país pida ayuda por separado; Francia y Gran Bretaña insisten en un programa conjunto. Molotov denuncia la injerencia en asuntos internos y abandona la conferencia.</w:t>
            </w:r>
          </w:p>
        </w:tc>
        <w:tc>
          <w:tcPr>
            <w:tcW w:type="dxa" w:w="3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La planificación conjunta era incompatible con el control soviético de las economías del Este: aceptar el método era aceptar la influencia.</w:t>
            </w:r>
          </w:p>
        </w:tc>
      </w:tr>
      <w:tr>
        <w:trPr>
          <w:cantSplit/>
        </w:trPr>
        <w:tc>
          <w:tcPr>
            <w:tcW w:type="dxa" w:w="18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7"/>
                <w:szCs w:val="17"/>
              </w:rPr>
              <w:t xml:space="preserve">4. Estrategia hacia Europa del Este</w:t>
            </w:r>
          </w:p>
        </w:tc>
        <w:tc>
          <w:tcPr>
            <w:tcW w:type="dxa" w:w="40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Stalin obliga a Checoslovaquia, que ya había aceptado ir a la conferencia del 12 de julio, y a Polonia a retirarse. Ofrece acuerdos comerciales bilaterales (Plan Molotov), crea la Kominform (septiembre de 1947, doctrina de los «dos campos» de Zhdánov), consolida regímenes comunistas (golpe de Praga, febrero de 1948) y funda el CAME (enero de 1949).</w:t>
            </w:r>
          </w:p>
        </w:tc>
        <w:tc>
          <w:tcPr>
            <w:tcW w:type="dxa" w:w="3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Si un solo país del Este recibía la ayuda, el bloque se fracturaba. La respuesta fue cerrarlo en lo económico, lo político y lo ideológico.</w:t>
            </w:r>
          </w:p>
        </w:tc>
      </w:tr>
      <w:tr>
        <w:trPr>
          <w:cantSplit/>
        </w:trPr>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5. Consecuencias para el orden europeo</w:t>
            </w:r>
          </w:p>
        </w:tc>
        <w:tc>
          <w:tcPr>
            <w:tcW w:type="dxa" w:w="40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Europa queda dividida en dos sistemas: OECE (1948) frente a CAME (1949) en lo económico, y OTAN (1949) frente a Pacto de Varsovia (1955) en lo militar. La reforma monetaria occidental desencadena el bloqueo de Berlín (1948‑1949) y en 1949 surgen dos Estados alemanes.</w:t>
            </w:r>
          </w:p>
        </w:tc>
        <w:tc>
          <w:tcPr>
            <w:tcW w:type="dxa" w:w="3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La «cortina de hierro» económica precedió a la militar: la división del orden europeo se institucionalizó a partir de la ayuda.</w:t>
            </w:r>
          </w:p>
        </w:tc>
      </w:tr>
    </w:tbl>
    <w:p>
      <w:pPr>
        <w:spacing w:after="120"/>
      </w:pPr>
    </w:p>
    <w:p>
      <w:pPr>
        <w:pStyle w:val="Heading3"/>
        <w:keepNext/>
      </w:pPr>
      <w:r>
        <w:t xml:space="preserve">Elementos del documental que sustentan el análisis</w:t>
      </w:r>
    </w:p>
    <w:p>
      <w:pPr>
        <w:pStyle w:val="ListParagraph"/>
        <w:numPr>
          <w:ilvl w:val="0"/>
          <w:numId w:val="2"/>
        </w:numPr>
        <w:spacing w:after="80" w:line="276"/>
        <w:jc w:val="both"/>
      </w:pPr>
      <w:r>
        <w:rPr>
          <w:b/>
          <w:bCs/>
          <w:sz w:val="22"/>
          <w:szCs w:val="22"/>
        </w:rPr>
        <w:t xml:space="preserve">La salida de Molotov de la conferencia de París.</w:t>
      </w:r>
      <w:r>
        <w:rPr>
          <w:sz w:val="22"/>
          <w:szCs w:val="22"/>
        </w:rPr>
        <w:t xml:space="preserve"> Muestra que la URSS no rechazó la ayuda «en abstracto»: llegó a negociar y rompió justo en el punto de la condicionalidad (programa conjunto y transparencia), lo que confirma que el dilema era de control político y no sólo económico.</w:t>
      </w:r>
    </w:p>
    <w:p>
      <w:pPr>
        <w:pStyle w:val="ListParagraph"/>
        <w:numPr>
          <w:ilvl w:val="0"/>
          <w:numId w:val="2"/>
        </w:numPr>
        <w:spacing w:after="80" w:line="276"/>
        <w:jc w:val="both"/>
      </w:pPr>
      <w:r>
        <w:rPr>
          <w:b/>
          <w:bCs/>
          <w:sz w:val="22"/>
          <w:szCs w:val="22"/>
        </w:rPr>
        <w:t xml:space="preserve">El ultimátum a Checoslovaquia.</w:t>
      </w:r>
      <w:r>
        <w:rPr>
          <w:sz w:val="22"/>
          <w:szCs w:val="22"/>
        </w:rPr>
        <w:t xml:space="preserve"> Stalin convocó a Moscú al primer ministro Klement Gottwald y al canciller Jan Masaryk y les exigió retirarse en cuestión de horas. Masaryk resumió el episodio diciendo que había ido a Moscú como ministro de un Estado soberano y regresó como un «lacayo» del gobierno soviético. Es la prueba de que la estrategia hacia el Este fue de control coercitivo, no de cooperación.</w:t>
      </w:r>
    </w:p>
    <w:p>
      <w:pPr>
        <w:pStyle w:val="ListParagraph"/>
        <w:numPr>
          <w:ilvl w:val="0"/>
          <w:numId w:val="2"/>
        </w:numPr>
        <w:spacing w:after="80" w:line="276"/>
        <w:jc w:val="both"/>
      </w:pPr>
      <w:r>
        <w:rPr>
          <w:b/>
          <w:bCs/>
          <w:sz w:val="22"/>
          <w:szCs w:val="22"/>
        </w:rPr>
        <w:t xml:space="preserve">La contraofensiva de la Kominform.</w:t>
      </w:r>
      <w:r>
        <w:rPr>
          <w:sz w:val="22"/>
          <w:szCs w:val="22"/>
        </w:rPr>
        <w:t xml:space="preserve"> Las huelgas impulsadas por los partidos comunistas en Francia e Italia (otoño de 1947) y la tensión previa a las elecciones italianas de 1948 muestran que la ayuda se volvió un terreno de disputa política dentro de Europa Occidental.</w:t>
      </w:r>
    </w:p>
    <w:p>
      <w:pPr>
        <w:pStyle w:val="Heading2"/>
        <w:keepNext/>
      </w:pPr>
      <w:r>
        <w:t xml:space="preserve">¿Por qué el Plan Marshall es a la vez cooperación internacional y estrategia geopolítica?</w:t>
      </w:r>
    </w:p>
    <w:p>
      <w:pPr>
        <w:spacing w:after="140" w:before="0" w:line="288"/>
        <w:jc w:val="both"/>
      </w:pPr>
      <w:r>
        <w:rPr>
          <w:b/>
          <w:bCs/>
          <w:sz w:val="22"/>
          <w:szCs w:val="22"/>
        </w:rPr>
        <w:t xml:space="preserve">Como instrumento de cooperación</w:t>
      </w:r>
      <w:r>
        <w:rPr>
          <w:sz w:val="22"/>
          <w:szCs w:val="22"/>
        </w:rPr>
        <w:t xml:space="preserve">, cumple la definición vista en clase: coordinación de políticas entre varios actores para obtener beneficios mutuos, con mecanismos de monitoreo. Transfirió alrededor de 13 mil millones de dólares, mayoritariamente en donaciones, y obligó a los europeos a planificar juntos (OECE). Eso creó hábitos de cooperación y, como señala Gómez García, un «sentimiento europeísta» de oposición a delegar la reconstrucción en un actor extraeuropeo que alimentó la integración. La OECE se transformó en OCDE (1961), cuyo Comité de Ayuda al Desarrollo todavía fija las normas de la AOD.</w:t>
      </w:r>
    </w:p>
    <w:p>
      <w:pPr>
        <w:spacing w:after="140" w:before="0" w:line="288"/>
        <w:jc w:val="both"/>
      </w:pPr>
      <w:r>
        <w:rPr>
          <w:b/>
          <w:bCs/>
          <w:sz w:val="22"/>
          <w:szCs w:val="22"/>
        </w:rPr>
        <w:t xml:space="preserve">Como estrategia geopolítica</w:t>
      </w:r>
      <w:r>
        <w:rPr>
          <w:sz w:val="22"/>
          <w:szCs w:val="22"/>
        </w:rPr>
        <w:t xml:space="preserve">, era el «recurso» de la contención (Calle y Merke). La cadena trabajada en clase lo resume: ayuda → reconstrucción → mercado → estabilidad → seguridad. Además respondía a intereses económicos estadounidenses: reducir el </w:t>
      </w:r>
      <w:r>
        <w:rPr>
          <w:i/>
          <w:iCs/>
          <w:sz w:val="22"/>
          <w:szCs w:val="22"/>
        </w:rPr>
        <w:t xml:space="preserve">dollar gap</w:t>
      </w:r>
      <w:r>
        <w:rPr>
          <w:sz w:val="22"/>
          <w:szCs w:val="22"/>
        </w:rPr>
        <w:t xml:space="preserve"> y abrir mercados para sus exportaciones (Eichengreen y Uzan, citados por Gómez García). La oferta abierta a la URSS tuvo también un efecto estratégico: al fijar condiciones que Moscú difícilmente aceptaría, la responsabilidad de dividir Europa recayó en la URSS, como se ve en la salida de Molotov.</w:t>
      </w:r>
    </w:p>
    <w:p>
      <w:pPr>
        <w:spacing w:after="140" w:before="0" w:line="288"/>
        <w:jc w:val="both"/>
      </w:pPr>
      <w:r>
        <w:rPr>
          <w:sz w:val="22"/>
          <w:szCs w:val="22"/>
        </w:rPr>
        <w:t xml:space="preserve">Mi conclusión es que no son lecturas contradictorias, sino dos caras de la </w:t>
      </w:r>
      <w:r>
        <w:rPr>
          <w:b/>
          <w:bCs/>
          <w:sz w:val="22"/>
          <w:szCs w:val="22"/>
        </w:rPr>
        <w:t xml:space="preserve">cooperación de bloque</w:t>
      </w:r>
      <w:r>
        <w:rPr>
          <w:sz w:val="22"/>
          <w:szCs w:val="22"/>
        </w:rPr>
        <w:t xml:space="preserve">: cooperación intensa hacia dentro y exclusión hacia fuera. El Plan Marshall confirma el planteamiento de Marrero de que conflicto y cooperación coexisten. La cooperación occidental se construyó en función del conflicto con la URSS y, a su vez, profundizó ese conflicto.</w:t>
      </w:r>
    </w:p>
    <w:p>
      <w:pPr>
        <w:pStyle w:val="Heading1"/>
        <w:keepNext/>
      </w:pPr>
      <w:r>
        <w:t xml:space="preserve">4. Dominios estratégicos y transformación de la OTAN en el siglo XXI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Identifica las áreas de atención o dominios estratégicos que muestran la transformación de la OTAN frente a los desafíos del siglo XXI. Selecciona uno y explica por qué modifica la distinción tradicional entre seguridad militar y seguridad no militar.</w:t>
            </w:r>
          </w:p>
        </w:tc>
      </w:tr>
    </w:tbl>
    <w:p>
      <w:pPr>
        <w:spacing w:after="140"/>
      </w:pPr>
    </w:p>
    <w:p>
      <w:pPr>
        <w:spacing w:after="140" w:before="0" w:line="288"/>
        <w:jc w:val="both"/>
      </w:pPr>
      <w:r>
        <w:rPr>
          <w:sz w:val="22"/>
          <w:szCs w:val="22"/>
        </w:rPr>
        <w:t xml:space="preserve">La OTAN nació en 1949 como alianza de defensa colectiva (art. 5) frente a la URSS. Su transformación se explica por dos rupturas. La primera fue el fin de la Guerra Fría, que la obligó a reformular objetivos: según el material de clase, intervino en Yugoslavia en 1999 para frenar la limpieza étnica en Kosovo, dirigió la ISAF en Afganistán (incluida la Operación Medusa, 2006) y entrenó fuerzas en Irak. La segunda fue la aparición de amenazas que no provienen de ejércitos ni respetan fronteras.</w:t>
      </w:r>
    </w:p>
    <w:p>
      <w:pPr>
        <w:spacing w:after="140" w:before="0" w:line="288"/>
        <w:jc w:val="both"/>
      </w:pPr>
      <w:r>
        <w:rPr>
          <w:sz w:val="22"/>
          <w:szCs w:val="22"/>
        </w:rPr>
        <w:t xml:space="preserve">Los Conceptos Estratégicos de 2010 y 2022 formalizaron el cambio. El de Madrid (2022) define a Rusia como «la amenaza más significativa y directa», a China como un desafío sistémico y fija tres tareas centrales: disuasión y defensa, prevención y gestión de crisis, y seguridad cooperativa. La cumbre de La Haya (junio de 2025) acordó invertir 5% del PIB en 2035: 3.5% en defensa básica y 1.5% en infraestructura crítica, redes, preparación civil, resiliencia, innovación y base industrial.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80"/>
        <w:gridCol w:w="2580"/>
      </w:tblGrid>
      <w:tr>
        <w:trPr>
          <w:cantSplit/>
          <w:tblHeader/>
        </w:trPr>
        <w:tc>
          <w:tcPr>
            <w:tcW w:type="dxa" w:w="19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Dominio / área</w:t>
            </w:r>
          </w:p>
        </w:tc>
        <w:tc>
          <w:tcPr>
            <w:tcW w:type="dxa" w:w="23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Amenaza o desafío</w:t>
            </w:r>
          </w:p>
        </w:tc>
        <w:tc>
          <w:tcPr>
            <w:tcW w:type="dxa" w:w="258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Diferencia respecto de las amenazas tradicionales</w:t>
            </w:r>
          </w:p>
        </w:tc>
        <w:tc>
          <w:tcPr>
            <w:tcW w:type="dxa" w:w="258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Respuesta que exige de la Alianza</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Defensa colectiva convencional y nuclear</w:t>
            </w:r>
            <w:r>
              <w:rPr>
                <w:sz w:val="16"/>
                <w:szCs w:val="16"/>
              </w:rPr>
              <w:t xml:space="preserve"> (tierra, mar, aire)</w:t>
            </w:r>
          </w:p>
        </w:tc>
        <w:tc>
          <w:tcPr>
            <w:tcW w:type="dxa" w:w="23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Rusia: anexión de Crimea (2014), invasión de Ucrania (2022), coerción nuclear</w:t>
            </w:r>
          </w:p>
        </w:tc>
        <w:tc>
          <w:tcPr>
            <w:tcW w:type="dxa" w:w="25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Es la amenaza clásica, pero regresa combinada con instrumentos híbridos y con una guerra de desgaste industrial</w:t>
            </w:r>
          </w:p>
        </w:tc>
        <w:tc>
          <w:tcPr>
            <w:tcW w:type="dxa" w:w="25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Presencia avanzada en el flanco este; adhesión de Finlandia (2023) y Suecia (2024); meta de 3.5% del PIB en defensa básica</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Ciberespacio</w:t>
            </w:r>
            <w:r>
              <w:rPr>
                <w:sz w:val="16"/>
                <w:szCs w:val="16"/>
              </w:rPr>
              <w:t xml:space="preserve"> (dominio operacional desde Varsovia, 2016)</w:t>
            </w:r>
          </w:p>
        </w:tc>
        <w:tc>
          <w:tcPr>
            <w:tcW w:type="dxa" w:w="23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Ataques a redes, infraestructuras y procesos electorales (Estonia 2007; NotPetya 2017)</w:t>
            </w:r>
          </w:p>
        </w:tc>
        <w:tc>
          <w:tcPr>
            <w:tcW w:type="dxa" w:w="25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No cruza fronteras físicas; atribución difícil; mezcla Estados, intermediarios y criminales; opera por debajo del umbral de «ataque armado»</w:t>
            </w:r>
          </w:p>
        </w:tc>
        <w:tc>
          <w:tcPr>
            <w:tcW w:type="dxa" w:w="25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Compromiso de Ciberdefensa (2016); Centro de Excelencia de Tallin (2008); ciberataques significativos o acumulados pueden activar el art. 5 (Bruselas, 2021)</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Espacio</w:t>
            </w:r>
            <w:r>
              <w:rPr>
                <w:sz w:val="16"/>
                <w:szCs w:val="16"/>
              </w:rPr>
              <w:t xml:space="preserve"> (dominio operacional desde 2019)</w:t>
            </w:r>
          </w:p>
        </w:tc>
        <w:tc>
          <w:tcPr>
            <w:tcW w:type="dxa" w:w="23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Armas antisatélite (prueba rusa de 2021); interferencia de navegación y comunicaciones</w:t>
            </w:r>
          </w:p>
        </w:tc>
        <w:tc>
          <w:tcPr>
            <w:tcW w:type="dxa" w:w="25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Infraestructura de uso dual, global y en buena parte privada; no hay frente territorial</w:t>
            </w:r>
          </w:p>
        </w:tc>
        <w:tc>
          <w:tcPr>
            <w:tcW w:type="dxa" w:w="25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Política espacial (2019); Centro Espacial de la OTAN en Ramstein (2020); art. 5 aplicable a ataques hacia, desde o en el espacio (2021)</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Amenazas híbridas e infraestructura crítica</w:t>
            </w:r>
          </w:p>
        </w:tc>
        <w:tc>
          <w:tcPr>
            <w:tcW w:type="dxa" w:w="23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Desinformación, injerencia electoral, sabotaje de cables y gasoductos (Nord Stream 2022; Báltico 2023‑2025), uso de migrantes como arma</w:t>
            </w:r>
          </w:p>
        </w:tc>
        <w:tc>
          <w:tcPr>
            <w:tcW w:type="dxa" w:w="25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Ambigüedad deliberada («zona gris»): combina medios civiles y militares para erosionar la cohesión social sin declarar la guerra</w:t>
            </w:r>
          </w:p>
        </w:tc>
        <w:tc>
          <w:tcPr>
            <w:tcW w:type="dxa" w:w="25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Estrategia contra la guerra híbrida (2015); Centro Europeo de Excelencia en Helsinki con la UE (2017); misión Baltic Sentry (2025); resiliencia civil (art. 3)</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Terrorismo internacional</w:t>
            </w:r>
          </w:p>
        </w:tc>
        <w:tc>
          <w:tcPr>
            <w:tcW w:type="dxa" w:w="23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Al Qaeda, Daesh y otros actores no estatales transnacionales</w:t>
            </w:r>
          </w:p>
        </w:tc>
        <w:tc>
          <w:tcPr>
            <w:tcW w:type="dxa" w:w="25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El enemigo no es un Estado ni tiene territorio fijo; el art. 5 se invocó por única vez tras el 11‑S</w:t>
            </w:r>
          </w:p>
        </w:tc>
        <w:tc>
          <w:tcPr>
            <w:tcW w:type="dxa" w:w="25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Operaciones fuera de área (ISAF 2003‑2014, Resolute Support); entrenamiento de fuerzas locales; cooperación de inteligencia</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Cambio climático y seguridad</w:t>
            </w:r>
          </w:p>
        </w:tc>
        <w:tc>
          <w:tcPr>
            <w:tcW w:type="dxa" w:w="23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Eventos extremos, deshielo del Ártico, presión sobre recursos y migraciones</w:t>
            </w:r>
          </w:p>
        </w:tc>
        <w:tc>
          <w:tcPr>
            <w:tcW w:type="dxa" w:w="25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Amenaza sin enemigo ni intención; difusa, de largo plazo y multiplicadora de otras amenazas</w:t>
            </w:r>
          </w:p>
        </w:tc>
        <w:tc>
          <w:tcPr>
            <w:tcW w:type="dxa" w:w="25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Plan de Acción sobre Cambio Climático y Seguridad (2021); Centro de Excelencia en Montreal; adaptación de instalaciones y reducción de emisiones militares</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Tecnologías emergentes, base industrial y minerales críticos</w:t>
            </w:r>
          </w:p>
        </w:tc>
        <w:tc>
          <w:tcPr>
            <w:tcW w:type="dxa" w:w="23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IA, cuántica, hipersónicos, drones; dependencia de cadenas controladas por un rival (China, refinador dominante en 19 de 20 minerales estratégicos)</w:t>
            </w:r>
          </w:p>
        </w:tc>
        <w:tc>
          <w:tcPr>
            <w:tcW w:type="dxa" w:w="25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La competencia se libra en tiempo de paz, en laboratorios y fábricas, con actores privados</w:t>
            </w:r>
          </w:p>
        </w:tc>
        <w:tc>
          <w:tcPr>
            <w:tcW w:type="dxa" w:w="258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Aceleradora DIANA y Fondo de Innovación; estrategia de IA (2021); 1.5% del PIB para innovación y base industrial (La Haya, 2025)</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Competencia sistémica con China</w:t>
            </w:r>
          </w:p>
        </w:tc>
        <w:tc>
          <w:tcPr>
            <w:tcW w:type="dxa" w:w="23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Coerción económica, control de infraestructura y tecnología, cooperación con Rusia</w:t>
            </w:r>
          </w:p>
        </w:tc>
        <w:tc>
          <w:tcPr>
            <w:tcW w:type="dxa" w:w="25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No es una amenaza militar directa al territorio aliado, sino un desafío a reglas, cadenas de suministro y tecnología</w:t>
            </w:r>
          </w:p>
        </w:tc>
        <w:tc>
          <w:tcPr>
            <w:tcW w:type="dxa" w:w="258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Asociación con Australia, Japón, Corea del Sur y Nueva Zelanda; control de inversiones; resiliencia de cadenas de suministro</w:t>
            </w:r>
          </w:p>
        </w:tc>
      </w:tr>
    </w:tbl>
    <w:p>
      <w:pPr>
        <w:spacing w:after="120"/>
      </w:pPr>
    </w:p>
    <w:p>
      <w:pPr>
        <w:pStyle w:val="Heading2"/>
        <w:keepNext/>
      </w:pPr>
      <w:r>
        <w:t xml:space="preserve">Dominio seleccionado: el ciberespacio</w:t>
      </w:r>
    </w:p>
    <w:p>
      <w:pPr>
        <w:spacing w:after="140" w:before="0" w:line="288"/>
        <w:jc w:val="both"/>
      </w:pPr>
      <w:r>
        <w:rPr>
          <w:sz w:val="22"/>
          <w:szCs w:val="22"/>
        </w:rPr>
        <w:t xml:space="preserve">Elegí el ciberespacio porque es el dominio en el que la distinción entre seguridad militar y no militar se sostiene menos, por cuatro razones encadenadas:</w:t>
      </w:r>
    </w:p>
    <w:p>
      <w:pPr>
        <w:pStyle w:val="ListParagraph"/>
        <w:numPr>
          <w:ilvl w:val="0"/>
          <w:numId w:val="2"/>
        </w:numPr>
        <w:spacing w:after="80" w:line="276"/>
        <w:jc w:val="both"/>
      </w:pPr>
      <w:r>
        <w:rPr>
          <w:b/>
          <w:bCs/>
          <w:sz w:val="22"/>
          <w:szCs w:val="22"/>
        </w:rPr>
        <w:t xml:space="preserve">Los blancos son civiles.</w:t>
      </w:r>
      <w:r>
        <w:rPr>
          <w:sz w:val="22"/>
          <w:szCs w:val="22"/>
        </w:rPr>
        <w:t xml:space="preserve"> Hospitales, bancos, redes eléctricas y sistemas electorales son infraestructura civil, en su mayoría privada, pero su paralización puede tener efectos comparables a los de un ataque armado. Cuando Estonia sufrió en 2007 ataques masivos contra su gobierno, sus bancos y sus medios tras retirar un monumento soviético, ningún soldado cruzó la frontera, pero el Estado quedó afectado.</w:t>
      </w:r>
    </w:p>
    <w:p>
      <w:pPr>
        <w:pStyle w:val="ListParagraph"/>
        <w:numPr>
          <w:ilvl w:val="0"/>
          <w:numId w:val="2"/>
        </w:numPr>
        <w:spacing w:after="80" w:line="276"/>
        <w:jc w:val="both"/>
      </w:pPr>
      <w:r>
        <w:rPr>
          <w:b/>
          <w:bCs/>
          <w:sz w:val="22"/>
          <w:szCs w:val="22"/>
        </w:rPr>
        <w:t xml:space="preserve">Los atacantes son ambiguos.</w:t>
      </w:r>
      <w:r>
        <w:rPr>
          <w:sz w:val="22"/>
          <w:szCs w:val="22"/>
        </w:rPr>
        <w:t xml:space="preserve"> Pueden ser servicios de inteligencia, grupos intermediarios o criminales: el ataque de </w:t>
      </w:r>
      <w:r>
        <w:rPr>
          <w:i/>
          <w:iCs/>
          <w:sz w:val="22"/>
          <w:szCs w:val="22"/>
        </w:rPr>
        <w:t xml:space="preserve">ransomware</w:t>
      </w:r>
      <w:r>
        <w:rPr>
          <w:sz w:val="22"/>
          <w:szCs w:val="22"/>
        </w:rPr>
        <w:t xml:space="preserve"> contra Colonial Pipeline (2021), obra de un grupo criminal, obligó a cerrar el mayor oleoducto de combustibles de EE. UU. La atribución, clave para decidir si hubo un «ataque», es técnica, lenta y política.</w:t>
      </w:r>
    </w:p>
    <w:p>
      <w:pPr>
        <w:pStyle w:val="ListParagraph"/>
        <w:numPr>
          <w:ilvl w:val="0"/>
          <w:numId w:val="2"/>
        </w:numPr>
        <w:spacing w:after="80" w:line="276"/>
        <w:jc w:val="both"/>
      </w:pPr>
      <w:r>
        <w:rPr>
          <w:b/>
          <w:bCs/>
          <w:sz w:val="22"/>
          <w:szCs w:val="22"/>
        </w:rPr>
        <w:t xml:space="preserve">La Alianza redefinió su «casus foederis».</w:t>
      </w:r>
      <w:r>
        <w:rPr>
          <w:sz w:val="22"/>
          <w:szCs w:val="22"/>
        </w:rPr>
        <w:t xml:space="preserve"> Al declarar el ciberespacio dominio operacional (2016) y aceptar que actividades maliciosas acumuladas pueden equivaler a un ataque armado (2021), la OTAN admitió que un incidente sin violencia física puede activar la defensa colectiva. En La Haya (2025) contó además la protección de redes e infraestructura como gasto de defensa (el 1.5%).</w:t>
      </w:r>
    </w:p>
    <w:p>
      <w:pPr>
        <w:pStyle w:val="ListParagraph"/>
        <w:numPr>
          <w:ilvl w:val="0"/>
          <w:numId w:val="2"/>
        </w:numPr>
        <w:spacing w:after="80" w:line="276"/>
        <w:jc w:val="both"/>
      </w:pPr>
      <w:r>
        <w:rPr>
          <w:b/>
          <w:bCs/>
          <w:sz w:val="22"/>
          <w:szCs w:val="22"/>
        </w:rPr>
        <w:t xml:space="preserve">La respuesta no puede ser sólo militar.</w:t>
      </w:r>
      <w:r>
        <w:rPr>
          <w:sz w:val="22"/>
          <w:szCs w:val="22"/>
        </w:rPr>
        <w:t xml:space="preserve"> Exige cooperar con equipos civiles de respuesta, empresas tecnológicas, la UE y la propia ciudadanía.</w:t>
      </w:r>
    </w:p>
    <w:p>
      <w:pPr>
        <w:spacing w:after="140" w:before="0" w:line="288"/>
        <w:jc w:val="both"/>
      </w:pPr>
      <w:r>
        <w:rPr>
          <w:sz w:val="22"/>
          <w:szCs w:val="22"/>
        </w:rPr>
        <w:t xml:space="preserve">Desde Buzan, el ciberespacio atraviesa los sectores militar, político (elecciones), económico (finanzas) y societal (información). También muestra la </w:t>
      </w:r>
      <w:r>
        <w:rPr>
          <w:b/>
          <w:bCs/>
          <w:sz w:val="22"/>
          <w:szCs w:val="22"/>
        </w:rPr>
        <w:t xml:space="preserve">securitización</w:t>
      </w:r>
      <w:r>
        <w:rPr>
          <w:sz w:val="22"/>
          <w:szCs w:val="22"/>
        </w:rPr>
        <w:t xml:space="preserve"> en acción: al presentar los ciberataques como una amenaza existencial se justifican medidas extraordinarias. Mi interpretación es que esto confirma la «seguridad ampliada» que describe Gómez García, con una diferencia importante. La OTAN amplía los </w:t>
      </w:r>
      <w:r>
        <w:rPr>
          <w:b/>
          <w:bCs/>
          <w:sz w:val="22"/>
          <w:szCs w:val="22"/>
        </w:rPr>
        <w:t xml:space="preserve">sectores</w:t>
      </w:r>
      <w:r>
        <w:rPr>
          <w:sz w:val="22"/>
          <w:szCs w:val="22"/>
        </w:rPr>
        <w:t xml:space="preserve"> sin cambiar el </w:t>
      </w:r>
      <w:r>
        <w:rPr>
          <w:b/>
          <w:bCs/>
          <w:sz w:val="22"/>
          <w:szCs w:val="22"/>
        </w:rPr>
        <w:t xml:space="preserve">objeto referente</w:t>
      </w:r>
      <w:r>
        <w:rPr>
          <w:sz w:val="22"/>
          <w:szCs w:val="22"/>
        </w:rPr>
        <w:t xml:space="preserve">, que sigue siendo el Estado y la Alianza, no la persona. Es una ampliación de la seguridad, no necesariamente su humanización.</w:t>
      </w:r>
    </w:p>
    <w:p>
      <w:pPr>
        <w:pStyle w:val="Heading1"/>
        <w:keepNext/>
      </w:pPr>
      <w:r>
        <w:t xml:space="preserve">5. Conflicto y cooperación según Inmaculada Marrero Rocha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Explica los principales postulados de Inmaculada Marrero sobre la relación entre conflicto y cooperación y aplícalos a uno de los casos estudiados durante el curso (postulado teórico; características del caso; aplicación del concepto; conclusión).</w:t>
            </w:r>
          </w:p>
        </w:tc>
      </w:tr>
    </w:tbl>
    <w:p>
      <w:pPr>
        <w:spacing w:after="140"/>
      </w:pPr>
    </w:p>
    <w:p>
      <w:pPr>
        <w:pStyle w:val="Heading2"/>
        <w:keepNext/>
      </w:pPr>
      <w:r>
        <w:t xml:space="preserve">Postulados teóricos</w:t>
      </w:r>
    </w:p>
    <w:p>
      <w:pPr>
        <w:pStyle w:val="ListParagraph"/>
        <w:numPr>
          <w:ilvl w:val="0"/>
          <w:numId w:val="2"/>
        </w:numPr>
        <w:spacing w:after="80" w:line="276"/>
        <w:jc w:val="both"/>
      </w:pPr>
      <w:r>
        <w:rPr>
          <w:b/>
          <w:bCs/>
          <w:sz w:val="22"/>
          <w:szCs w:val="22"/>
        </w:rPr>
        <w:t xml:space="preserve">P1. Coexistencia.</w:t>
      </w:r>
      <w:r>
        <w:rPr>
          <w:sz w:val="22"/>
          <w:szCs w:val="22"/>
        </w:rPr>
        <w:t xml:space="preserve"> La política internacional ha estado marcada históricamente por dos dinámicas, el conflicto y la cooperación, que no son etapas sucesivas sino procesos simultáneos del mismo sistema. Las Relaciones Internacionales se centraron mucho tiempo en la guerra; desde la segunda mitad del siglo XX estudian también los mecanismos de la cooperación.</w:t>
      </w:r>
    </w:p>
    <w:p>
      <w:pPr>
        <w:pStyle w:val="ListParagraph"/>
        <w:numPr>
          <w:ilvl w:val="0"/>
          <w:numId w:val="2"/>
        </w:numPr>
        <w:spacing w:after="80" w:line="276"/>
        <w:jc w:val="both"/>
      </w:pPr>
      <w:r>
        <w:rPr>
          <w:b/>
          <w:bCs/>
          <w:sz w:val="22"/>
          <w:szCs w:val="22"/>
        </w:rPr>
        <w:t xml:space="preserve">P2. El conflicto como rasgo estructural (visión realista).</w:t>
      </w:r>
      <w:r>
        <w:rPr>
          <w:sz w:val="22"/>
          <w:szCs w:val="22"/>
        </w:rPr>
        <w:t xml:space="preserve"> Sin una autoridad central (anarquía), los Estados deben garantizar su propia seguridad, lo que genera competencia por poder, influencia y recursos. Desde esta visión, la cooperación es limitada y frágil.</w:t>
      </w:r>
    </w:p>
    <w:p>
      <w:pPr>
        <w:pStyle w:val="ListParagraph"/>
        <w:numPr>
          <w:ilvl w:val="0"/>
          <w:numId w:val="2"/>
        </w:numPr>
        <w:spacing w:after="80" w:line="276"/>
        <w:jc w:val="both"/>
      </w:pPr>
      <w:r>
        <w:rPr>
          <w:b/>
          <w:bCs/>
          <w:sz w:val="22"/>
          <w:szCs w:val="22"/>
        </w:rPr>
        <w:t xml:space="preserve">P3. La interdependencia como motor ambivalente.</w:t>
      </w:r>
      <w:r>
        <w:rPr>
          <w:sz w:val="22"/>
          <w:szCs w:val="22"/>
        </w:rPr>
        <w:t xml:space="preserve"> Desde los años setenta, la interdependencia económica, la expansión de los organismos internacionales y los problemas globales que requieren acción colectiva impulsan la cooperación. Pero la interdependencia «crea incentivos para la cooperación, pero también nuevas formas de competencia».</w:t>
      </w:r>
    </w:p>
    <w:p>
      <w:pPr>
        <w:pStyle w:val="ListParagraph"/>
        <w:numPr>
          <w:ilvl w:val="0"/>
          <w:numId w:val="2"/>
        </w:numPr>
        <w:spacing w:after="80" w:line="276"/>
        <w:jc w:val="both"/>
      </w:pPr>
      <w:r>
        <w:rPr>
          <w:b/>
          <w:bCs/>
          <w:sz w:val="22"/>
          <w:szCs w:val="22"/>
        </w:rPr>
        <w:t xml:space="preserve">P4. Definición y condiciones de la cooperación.</w:t>
      </w:r>
      <w:r>
        <w:rPr>
          <w:sz w:val="22"/>
          <w:szCs w:val="22"/>
        </w:rPr>
        <w:t xml:space="preserve"> Es el proceso por el cual dos o más actores coordinan políticas y acciones para obtener beneficios mutuos o resolver problemas comunes. Requiere intereses compartidos, confianza y mecanismos para monitorear los acuerdos.</w:t>
      </w:r>
    </w:p>
    <w:p>
      <w:pPr>
        <w:pStyle w:val="ListParagraph"/>
        <w:numPr>
          <w:ilvl w:val="0"/>
          <w:numId w:val="2"/>
        </w:numPr>
        <w:spacing w:after="80" w:line="276"/>
        <w:jc w:val="both"/>
      </w:pPr>
      <w:r>
        <w:rPr>
          <w:b/>
          <w:bCs/>
          <w:sz w:val="22"/>
          <w:szCs w:val="22"/>
        </w:rPr>
        <w:t xml:space="preserve">P5. Las instituciones facilitan la cooperación, pero no la garantizan.</w:t>
      </w:r>
      <w:r>
        <w:rPr>
          <w:sz w:val="22"/>
          <w:szCs w:val="22"/>
        </w:rPr>
        <w:t xml:space="preserve"> Proveen información, establecen reglas, reducen la incertidumbre y ayudan a resolver disputas; así aumentan la probabilidad de una cooperación sostenida.</w:t>
      </w:r>
    </w:p>
    <w:p>
      <w:pPr>
        <w:pStyle w:val="ListParagraph"/>
        <w:numPr>
          <w:ilvl w:val="0"/>
          <w:numId w:val="2"/>
        </w:numPr>
        <w:spacing w:after="80" w:line="276"/>
        <w:jc w:val="both"/>
      </w:pPr>
      <w:r>
        <w:rPr>
          <w:b/>
          <w:bCs/>
          <w:sz w:val="22"/>
          <w:szCs w:val="22"/>
        </w:rPr>
        <w:t xml:space="preserve">P6. Persistencia del conflicto: continuidad y cambio.</w:t>
      </w:r>
      <w:r>
        <w:rPr>
          <w:sz w:val="22"/>
          <w:szCs w:val="22"/>
        </w:rPr>
        <w:t xml:space="preserve"> La cooperación no elimina el conflicto: los intereses divergentes persisten incluso dentro de las instituciones. Continúan la competencia entre Estados y la centralidad de la seguridad, pero surgen nuevos actores y agendas (clima, comercio, salud global).</w:t>
      </w:r>
    </w:p>
    <w:p>
      <w:pPr>
        <w:spacing w:after="140" w:before="0" w:line="288"/>
        <w:jc w:val="both"/>
      </w:pPr>
      <w:r>
        <w:rPr>
          <w:sz w:val="22"/>
          <w:szCs w:val="22"/>
        </w:rPr>
        <w:t xml:space="preserve">Esta lectura coincide con la idea clásica de Keohane (1984): la cooperación no es armonía, sino un ajuste mutuo de políticas que parte, precisamente, de intereses en conflicto.</w:t>
      </w:r>
    </w:p>
    <w:p>
      <w:pPr>
        <w:pStyle w:val="Heading2"/>
        <w:keepNext/>
      </w:pPr>
      <w:r>
        <w:t xml:space="preserve">Características del caso: la geopolítica de los minerales críticos</w:t>
      </w:r>
    </w:p>
    <w:p>
      <w:pPr>
        <w:spacing w:after="140" w:before="0" w:line="288"/>
        <w:jc w:val="both"/>
      </w:pPr>
      <w:r>
        <w:rPr>
          <w:sz w:val="22"/>
          <w:szCs w:val="22"/>
        </w:rPr>
        <w:t xml:space="preserve">Los minerales críticos (litio, cobre, níquel, cobalto, grafito, tierras raras, galio, germanio, antimonio y tungsteno) son indispensables para baterías, redes eléctricas, chips y defensa. Su «criticidad» combina importancia estratégica y riesgo de suministro. Ese riesgo proviene de la concentración: China es el refinador dominante en 19 de 20 minerales estratégicos, refina 91% de las tierras raras magnéticas y produce 94% de los imanes permanentes sinterizados (IEA, 2025‑2026). Además, la geología no equivale a poder: la mina puede estar en América Latina o en África, pero el «cuello de botella» está aguas abajo, en la refinación y la manufactura.</w:t>
      </w:r>
    </w:p>
    <w:p>
      <w:pPr>
        <w:pStyle w:val="Heading2"/>
        <w:keepNext/>
      </w:pPr>
      <w:r>
        <w:t xml:space="preserve">Aplicación del concepto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Postulado teórico</w:t>
            </w:r>
          </w:p>
        </w:tc>
        <w:tc>
          <w:tcPr>
            <w:tcW w:type="dxa" w:w="373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Características del caso</w:t>
            </w:r>
          </w:p>
        </w:tc>
        <w:tc>
          <w:tcPr>
            <w:tcW w:type="dxa" w:w="373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Aplicación del concepto</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P1. Coexistencia</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Hay alianzas (MSP Forum, 16 asociaciones estratégicas de la UE, plan EE. UU.‑Japón 2026, marco de seis BMD) y, al mismo tiempo, controles de exportación (China triplicó desde 2023 los códigos minerales controlados; la RDC impuso cuotas al cobalto)</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No es «cooperación o confrontación»: ambas operan simultáneamente. La misma medida puede ser cooperativa para unos y excluyente para otros.</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7"/>
                <w:szCs w:val="17"/>
              </w:rPr>
              <w:t xml:space="preserve">P2. Conflicto estructural</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Los minerales dejaron de ser </w:t>
            </w:r>
            <w:r>
              <w:rPr>
                <w:i/>
                <w:iCs/>
                <w:sz w:val="17"/>
                <w:szCs w:val="17"/>
              </w:rPr>
              <w:t xml:space="preserve">commodities</w:t>
            </w:r>
            <w:r>
              <w:rPr>
                <w:sz w:val="17"/>
                <w:szCs w:val="17"/>
              </w:rPr>
              <w:t xml:space="preserve"> para convertirse en activos de seguridad económica, energética, digital y militar</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La anarquía explica por qué cada potencia busca reducir su vulnerabilidad y privilegia la autonomía y las ganancias relativas, como predice el realismo.</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P3. Interdependencia ambivalente</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Ningún país controla toda la cadena: extracción → procesamiento → refinación → componentes → manufactura → reciclaje</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La interdependencia obliga a cooperar, pero también se vuelve arma: los controles chinos muestran que la dependencia puede usarse como palanca. La respuesta occidental (</w:t>
            </w:r>
            <w:r>
              <w:rPr>
                <w:i/>
                <w:iCs/>
                <w:sz w:val="17"/>
                <w:szCs w:val="17"/>
              </w:rPr>
              <w:t xml:space="preserve">friend‑shoring</w:t>
            </w:r>
            <w:r>
              <w:rPr>
                <w:sz w:val="17"/>
                <w:szCs w:val="17"/>
              </w:rPr>
              <w:t xml:space="preserve">) es cooperar para competir.</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7"/>
                <w:szCs w:val="17"/>
              </w:rPr>
              <w:t xml:space="preserve">P4. Condiciones de la cooperación</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Intereses compartidos (resiliencia del suministro) entre consumidores; confianza limitada a «socios confiables»; monitoreo mediante trazabilidad, ESG y contratos de compra (</w:t>
            </w:r>
            <w:r>
              <w:rPr>
                <w:i/>
                <w:iCs/>
                <w:sz w:val="17"/>
                <w:szCs w:val="17"/>
              </w:rPr>
              <w:t xml:space="preserve">offtake</w:t>
            </w:r>
            <w:r>
              <w:rPr>
                <w:sz w:val="17"/>
                <w:szCs w:val="17"/>
              </w:rPr>
              <w:t xml:space="preserve">)</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Como la confianza no es universal, la cooperación se organiza en clubes (cooperación de bloque). Donde falta confianza, como con China, la coordinación se sustituye por diversificación.</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P5. Instituciones</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El MSP Forum pasó de club de consumidores a foro con productores (Argentina, México, Perú, Namibia, RDC, Zambia); los BMD coordinan financiamiento y diagnósticos</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Las instituciones reducen la incertidumbre y abren la negociación, pero también distribuyen poder: ¿quién define qué es «responsable»? Incluir a los productores «no garantiza simetría».</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7"/>
                <w:szCs w:val="17"/>
              </w:rPr>
              <w:t xml:space="preserve">P6. Persistencia del conflicto</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Los productores exigen valor agregado, tecnología, empleo y rentas («no exportar sólo roca»); México debe decidir qué pedir a cambio de integrarse a cadenas «seguras»</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Dentro de la cooperación persiste un conflicto distributivo sobre quién captura el valor: la cooperación se vuelve el espacio donde ese conflicto se negocia.</w:t>
            </w:r>
          </w:p>
        </w:tc>
      </w:tr>
    </w:tbl>
    <w:p>
      <w:pPr>
        <w:spacing w:after="120"/>
      </w:pPr>
    </w:p>
    <w:p>
      <w:pPr>
        <w:pStyle w:val="Heading2"/>
        <w:keepNext/>
      </w:pPr>
      <w:r>
        <w:t xml:space="preserve">Conclusión</w:t>
      </w:r>
    </w:p>
    <w:p>
      <w:pPr>
        <w:spacing w:after="140" w:before="0" w:line="288"/>
        <w:jc w:val="both"/>
      </w:pPr>
      <w:r>
        <w:rPr>
          <w:sz w:val="22"/>
          <w:szCs w:val="22"/>
        </w:rPr>
        <w:t xml:space="preserve">El planteamiento de Marrero explica este caso mejor que las lecturas puras. El realismo predeciría la ausencia de cooperación y el institucionalismo liberal una armonía creciente; lo que se observa es </w:t>
      </w:r>
      <w:r>
        <w:rPr>
          <w:b/>
          <w:bCs/>
          <w:sz w:val="22"/>
          <w:szCs w:val="22"/>
        </w:rPr>
        <w:t xml:space="preserve">cooperación competitiva</w:t>
      </w:r>
      <w:r>
        <w:rPr>
          <w:sz w:val="22"/>
          <w:szCs w:val="22"/>
        </w:rPr>
        <w:t xml:space="preserve">. En los minerales críticos la cooperación no sustituye al conflicto, sino que lo canaliza: como se planteó en clase, cooperar significa «gobernar interdependencias, distribuir riesgos y negociar quién captura el valor».</w:t>
      </w:r>
    </w:p>
    <w:p>
      <w:pPr>
        <w:spacing w:after="140" w:before="0" w:line="288"/>
        <w:jc w:val="both"/>
      </w:pPr>
      <w:r>
        <w:rPr>
          <w:sz w:val="22"/>
          <w:szCs w:val="22"/>
        </w:rPr>
        <w:t xml:space="preserve">Para un país como México, el criterio para evaluar esa cooperación no debería ser sólo el acceso a mercados, sino cuánto transforma su estructura productiva: refinación, tecnología y proveedores nacionales. Esto conecta con la crítica latinoamericana al desarrollo estudiada en el curso (CEPAL: crecer no basta).</w:t>
      </w:r>
    </w:p>
    <w:p>
      <w:pPr>
        <w:pStyle w:val="Heading1"/>
        <w:keepNext/>
      </w:pPr>
      <w:r>
        <w:t xml:space="preserve">6. Mapa mental: la arquitectura institucional internacional de posguerra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Elabora a mano un mapa mental de la estructura institucional internacional surgida después de la Segunda Guerra Mundial. Para cada institución incluye: organismo, año de creación, problema que buscaba atender, función principal y relación con la paz y/o la seguridad. Identifica el principal cambio institucional respecto del periodo de entreguerras (máximo cinco líneas).</w:t>
            </w:r>
          </w:p>
        </w:tc>
      </w:tr>
    </w:tbl>
    <w:p>
      <w:pPr>
        <w:spacing w:after="140"/>
      </w:pPr>
    </w:p>
    <w:p>
      <w:pPr>
        <w:spacing w:after="140" w:before="0" w:line="288"/>
        <w:jc w:val="both"/>
      </w:pPr>
      <w:r>
        <w:rPr>
          <w:sz w:val="22"/>
          <w:szCs w:val="22"/>
        </w:rPr>
        <w:t xml:space="preserve">El mapa se organiza alrededor de una idea vista en clase: después de 1945 </w:t>
      </w:r>
      <w:r>
        <w:rPr>
          <w:b/>
          <w:bCs/>
          <w:sz w:val="22"/>
          <w:szCs w:val="22"/>
        </w:rPr>
        <w:t xml:space="preserve">no nació una sola organización, sino una arquitectura</w:t>
      </w:r>
      <w:r>
        <w:rPr>
          <w:sz w:val="22"/>
          <w:szCs w:val="22"/>
        </w:rPr>
        <w:t xml:space="preserve"> que distribuye funciones (seguridad, finanzas, comercio, desarrollo y estándares) y también distribuye poder. Las flechas muestran que las instituciones se crearon unas en respuesta a otras: el veto paralizó al Consejo de Seguridad y eso llevó a la OTAN; el Plan Marshall dio origen a la OECE y provocó, como respuesta soviética, el CAME.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8A1B" w:sz="8"/>
              <w:left w:val="single" w:color="C98A1B" w:sz="8"/>
              <w:bottom w:val="single" w:color="C98A1B" w:sz="8"/>
              <w:right w:val="single" w:color="C98A1B" w:sz="8"/>
            </w:tcBorders>
            <w:shd w:fill="FFF7E6" w:color="auto" w:val="clear"/>
            <w:tcMar>
              <w:top w:type="dxa" w:w="120"/>
              <w:left w:type="dxa" w:w="180"/>
              <w:bottom w:type="dxa" w:w="120"/>
              <w:right w:type="dxa" w:w="180"/>
            </w:tcMar>
          </w:tcPr>
          <w:p>
            <w:pPr>
              <w:spacing w:after="80"/>
            </w:pPr>
            <w:r>
              <w:rPr>
                <w:b/>
                <w:bCs/>
                <w:color w:val="7A4A06"/>
                <w:sz w:val="22"/>
                <w:szCs w:val="22"/>
              </w:rPr>
              <w:t xml:space="preserve">Guía para pasarlo a mano (borra este recuadro antes de entregar)</w:t>
            </w:r>
          </w:p>
          <w:p>
            <w:pPr>
              <w:pStyle w:val="ListParagraph"/>
              <w:numPr>
                <w:ilvl w:val="0"/>
                <w:numId w:val="2"/>
              </w:numPr>
              <w:spacing w:after="50" w:line="264"/>
            </w:pPr>
            <w:r>
              <w:rPr>
                <w:sz w:val="20"/>
                <w:szCs w:val="20"/>
              </w:rPr>
              <w:t xml:space="preserve">Usa una hoja horizontal y coloca el nodo central («Orden internacional de posguerra 1944‑1961») con doble contorno.</w:t>
            </w:r>
          </w:p>
          <w:p>
            <w:pPr>
              <w:pStyle w:val="ListParagraph"/>
              <w:numPr>
                <w:ilvl w:val="0"/>
                <w:numId w:val="2"/>
              </w:numPr>
              <w:spacing w:after="50" w:line="264"/>
            </w:pPr>
            <w:r>
              <w:rPr>
                <w:sz w:val="20"/>
                <w:szCs w:val="20"/>
              </w:rPr>
              <w:t xml:space="preserve">Usa cuatro colores de rama: rojo = seguridad (izquierda), azul = economía y reconstrucción (derecha), verde = sistema ONU (arriba) y naranja = desarrollo (abajo); gris punteado para los contrapesos soviéticos (Pacto de Varsovia, CAME).</w:t>
            </w:r>
          </w:p>
          <w:p>
            <w:pPr>
              <w:pStyle w:val="ListParagraph"/>
              <w:numPr>
                <w:ilvl w:val="0"/>
                <w:numId w:val="2"/>
              </w:numPr>
              <w:spacing w:after="50" w:line="264"/>
            </w:pPr>
            <w:r>
              <w:rPr>
                <w:sz w:val="20"/>
                <w:szCs w:val="20"/>
              </w:rPr>
              <w:t xml:space="preserve">En cada organismo escribe al menos: nombre · año · problema · función · relación con la paz (toma el texto de la tabla de la página siguiente, abreviado).</w:t>
            </w:r>
          </w:p>
          <w:p>
            <w:pPr>
              <w:pStyle w:val="ListParagraph"/>
              <w:numPr>
                <w:ilvl w:val="0"/>
                <w:numId w:val="2"/>
              </w:numPr>
              <w:spacing w:after="50" w:line="264"/>
            </w:pPr>
            <w:r>
              <w:rPr>
                <w:sz w:val="20"/>
                <w:szCs w:val="20"/>
              </w:rPr>
              <w:t xml:space="preserve">Escribe palabras clave sobre las flechas: «veto paraliza → art. 51», «administra la ayuda», «rechazo soviético», «gemelos de Bretton Woods», «coordina», «libertad del miedo / de la necesidad».</w:t>
            </w:r>
          </w:p>
          <w:p>
            <w:pPr>
              <w:pStyle w:val="ListParagraph"/>
              <w:numPr>
                <w:ilvl w:val="0"/>
                <w:numId w:val="2"/>
              </w:numPr>
              <w:spacing w:after="50" w:line="264"/>
            </w:pPr>
            <w:r>
              <w:rPr>
                <w:sz w:val="20"/>
                <w:szCs w:val="20"/>
              </w:rPr>
              <w:t xml:space="preserve">Al pie del mapa, en un recuadro, copia el cambio institucional (máximo cinco líneas).</w:t>
            </w:r>
          </w:p>
        </w:tc>
      </w:tr>
    </w:tbl>
    <w:p>
      <w:pPr>
        <w:spacing w:after="140"/>
      </w:pPr>
    </w:p>
    <w:p>
      <w:pPr>
        <w:sectPr>
          <w:footerReference w:type="default" r:id="rId7"/>
          <w:footerReference w:type="first" r:id="rId8"/>
          <w:pgSz w:w="12240" w:h="15840" w:orient="portrait"/>
          <w:pgMar w:top="1440" w:right="1440" w:bottom="1440" w:left="1440" w:header="708" w:footer="708" w:gutter="0"/>
          <w:pgNumType/>
          <w:titlePg/>
          <w:docGrid w:linePitch="360"/>
        </w:sectPr>
      </w:pPr>
    </w:p>
    <w:p>
      <w:pPr>
        <w:keepNext/>
        <w:spacing w:after="60"/>
        <w:jc w:val="center"/>
      </w:pPr>
      <w:r>
        <w:drawing>
          <wp:inline distT="0" distB="0" distL="0" distR="0">
            <wp:extent cx="8382000" cy="6010275"/>
            <wp:effectExtent t="0" r="0" b="0" l="0"/>
            <wp:docPr id="1" name="mapa_p6.png" descr="Mapa mental de la arquitectura institucional de posguerra" title="Mapa mental de la arquitectura institucional de posgu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382000" cy="6010275"/>
                    </a:xfrm>
                    <a:prstGeom prst="rect">
                      <a:avLst/>
                    </a:prstGeom>
                  </pic:spPr>
                </pic:pic>
              </a:graphicData>
            </a:graphic>
          </wp:inline>
        </w:drawing>
      </w:r>
    </w:p>
    <w:p>
      <w:pPr>
        <w:spacing w:after="120"/>
        <w:jc w:val="center"/>
      </w:pPr>
      <w:r>
        <w:rPr>
          <w:i/>
          <w:iCs/>
          <w:color w:val="555555"/>
          <w:sz w:val="18"/>
          <w:szCs w:val="18"/>
        </w:rPr>
        <w:t xml:space="preserve">Mapa mental de la arquitectura institucional de posguerra (versión digital de referencia para la versión a mano).</w:t>
      </w:r>
    </w:p>
    <w:p>
      <w:pPr>
        <w:sectPr>
          <w:footerReference w:type="default" r:id="rId9"/>
          <w:footerReference w:type="first" r:id="rId10"/>
          <w:pgSz w:w="15840" w:h="12240" w:orient="landscape"/>
          <w:pgMar w:top="864" w:right="864" w:bottom="864" w:left="864" w:header="708" w:footer="708" w:gutter="0"/>
          <w:pgNumType/>
          <w:titlePg w:val="false"/>
          <w:docGrid w:linePitch="360"/>
        </w:sectPr>
      </w:pPr>
    </w:p>
    <w:p>
      <w:pPr>
        <w:pStyle w:val="Heading2"/>
        <w:keepNext/>
      </w:pPr>
      <w:r>
        <w:t xml:space="preserve">Contenido de cada institución del mapa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950"/>
        <w:gridCol w:w="2100"/>
        <w:gridCol w:w="2160"/>
        <w:gridCol w:w="2100"/>
      </w:tblGrid>
      <w:tr>
        <w:trPr>
          <w:cantSplit/>
          <w:tblHeader/>
        </w:trPr>
        <w:tc>
          <w:tcPr>
            <w:tcW w:type="dxa" w:w="205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Organismo</w:t>
            </w:r>
          </w:p>
        </w:tc>
        <w:tc>
          <w:tcPr>
            <w:tcW w:type="dxa" w:w="95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Año</w:t>
            </w:r>
          </w:p>
        </w:tc>
        <w:tc>
          <w:tcPr>
            <w:tcW w:type="dxa" w:w="21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Problema que buscaba atender</w:t>
            </w:r>
          </w:p>
        </w:tc>
        <w:tc>
          <w:tcPr>
            <w:tcW w:type="dxa" w:w="216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Función principal</w:t>
            </w:r>
          </w:p>
        </w:tc>
        <w:tc>
          <w:tcPr>
            <w:tcW w:type="dxa" w:w="21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Relación con la paz y/o la seguridad</w:t>
            </w:r>
          </w:p>
        </w:tc>
      </w:tr>
      <w:tr>
        <w:trPr>
          <w:cantSplit/>
        </w:trPr>
        <w:tc>
          <w:tcPr>
            <w:tcW w:type="dxa" w:w="20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ONU</w:t>
            </w:r>
            <w:r>
              <w:rPr>
                <w:sz w:val="16"/>
                <w:szCs w:val="16"/>
              </w:rPr>
              <w:t xml:space="preserve"> (Asamblea General, ECOSOC, CIJ, Secretaría)</w:t>
            </w:r>
          </w:p>
        </w:tc>
        <w:tc>
          <w:tcPr>
            <w:tcW w:type="dxa" w:w="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1945</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Fracaso de la Sociedad de Naciones para evitar la guerra</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Foro universal; cooperación económica, social y de derechos humanos; solución pacífica de controversias</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Marco general de la paz; vincula seguridad y bienestar (art. 55)</w:t>
            </w:r>
          </w:p>
        </w:tc>
      </w:tr>
      <w:tr>
        <w:trPr>
          <w:cantSplit/>
        </w:trPr>
        <w:tc>
          <w:tcPr>
            <w:tcW w:type="dxa" w:w="20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Consejo de Seguridad</w:t>
            </w:r>
          </w:p>
        </w:tc>
        <w:tc>
          <w:tcPr>
            <w:tcW w:type="dxa" w:w="9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1945</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Agresiones entre Estados sin respuesta colectiva eficaz</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Decisiones obligatorias (cap. VII); P5 con veto</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Seguridad colectiva; el veto lo paraliza durante la Guerra Fría</w:t>
            </w:r>
          </w:p>
        </w:tc>
      </w:tr>
      <w:tr>
        <w:trPr>
          <w:cantSplit/>
        </w:trPr>
        <w:tc>
          <w:tcPr>
            <w:tcW w:type="dxa" w:w="20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FMI</w:t>
            </w:r>
          </w:p>
        </w:tc>
        <w:tc>
          <w:tcPr>
            <w:tcW w:type="dxa" w:w="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1944</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Devaluaciones competitivas y crisis de balanza de pagos de los años treinta</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Estabilidad monetaria, vigilancia y préstamos de corto plazo; voto por cuotas</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Previene crisis económicas que alimentan conflictos</w:t>
            </w:r>
          </w:p>
        </w:tc>
      </w:tr>
      <w:tr>
        <w:trPr>
          <w:cantSplit/>
        </w:trPr>
        <w:tc>
          <w:tcPr>
            <w:tcW w:type="dxa" w:w="20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BIRF / Banco Mundial</w:t>
            </w:r>
          </w:p>
        </w:tc>
        <w:tc>
          <w:tcPr>
            <w:tcW w:type="dxa" w:w="9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1944</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Destrucción por la guerra y falta de capital</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Préstamos para la reconstrucción y, después, para el desarrollo</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Libertad de la necesidad: el desarrollo como condición de estabilidad</w:t>
            </w:r>
          </w:p>
        </w:tc>
      </w:tr>
      <w:tr>
        <w:trPr>
          <w:cantSplit/>
        </w:trPr>
        <w:tc>
          <w:tcPr>
            <w:tcW w:type="dxa" w:w="20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GATT → OMC</w:t>
            </w:r>
          </w:p>
        </w:tc>
        <w:tc>
          <w:tcPr>
            <w:tcW w:type="dxa" w:w="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1947 → 1995</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Proteccionismo y guerras comerciales</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Reducir aranceles; reglas y solución de diferencias</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La interdependencia comercial como incentivo para la paz</w:t>
            </w:r>
          </w:p>
        </w:tc>
      </w:tr>
      <w:tr>
        <w:trPr>
          <w:cantSplit/>
        </w:trPr>
        <w:tc>
          <w:tcPr>
            <w:tcW w:type="dxa" w:w="20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Plan Marshall (ERP)</w:t>
            </w:r>
          </w:p>
        </w:tc>
        <w:tc>
          <w:tcPr>
            <w:tcW w:type="dxa" w:w="9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1947‑1948</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Colapso económico europeo y avance comunista</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Transferir ≈13 mil mdd condicionados a la planificación conjunta</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Recurso de la contención (Calle y Merke)</w:t>
            </w:r>
          </w:p>
        </w:tc>
      </w:tr>
      <w:tr>
        <w:trPr>
          <w:cantSplit/>
        </w:trPr>
        <w:tc>
          <w:tcPr>
            <w:tcW w:type="dxa" w:w="20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OECE → OCDE (CAD)</w:t>
            </w:r>
          </w:p>
        </w:tc>
        <w:tc>
          <w:tcPr>
            <w:tcW w:type="dxa" w:w="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1948 → 1961</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Administrar la ayuda del Plan Marshall</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Coordinación europea; después estándares, datos y normas de la AOD</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Integración europea; «poder sin coerción» mediante estándares</w:t>
            </w:r>
          </w:p>
        </w:tc>
      </w:tr>
      <w:tr>
        <w:trPr>
          <w:cantSplit/>
        </w:trPr>
        <w:tc>
          <w:tcPr>
            <w:tcW w:type="dxa" w:w="20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OTAN</w:t>
            </w:r>
          </w:p>
        </w:tc>
        <w:tc>
          <w:tcPr>
            <w:tcW w:type="dxa" w:w="9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1949</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Amenaza soviética y parálisis del Consejo de Seguridad</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Defensa colectiva (art. 5)</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Disuasión; divide a Europa en bloques</w:t>
            </w:r>
          </w:p>
        </w:tc>
      </w:tr>
      <w:tr>
        <w:trPr>
          <w:cantSplit/>
        </w:trPr>
        <w:tc>
          <w:tcPr>
            <w:tcW w:type="dxa" w:w="20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Organismos especializados y fondos</w:t>
            </w:r>
            <w:r>
              <w:rPr>
                <w:sz w:val="16"/>
                <w:szCs w:val="16"/>
              </w:rPr>
              <w:t xml:space="preserve">: OIT (1919/1946), FAO (1945), UNESCO (1945), UNICEF (1946), OMS (1948)</w:t>
            </w:r>
          </w:p>
        </w:tc>
        <w:tc>
          <w:tcPr>
            <w:tcW w:type="dxa" w:w="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1945‑1948</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Hambre, epidemias, analfabetismo, conflicto laboral, infancia en la posguerra</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Cooperación técnica y normativa por sector</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Seguridad «no militar»: el bienestar como base de la paz</w:t>
            </w:r>
          </w:p>
        </w:tc>
      </w:tr>
      <w:tr>
        <w:trPr>
          <w:cantSplit/>
        </w:trPr>
        <w:tc>
          <w:tcPr>
            <w:tcW w:type="dxa" w:w="20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CEPAL</w:t>
            </w:r>
          </w:p>
        </w:tc>
        <w:tc>
          <w:tcPr>
            <w:tcW w:type="dxa" w:w="9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1948</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Rezago económico de América Latina</w:t>
            </w:r>
          </w:p>
        </w:tc>
        <w:tc>
          <w:tcPr>
            <w:tcW w:type="dxa" w:w="21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Diagnóstico centro‑periferia; industrialización por sustitución de importaciones</w:t>
            </w:r>
          </w:p>
        </w:tc>
        <w:tc>
          <w:tcPr>
            <w:tcW w:type="dxa" w:w="21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Desarrollo regional; crítica al modelo de modernización</w:t>
            </w:r>
          </w:p>
        </w:tc>
      </w:tr>
      <w:tr>
        <w:trPr>
          <w:cantSplit/>
        </w:trPr>
        <w:tc>
          <w:tcPr>
            <w:tcW w:type="dxa" w:w="20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Contrapesos soviéticos</w:t>
            </w:r>
            <w:r>
              <w:rPr>
                <w:sz w:val="16"/>
                <w:szCs w:val="16"/>
              </w:rPr>
              <w:t xml:space="preserve">: CAME y Pacto de Varsovia</w:t>
            </w:r>
          </w:p>
        </w:tc>
        <w:tc>
          <w:tcPr>
            <w:tcW w:type="dxa" w:w="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1949 y 1955</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Respuesta al Plan Marshall y a la OTAN</w:t>
            </w:r>
          </w:p>
        </w:tc>
        <w:tc>
          <w:tcPr>
            <w:tcW w:type="dxa" w:w="21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Integración económica y militar del bloque del Este</w:t>
            </w:r>
          </w:p>
        </w:tc>
        <w:tc>
          <w:tcPr>
            <w:tcW w:type="dxa" w:w="21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Bipolaridad y disuasión</w:t>
            </w:r>
          </w:p>
        </w:tc>
      </w:tr>
    </w:tbl>
    <w:p>
      <w:pPr>
        <w:spacing w:after="120"/>
      </w:pPr>
    </w:p>
    <w:p>
      <w:pPr>
        <w:pStyle w:val="Heading2"/>
        <w:keepNext/>
      </w:pPr>
      <w:r>
        <w:t xml:space="preserve">Principal cambio institucional respecto del periodo de entreguerras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64A8" w:sz="8"/>
              <w:left w:val="single" w:color="2E64A8" w:sz="8"/>
              <w:bottom w:val="single" w:color="2E64A8" w:sz="8"/>
              <w:right w:val="single" w:color="2E64A8" w:sz="8"/>
            </w:tcBorders>
            <w:shd w:fill="EEF3FA" w:color="auto" w:val="clear"/>
            <w:tcMar>
              <w:top w:type="dxa" w:w="120"/>
              <w:left w:type="dxa" w:w="180"/>
              <w:bottom w:type="dxa" w:w="120"/>
              <w:right w:type="dxa" w:w="180"/>
            </w:tcMar>
          </w:tcPr>
          <w:p>
            <w:pPr>
              <w:spacing w:after="70" w:line="276"/>
              <w:jc w:val="both"/>
            </w:pPr>
            <w:r>
              <w:rPr>
                <w:sz w:val="21"/>
                <w:szCs w:val="21"/>
              </w:rPr>
              <w:t xml:space="preserve">El principal cambio fue pasar de una sola organización débil, sin Estados Unidos y regida por la unanimidad (la Sociedad de Naciones), a una </w:t>
            </w:r>
            <w:r>
              <w:rPr>
                <w:b/>
                <w:bCs/>
                <w:sz w:val="21"/>
                <w:szCs w:val="21"/>
              </w:rPr>
              <w:t xml:space="preserve">arquitectura</w:t>
            </w:r>
            <w:r>
              <w:rPr>
                <w:sz w:val="21"/>
                <w:szCs w:val="21"/>
              </w:rPr>
              <w:t xml:space="preserve"> interconectada que incorporó a las grandes potencias con privilegios (veto) y unió seguridad y economía: Bretton Woods y el GATT institucionalizaron la cooperación económica para no repetir la depresión y el proteccionismo que condujeron a la guerra. La paz pasó a ser también un problema de bienestar.</w:t>
            </w:r>
          </w:p>
        </w:tc>
      </w:tr>
    </w:tbl>
    <w:p>
      <w:pPr>
        <w:spacing w:after="140"/>
      </w:pPr>
    </w:p>
    <w:p>
      <w:pPr>
        <w:pStyle w:val="Heading1"/>
        <w:keepNext/>
      </w:pPr>
      <w:r>
        <w:t xml:space="preserve">7. Complejo Regional de Seguridad de Medio Oriente (Buzan y Wæver)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A partir de Barry Buzan y Ole Wæver, construye un esquema que represente el Complejo Regional de Seguridad de Medio Oriente: principales actores; patrones de amistad y enemistad; conflictos que estructuran la región; participación de potencias externas; principales subcomplejos o dinámicas internas. Después explica, en un máximo de 250 palabras, por qué la seguridad de los Estados de la región no puede analizarse de manera aislada.</w:t>
            </w:r>
          </w:p>
        </w:tc>
      </w:tr>
    </w:tbl>
    <w:p>
      <w:pPr>
        <w:spacing w:after="140"/>
      </w:pPr>
    </w:p>
    <w:p>
      <w:pPr>
        <w:spacing w:after="140" w:before="0" w:line="288"/>
        <w:jc w:val="both"/>
      </w:pPr>
      <w:r>
        <w:rPr>
          <w:sz w:val="22"/>
          <w:szCs w:val="22"/>
        </w:rPr>
        <w:t xml:space="preserve">Para Buzan y Wæver (2003), Medio Oriente es un CRS «estándar», es decir, sin una gran potencia global en su interior. Funciona como una </w:t>
      </w:r>
      <w:r>
        <w:rPr>
          <w:b/>
          <w:bCs/>
          <w:sz w:val="22"/>
          <w:szCs w:val="22"/>
        </w:rPr>
        <w:t xml:space="preserve">«formación de conflicto perenne»</w:t>
      </w:r>
      <w:r>
        <w:rPr>
          <w:sz w:val="22"/>
          <w:szCs w:val="22"/>
        </w:rPr>
        <w:t xml:space="preserve"> y está dividido en tres subcomplejos: el Levante, núcleo del complejo; el Golfo; y el Magreb. Turquía y Afganistán actúan como aislantes. El esquema de la página siguiente incorpora además la lectura del curso sobre geopolítica del petróleo y ayuda a Estados frágiles, actualizada con hechos recientes.</w:t>
      </w:r>
    </w:p>
    <w:p>
      <w:pPr>
        <w:sectPr>
          <w:footerReference w:type="default" r:id="rId11"/>
          <w:footerReference w:type="first" r:id="rId12"/>
          <w:pgSz w:w="12240" w:h="15840" w:orient="portrait"/>
          <w:pgMar w:top="1440" w:right="1440" w:bottom="1440" w:left="1440" w:header="708" w:footer="708" w:gutter="0"/>
          <w:pgNumType/>
          <w:titlePg w:val="false"/>
          <w:docGrid w:linePitch="360"/>
        </w:sectPr>
      </w:pPr>
    </w:p>
    <w:p>
      <w:pPr>
        <w:keepNext/>
        <w:spacing w:after="60"/>
        <w:jc w:val="center"/>
      </w:pPr>
      <w:r>
        <w:drawing>
          <wp:inline distT="0" distB="0" distL="0" distR="0">
            <wp:extent cx="8858250" cy="4514850"/>
            <wp:effectExtent t="0" r="0" b="0" l="0"/>
            <wp:docPr id="1" name="crs_mo.png" descr="Esquema del CRS de Medio Oriente" title="Esquema del CRS de Medio Or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858250" cy="4514850"/>
                    </a:xfrm>
                    <a:prstGeom prst="rect">
                      <a:avLst/>
                    </a:prstGeom>
                  </pic:spPr>
                </pic:pic>
              </a:graphicData>
            </a:graphic>
          </wp:inline>
        </w:drawing>
      </w:r>
    </w:p>
    <w:p>
      <w:pPr>
        <w:spacing w:after="120"/>
        <w:jc w:val="center"/>
      </w:pPr>
      <w:r>
        <w:rPr>
          <w:i/>
          <w:iCs/>
          <w:color w:val="555555"/>
          <w:sz w:val="18"/>
          <w:szCs w:val="18"/>
        </w:rPr>
        <w:t xml:space="preserve">Esquema del Complejo Regional de Seguridad de Medio Oriente (elaboración propia con base en Buzan y Wæver, 2003, y material de clase).</w:t>
      </w:r>
    </w:p>
    <w:p>
      <w:pPr>
        <w:sectPr>
          <w:footerReference w:type="default" r:id="rId13"/>
          <w:footerReference w:type="first" r:id="rId14"/>
          <w:pgSz w:w="15840" w:h="12240" w:orient="landscape"/>
          <w:pgMar w:top="864" w:right="864" w:bottom="864" w:left="864" w:header="708" w:footer="708" w:gutter="0"/>
          <w:pgNumType/>
          <w:titlePg w:val="false"/>
          <w:docGrid w:linePitch="360"/>
        </w:sectPr>
      </w:pPr>
    </w:p>
    <w:p>
      <w:pPr>
        <w:pStyle w:val="Heading2"/>
        <w:keepNext/>
      </w:pPr>
      <w:r>
        <w:t xml:space="preserve">Componentes del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8"/>
                <w:szCs w:val="18"/>
              </w:rPr>
              <w:t xml:space="preserve">Elemento</w:t>
            </w:r>
          </w:p>
        </w:tc>
        <w:tc>
          <w:tcPr>
            <w:tcW w:type="dxa" w:w="706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8"/>
                <w:szCs w:val="18"/>
              </w:rPr>
              <w:t xml:space="preserve">Contenido</w:t>
            </w:r>
          </w:p>
        </w:tc>
      </w:tr>
      <w:tr>
        <w:trPr>
          <w:cantSplit/>
        </w:trPr>
        <w:tc>
          <w:tcPr>
            <w:tcW w:type="dxa" w:w="23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8"/>
                <w:szCs w:val="18"/>
              </w:rPr>
              <w:t xml:space="preserve">Principales actores</w:t>
            </w:r>
          </w:p>
        </w:tc>
        <w:tc>
          <w:tcPr>
            <w:tcW w:type="dxa" w:w="70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50" w:line="252"/>
            </w:pPr>
            <w:r>
              <w:rPr>
                <w:sz w:val="18"/>
                <w:szCs w:val="18"/>
              </w:rPr>
              <w:t xml:space="preserve">Estatales: Israel, Irán, Arabia Saudita, Egipto, Siria, Irak, Jordania, Líbano, Estados del CCG, Yemen, Marruecos, Argelia, Libia y Túnez.</w:t>
            </w:r>
          </w:p>
          <w:p>
            <w:pPr>
              <w:spacing w:after="50" w:line="252"/>
            </w:pPr>
            <w:r>
              <w:rPr>
                <w:sz w:val="18"/>
                <w:szCs w:val="18"/>
              </w:rPr>
              <w:t xml:space="preserve">No estatales: Hezbolá, Hamás, hutíes, Daesh.</w:t>
            </w:r>
          </w:p>
          <w:p>
            <w:pPr>
              <w:spacing w:after="0" w:line="252"/>
            </w:pPr>
            <w:r>
              <w:rPr>
                <w:sz w:val="18"/>
                <w:szCs w:val="18"/>
              </w:rPr>
              <w:t xml:space="preserve">Aislantes: Turquía (hacia Europa y el espacio posoviético) y Afganistán (hacia Asia del Sur).</w:t>
            </w:r>
          </w:p>
        </w:tc>
      </w:tr>
      <w:tr>
        <w:trPr>
          <w:cantSplit/>
        </w:trPr>
        <w:tc>
          <w:tcPr>
            <w:tcW w:type="dxa" w:w="23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8"/>
                <w:szCs w:val="18"/>
              </w:rPr>
              <w:t xml:space="preserve">Patrones de amistad</w:t>
            </w:r>
          </w:p>
        </w:tc>
        <w:tc>
          <w:tcPr>
            <w:tcW w:type="dxa" w:w="70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8"/>
                <w:szCs w:val="18"/>
              </w:rPr>
              <w:t xml:space="preserve">Paz Egipto‑Israel (1979) y Jordania‑Israel (1994); Acuerdos de Abraham (2020: EAU, Bahréin, Marruecos y Sudán); CCG (1981) bajo liderazgo saudí; «eje de la resistencia» encabezado por Irán (Hezbolá, hutíes y Siria hasta diciembre de 2024); Argelia‑Polisario.</w:t>
            </w:r>
          </w:p>
        </w:tc>
      </w:tr>
      <w:tr>
        <w:trPr>
          <w:cantSplit/>
        </w:trPr>
        <w:tc>
          <w:tcPr>
            <w:tcW w:type="dxa" w:w="23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8"/>
                <w:szCs w:val="18"/>
              </w:rPr>
              <w:t xml:space="preserve">Patrones de enemistad</w:t>
            </w:r>
          </w:p>
        </w:tc>
        <w:tc>
          <w:tcPr>
            <w:tcW w:type="dxa" w:w="70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8"/>
                <w:szCs w:val="18"/>
              </w:rPr>
              <w:t xml:space="preserve">Núcleo árabe/palestino‑israelí; Irán‑Arabia Saudita (hegemonía regional y sectarismo); Irán‑Israel; Irán‑Irak (1980‑1988); Irak‑Kuwait/Arabia Saudita (1990‑1991); Marruecos‑Argelia (Sáhara Occidental).</w:t>
            </w:r>
          </w:p>
        </w:tc>
      </w:tr>
      <w:tr>
        <w:trPr>
          <w:cantSplit/>
        </w:trPr>
        <w:tc>
          <w:tcPr>
            <w:tcW w:type="dxa" w:w="23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8"/>
                <w:szCs w:val="18"/>
              </w:rPr>
              <w:t xml:space="preserve">Conflictos que estructuran la región</w:t>
            </w:r>
          </w:p>
        </w:tc>
        <w:tc>
          <w:tcPr>
            <w:tcW w:type="dxa" w:w="70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8"/>
                <w:szCs w:val="18"/>
              </w:rPr>
              <w:t xml:space="preserve">Guerras árabe‑israelíes (1948, 1967, 1973), intifadas y guerra de Gaza (2023‑2025, alto el fuego en octubre de 2025); guerras del Golfo (1980‑1988, 1991, 2003); guerra civil siria (2011‑2024) y Daesh (2014‑2017); guerra de Yemen (desde 2015); programa nuclear iraní y guerra de 12 días Irán‑Israel (junio de 2025); Sáhara Occidental.</w:t>
            </w:r>
          </w:p>
        </w:tc>
      </w:tr>
      <w:tr>
        <w:trPr>
          <w:cantSplit/>
        </w:trPr>
        <w:tc>
          <w:tcPr>
            <w:tcW w:type="dxa" w:w="23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8"/>
                <w:szCs w:val="18"/>
              </w:rPr>
              <w:t xml:space="preserve">Potencias externas</w:t>
            </w:r>
          </w:p>
        </w:tc>
        <w:tc>
          <w:tcPr>
            <w:tcW w:type="dxa" w:w="70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50" w:line="252"/>
            </w:pPr>
            <w:r>
              <w:rPr>
                <w:b/>
                <w:bCs/>
                <w:sz w:val="18"/>
                <w:szCs w:val="18"/>
              </w:rPr>
              <w:t xml:space="preserve">EE. UU.</w:t>
            </w:r>
            <w:r>
              <w:rPr>
                <w:sz w:val="18"/>
                <w:szCs w:val="18"/>
              </w:rPr>
              <w:t xml:space="preserve">: potencia externa dominante; alianza con Israel, Arabia Saudita y el CCG; bases en Bahréin y Qatar; contención de Irán; intervenciones de 1991 y 2003; ataques a instalaciones nucleares iraníes (2025).</w:t>
            </w:r>
          </w:p>
          <w:p>
            <w:pPr>
              <w:spacing w:after="50" w:line="252"/>
            </w:pPr>
            <w:r>
              <w:rPr>
                <w:b/>
                <w:bCs/>
                <w:sz w:val="18"/>
                <w:szCs w:val="18"/>
              </w:rPr>
              <w:t xml:space="preserve">Rusia</w:t>
            </w:r>
            <w:r>
              <w:rPr>
                <w:sz w:val="18"/>
                <w:szCs w:val="18"/>
              </w:rPr>
              <w:t xml:space="preserve">: aliada de Siria (intervención 2015‑2024) y de Irán; venta de armas.</w:t>
            </w:r>
          </w:p>
          <w:p>
            <w:pPr>
              <w:spacing w:after="50" w:line="252"/>
            </w:pPr>
            <w:r>
              <w:rPr>
                <w:b/>
                <w:bCs/>
                <w:sz w:val="18"/>
                <w:szCs w:val="18"/>
              </w:rPr>
              <w:t xml:space="preserve">China</w:t>
            </w:r>
            <w:r>
              <w:rPr>
                <w:sz w:val="18"/>
                <w:szCs w:val="18"/>
              </w:rPr>
              <w:t xml:space="preserve">: principal comprador de petróleo; medió el restablecimiento de relaciones Irán‑Arabia Saudita (2023).</w:t>
            </w:r>
          </w:p>
          <w:p>
            <w:pPr>
              <w:spacing w:after="0" w:line="252"/>
            </w:pPr>
            <w:r>
              <w:rPr>
                <w:b/>
                <w:bCs/>
                <w:sz w:val="18"/>
                <w:szCs w:val="18"/>
              </w:rPr>
              <w:t xml:space="preserve">UE, Reino Unido y Francia</w:t>
            </w:r>
            <w:r>
              <w:rPr>
                <w:sz w:val="18"/>
                <w:szCs w:val="18"/>
              </w:rPr>
              <w:t xml:space="preserve">: legado colonial (mandatos, Argelia), energía y migración.</w:t>
            </w:r>
          </w:p>
        </w:tc>
      </w:tr>
      <w:tr>
        <w:trPr>
          <w:cantSplit/>
        </w:trPr>
        <w:tc>
          <w:tcPr>
            <w:tcW w:type="dxa" w:w="23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8"/>
                <w:szCs w:val="18"/>
              </w:rPr>
              <w:t xml:space="preserve">Subcomplejos y dinámicas internas</w:t>
            </w:r>
          </w:p>
        </w:tc>
        <w:tc>
          <w:tcPr>
            <w:tcW w:type="dxa" w:w="70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50" w:line="252"/>
            </w:pPr>
            <w:r>
              <w:rPr>
                <w:b/>
                <w:bCs/>
                <w:sz w:val="18"/>
                <w:szCs w:val="18"/>
              </w:rPr>
              <w:t xml:space="preserve">Levante</w:t>
            </w:r>
            <w:r>
              <w:rPr>
                <w:sz w:val="18"/>
                <w:szCs w:val="18"/>
              </w:rPr>
              <w:t xml:space="preserve"> (núcleo): Israel, Palestina, Egipto, Jordania, Siria, Líbano.</w:t>
            </w:r>
          </w:p>
          <w:p>
            <w:pPr>
              <w:spacing w:after="50" w:line="252"/>
            </w:pPr>
            <w:r>
              <w:rPr>
                <w:b/>
                <w:bCs/>
                <w:sz w:val="18"/>
                <w:szCs w:val="18"/>
              </w:rPr>
              <w:t xml:space="preserve">Golfo</w:t>
            </w:r>
            <w:r>
              <w:rPr>
                <w:sz w:val="18"/>
                <w:szCs w:val="18"/>
              </w:rPr>
              <w:t xml:space="preserve">: rivalidad triangular Irán‑Irak‑Estados del CCG, formada tras la retirada británica a inicios de los años setenta.</w:t>
            </w:r>
          </w:p>
          <w:p>
            <w:pPr>
              <w:spacing w:after="50" w:line="252"/>
            </w:pPr>
            <w:r>
              <w:rPr>
                <w:b/>
                <w:bCs/>
                <w:sz w:val="18"/>
                <w:szCs w:val="18"/>
              </w:rPr>
              <w:t xml:space="preserve">Magreb</w:t>
            </w:r>
            <w:r>
              <w:rPr>
                <w:sz w:val="18"/>
                <w:szCs w:val="18"/>
              </w:rPr>
              <w:t xml:space="preserve">: subcomplejo débilmente conectado al resto (Marruecos‑Argelia).</w:t>
            </w:r>
          </w:p>
          <w:p>
            <w:pPr>
              <w:spacing w:after="0" w:line="252"/>
            </w:pPr>
            <w:r>
              <w:rPr>
                <w:sz w:val="18"/>
                <w:szCs w:val="18"/>
              </w:rPr>
              <w:t xml:space="preserve">Dinámicas transversales: petróleo, identidades transnacionales (panarabismo, islamismo, sectarismo), Estados frágiles y milicias, asimetría nuclear.</w:t>
            </w:r>
          </w:p>
        </w:tc>
      </w:tr>
    </w:tbl>
    <w:p>
      <w:pPr>
        <w:spacing w:after="120"/>
      </w:pPr>
    </w:p>
    <w:p>
      <w:pPr>
        <w:spacing w:after="140" w:before="0" w:line="288"/>
        <w:jc w:val="both"/>
      </w:pPr>
      <w:r>
        <w:rPr>
          <w:b/>
          <w:bCs/>
          <w:sz w:val="22"/>
          <w:szCs w:val="22"/>
        </w:rPr>
        <w:t xml:space="preserve">Lectura del curso.</w:t>
      </w:r>
      <w:r>
        <w:rPr>
          <w:sz w:val="22"/>
          <w:szCs w:val="22"/>
        </w:rPr>
        <w:t xml:space="preserve"> En la clase sobre cooperación militar se planteó que la ayuda a Irak, Afganistán y Pakistán responde a la salvaguarda del régimen saudí, la contención de Irán y la contención de China y Rusia en la zona; es decir, que la ayuda sigue a la geopolítica del petróleo. Gaza y Cisjordania, cuyos principales donantes son la UE, la UNRWA y EE. UU., parecen «romper» esa hipótesis. Mi interpretación es que no la invalidan, sino que muestran que el CRS tiene subcomplejos con lógicas propias: la ayuda a los territorios palestinos responde al núcleo árabe‑israelí del Levante más que al petróleo del Golfo.</w:t>
      </w:r>
    </w:p>
    <w:p>
      <w:pPr>
        <w:pStyle w:val="Heading2"/>
        <w:keepNext/>
      </w:pPr>
      <w:r>
        <w:t xml:space="preserve">¿Por qué la seguridad de los Estados de la región no puede analizarse de manera aislada? (máximo 250 palabras)</w:t>
      </w:r>
    </w:p>
    <w:p>
      <w:pPr>
        <w:spacing w:after="140" w:before="0" w:line="288"/>
        <w:jc w:val="both"/>
      </w:pPr>
      <w:r>
        <w:rPr>
          <w:sz w:val="22"/>
          <w:szCs w:val="22"/>
        </w:rPr>
        <w:t xml:space="preserve">Para Buzan y Wæver, un complejo regional de seguridad es un conjunto de Estados cuyas preocupaciones de seguridad están tan interrelacionadas que su seguridad nacional no puede analizarse razonablemente por separado. Medio Oriente lo ilustra por cuatro razones. Primero, la </w:t>
      </w:r>
      <w:r>
        <w:rPr>
          <w:b/>
          <w:bCs/>
          <w:sz w:val="22"/>
          <w:szCs w:val="22"/>
        </w:rPr>
        <w:t xml:space="preserve">proximidad</w:t>
      </w:r>
      <w:r>
        <w:rPr>
          <w:sz w:val="22"/>
          <w:szCs w:val="22"/>
        </w:rPr>
        <w:t xml:space="preserve">: las amenazas viajan con más facilidad a corta distancia, y en la región circulan mediante refugiados, milicias, misiles y redes ideológicas. Segundo, los </w:t>
      </w:r>
      <w:r>
        <w:rPr>
          <w:b/>
          <w:bCs/>
          <w:sz w:val="22"/>
          <w:szCs w:val="22"/>
        </w:rPr>
        <w:t xml:space="preserve">patrones de amistad y enemistad</w:t>
      </w:r>
      <w:r>
        <w:rPr>
          <w:sz w:val="22"/>
          <w:szCs w:val="22"/>
        </w:rPr>
        <w:t xml:space="preserve"> son históricos y descansan en identidades transnacionales (panarabismo, islamismo, sionismo, sectarismo suní‑chií); por eso la seguridad de cada régimen depende de lo que hagan sus vecinos, y actores no estatales como Hezbolá, los hutíes o Daesh enlazan conflictos aparentemente separados. Tercero, los </w:t>
      </w:r>
      <w:r>
        <w:rPr>
          <w:b/>
          <w:bCs/>
          <w:sz w:val="22"/>
          <w:szCs w:val="22"/>
        </w:rPr>
        <w:t xml:space="preserve">subcomplejos están conectados</w:t>
      </w:r>
      <w:r>
        <w:rPr>
          <w:sz w:val="22"/>
          <w:szCs w:val="22"/>
        </w:rPr>
        <w:t xml:space="preserve">: Irak une al Golfo con el Levante e Irán actúa en ambos, de modo que una crisis se transmite de uno a otro. La guerra de Gaza (2023‑2025) lo demuestra: abrió el frente de Hezbolá en Líbano, desató los ataques hutíes en el mar Rojo y desembocó en el enfrentamiento directo entre Irán e Israel. Cuarto, la </w:t>
      </w:r>
      <w:r>
        <w:rPr>
          <w:b/>
          <w:bCs/>
          <w:sz w:val="22"/>
          <w:szCs w:val="22"/>
        </w:rPr>
        <w:t xml:space="preserve">penetración</w:t>
      </w:r>
      <w:r>
        <w:rPr>
          <w:sz w:val="22"/>
          <w:szCs w:val="22"/>
        </w:rPr>
        <w:t xml:space="preserve"> de potencias externas, atraídas por el petróleo y por la alianza con Israel, alinea a los rivales locales con rivales globales y amplifica sus disputas. En consecuencia, la seguridad de Israel, Irán o Arabia Saudita sólo se entiende como parte de una formación de conflicto regional.</w:t>
      </w:r>
    </w:p>
    <w:p>
      <w:pPr>
        <w:pStyle w:val="Heading1"/>
        <w:keepNext/>
      </w:pPr>
      <w:r>
        <w:t xml:space="preserve">8. Complejo Regional de Seguridad de Asia y comparación con Medio Oriente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Realiza el mismo ejercicio para Asia (actores, patrones de rivalidad/cooperación, potencias, subcomplejos y principales dinámicas de seguridad). Después, selecciona tres diferencias estructurales entre los CRS de Asia y Medio Oriente y explica por qué son relevantes desde la teoría de los Complejos Regionales de Seguridad.</w:t>
            </w:r>
          </w:p>
        </w:tc>
      </w:tr>
    </w:tbl>
    <w:p>
      <w:pPr>
        <w:spacing w:after="140"/>
      </w:pPr>
    </w:p>
    <w:p>
      <w:pPr>
        <w:spacing w:after="140" w:before="0" w:line="288"/>
        <w:jc w:val="both"/>
      </w:pPr>
      <w:r>
        <w:rPr>
          <w:sz w:val="22"/>
          <w:szCs w:val="22"/>
        </w:rPr>
        <w:t xml:space="preserve">Buzan y Wæver no tratan a Asia como un solo CRS, sino como un </w:t>
      </w:r>
      <w:r>
        <w:rPr>
          <w:b/>
          <w:bCs/>
          <w:sz w:val="22"/>
          <w:szCs w:val="22"/>
        </w:rPr>
        <w:t xml:space="preserve">supercomplejo</w:t>
      </w:r>
      <w:r>
        <w:rPr>
          <w:sz w:val="22"/>
          <w:szCs w:val="22"/>
        </w:rPr>
        <w:t xml:space="preserve">: dos CRS, Asia del Sur y Asia Oriental, cada vez más conectados por el ascenso de China, que actúa en ambos. Asia Oriental surgió en los años noventa de la fusión de los complejos del Noreste y del Sudeste. Asia Central, en cambio, es un subcomplejo del CRS posoviético centrado en Rusia.</w:t>
      </w:r>
    </w:p>
    <w:p>
      <w:pPr>
        <w:sectPr>
          <w:footerReference w:type="default" r:id="rId15"/>
          <w:footerReference w:type="first" r:id="rId16"/>
          <w:pgSz w:w="12240" w:h="15840" w:orient="portrait"/>
          <w:pgMar w:top="1440" w:right="1440" w:bottom="1440" w:left="1440" w:header="708" w:footer="708" w:gutter="0"/>
          <w:pgNumType/>
          <w:titlePg w:val="false"/>
          <w:docGrid w:linePitch="360"/>
        </w:sectPr>
      </w:pPr>
    </w:p>
    <w:p>
      <w:pPr>
        <w:keepNext/>
        <w:spacing w:after="60"/>
        <w:jc w:val="center"/>
      </w:pPr>
      <w:r>
        <w:drawing>
          <wp:inline distT="0" distB="0" distL="0" distR="0">
            <wp:extent cx="8858250" cy="4895850"/>
            <wp:effectExtent t="0" r="0" b="0" l="0"/>
            <wp:docPr id="1" name="crs_asia.png" descr="Esquema del supercomplejo de seguridad asiático" title="Esquema del supercomplejo de seguridad asi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858250" cy="4895850"/>
                    </a:xfrm>
                    <a:prstGeom prst="rect">
                      <a:avLst/>
                    </a:prstGeom>
                  </pic:spPr>
                </pic:pic>
              </a:graphicData>
            </a:graphic>
          </wp:inline>
        </w:drawing>
      </w:r>
    </w:p>
    <w:p>
      <w:pPr>
        <w:spacing w:after="120"/>
        <w:jc w:val="center"/>
      </w:pPr>
      <w:r>
        <w:rPr>
          <w:i/>
          <w:iCs/>
          <w:color w:val="555555"/>
          <w:sz w:val="18"/>
          <w:szCs w:val="18"/>
        </w:rPr>
        <w:t xml:space="preserve">Esquema del supercomplejo asiático (elaboración propia con base en Buzan y Wæver, 2003).</w:t>
      </w:r>
    </w:p>
    <w:p>
      <w:pPr>
        <w:sectPr>
          <w:footerReference w:type="default" r:id="rId17"/>
          <w:footerReference w:type="first" r:id="rId18"/>
          <w:pgSz w:w="15840" w:h="12240" w:orient="landscape"/>
          <w:pgMar w:top="864" w:right="864" w:bottom="864" w:left="864" w:header="708" w:footer="708" w:gutter="0"/>
          <w:pgNumType/>
          <w:titlePg w:val="false"/>
          <w:docGrid w:linePitch="360"/>
        </w:sectPr>
      </w:pPr>
    </w:p>
    <w:p>
      <w:pPr>
        <w:pStyle w:val="Heading2"/>
        <w:keepNext/>
      </w:pPr>
      <w:r>
        <w:t xml:space="preserve">Componentes del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cantSplit/>
          <w:tblHeader/>
        </w:trPr>
        <w:tc>
          <w:tcPr>
            <w:tcW w:type="dxa" w:w="19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Elemento</w:t>
            </w:r>
          </w:p>
        </w:tc>
        <w:tc>
          <w:tcPr>
            <w:tcW w:type="dxa" w:w="373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CRS de Asia del Sur</w:t>
            </w:r>
          </w:p>
        </w:tc>
        <w:tc>
          <w:tcPr>
            <w:tcW w:type="dxa" w:w="373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CRS de Asia Oriental</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Principales actores</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India y Pakistán; Bangladesh, Sri Lanka, Nepal, Bután y Maldivas; Afganistán como aislante</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China, Japón, Corea del Norte, Corea del Sur y Taiwán; Estados de la ASEAN (Indonesia, Vietnam, Filipinas, Malasia, Singapur, Tailandia, entre otros)</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7"/>
                <w:szCs w:val="17"/>
              </w:rPr>
              <w:t xml:space="preserve">Patrones de rivalidad</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India‑Pakistán: Cachemira y terrorismo transfronterizo; guerras de 1947, 1965, 1971 y Kargil (1999); choques de mayo de 2025</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China‑Japón (memoria histórica, islas Senkaku/Diaoyu); China‑Taiwán; las dos Coreas; China frente a Vietnam y Filipinas en el Mar de China Meridional</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Patrones de cooperación</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Alianza China‑Pakistán (Corredor Económico, CPEC); SAARC (1985), con institucionalidad débil</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ASEAN (1967), ARF (1994), ASEAN+3 (1997), RCEP (2020); tratado China‑Corea del Norte (1961); alta interdependencia económica</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7"/>
                <w:szCs w:val="17"/>
              </w:rPr>
              <w:t xml:space="preserve">Potencias</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India, potencia regional predominante y aspirante a gran potencia; China, actor con vínculo directo (frontera con India: 1962, Galwan 2020)</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Dos grandes potencias internas (China y Japón); EE. UU., potencia global muy involucrada (alianzas con Japón, Corea del Sur, Filipinas y Australia; compromiso con Taiwán; Quad; AUKUS); Rusia, socia de China</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Subcomplejos y estructura</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CRS bipolar (India‑Pakistán) que tiende a la unipolaridad india</w:t>
            </w:r>
          </w:p>
        </w:tc>
        <w:tc>
          <w:tcPr>
            <w:tcW w:type="dxa" w:w="373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CRS de grandes potencias formado por el Noreste (formación de conflicto) y el Sudeste (régimen de seguridad de la ASEAN)</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7"/>
                <w:szCs w:val="17"/>
              </w:rPr>
              <w:t xml:space="preserve">Principales dinámicas</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Disuasión nuclear India‑Pakistán; terrorismo transfronterizo; competencia India‑China por influir en los Estados menores</w:t>
            </w:r>
          </w:p>
        </w:tc>
        <w:tc>
          <w:tcPr>
            <w:tcW w:type="dxa" w:w="373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Ascenso de China; disuasión nuclear (China, Corea del Norte); disputas marítimas; competencia China‑EE. UU.; la interdependencia amortigua, pero no elimina, la rivalidad</w:t>
            </w:r>
          </w:p>
        </w:tc>
      </w:tr>
    </w:tbl>
    <w:p>
      <w:pPr>
        <w:spacing w:after="120"/>
      </w:pPr>
    </w:p>
    <w:p>
      <w:pPr>
        <w:pStyle w:val="Heading2"/>
        <w:keepNext/>
      </w:pPr>
      <w:r>
        <w:t xml:space="preserve">Tres diferencias estructurales entre Asia y Medio Oriente</w:t>
      </w:r>
    </w:p>
    <w:p>
      <w:pPr>
        <w:spacing w:after="140" w:before="0" w:line="288"/>
        <w:jc w:val="both"/>
      </w:pPr>
      <w:r>
        <w:rPr>
          <w:sz w:val="22"/>
          <w:szCs w:val="22"/>
        </w:rPr>
        <w:t xml:space="preserve">Buzan y Wæver definen la «estructura esencial» de un CRS con cuatro variables: frontera, estructura anárquica, </w:t>
      </w:r>
      <w:r>
        <w:rPr>
          <w:b/>
          <w:bCs/>
          <w:sz w:val="22"/>
          <w:szCs w:val="22"/>
        </w:rPr>
        <w:t xml:space="preserve">polaridad</w:t>
      </w:r>
      <w:r>
        <w:rPr>
          <w:sz w:val="22"/>
          <w:szCs w:val="22"/>
        </w:rPr>
        <w:t xml:space="preserve"> y </w:t>
      </w:r>
      <w:r>
        <w:rPr>
          <w:b/>
          <w:bCs/>
          <w:sz w:val="22"/>
          <w:szCs w:val="22"/>
        </w:rPr>
        <w:t xml:space="preserve">construcción social</w:t>
      </w:r>
      <w:r>
        <w:rPr>
          <w:sz w:val="22"/>
          <w:szCs w:val="22"/>
        </w:rPr>
        <w:t xml:space="preserve"> (patrones de amistad y enemistad). A ellas se suma la relación con las potencias globales, es decir, la </w:t>
      </w:r>
      <w:r>
        <w:rPr>
          <w:b/>
          <w:bCs/>
          <w:sz w:val="22"/>
          <w:szCs w:val="22"/>
        </w:rPr>
        <w:t xml:space="preserve">penetración</w:t>
      </w:r>
      <w:r>
        <w:rPr>
          <w:sz w:val="22"/>
          <w:szCs w:val="22"/>
        </w:rPr>
        <w:t xml:space="preserve">. Uso esas variables como criterios de comparación.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rPr>
          <w:cantSplit/>
          <w:tblHeader/>
        </w:trPr>
        <w:tc>
          <w:tcPr>
            <w:tcW w:type="dxa" w:w="19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Criterio (RSCT)</w:t>
            </w:r>
          </w:p>
        </w:tc>
        <w:tc>
          <w:tcPr>
            <w:tcW w:type="dxa" w:w="24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Medio Oriente</w:t>
            </w:r>
          </w:p>
        </w:tc>
        <w:tc>
          <w:tcPr>
            <w:tcW w:type="dxa" w:w="24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Asia</w:t>
            </w:r>
          </w:p>
        </w:tc>
        <w:tc>
          <w:tcPr>
            <w:tcW w:type="dxa" w:w="266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7"/>
                <w:szCs w:val="17"/>
              </w:rPr>
              <w:t xml:space="preserve">Por qué es relevante</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1. Polaridad y tipo de CRS</w:t>
            </w:r>
          </w:p>
        </w:tc>
        <w:tc>
          <w:tcPr>
            <w:tcW w:type="dxa" w:w="24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CRS «estándar» multipolar: potencias regionales (Irán, Arabia Saudita, Israel, Egipto) sin una gran potencia global</w:t>
            </w:r>
          </w:p>
        </w:tc>
        <w:tc>
          <w:tcPr>
            <w:tcW w:type="dxa" w:w="24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Asia Oriental es un CRS de grandes potencias (China, Japón; India como aspirante); el conjunto forma un supercomplejo</w:t>
            </w:r>
          </w:p>
        </w:tc>
        <w:tc>
          <w:tcPr>
            <w:tcW w:type="dxa" w:w="26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En un CRS estándar la región «recibe» la estructura global; en uno de grandes potencias, la región la «produce».</w:t>
            </w:r>
          </w:p>
        </w:tc>
      </w:tr>
      <w:tr>
        <w:trPr>
          <w:cantSplit/>
        </w:trPr>
        <w:tc>
          <w:tcPr>
            <w:tcW w:type="dxa" w:w="19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7"/>
                <w:szCs w:val="17"/>
              </w:rPr>
              <w:t xml:space="preserve">2. Relación con las potencias externas</w:t>
            </w:r>
          </w:p>
        </w:tc>
        <w:tc>
          <w:tcPr>
            <w:tcW w:type="dxa" w:w="24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Penetración intensa y persistente (petróleo, Israel); las potencias externas se alinean con rivales locales</w:t>
            </w:r>
          </w:p>
        </w:tc>
        <w:tc>
          <w:tcPr>
            <w:tcW w:type="dxa" w:w="24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EE. UU. actúa como contrapeso de una potencia regional ascendente; la dinámica regional y la global se fusionan</w:t>
            </w:r>
          </w:p>
        </w:tc>
        <w:tc>
          <w:tcPr>
            <w:tcW w:type="dxa" w:w="26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7"/>
                <w:szCs w:val="17"/>
              </w:rPr>
              <w:t xml:space="preserve">En Medio Oriente la penetración amplifica conflictos locales; en Asia, una crisis regional (Taiwán) es directamente sistémica.</w:t>
            </w:r>
          </w:p>
        </w:tc>
      </w:tr>
      <w:tr>
        <w:trPr>
          <w:cantSplit/>
        </w:trPr>
        <w:tc>
          <w:tcPr>
            <w:tcW w:type="dxa" w:w="19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7"/>
                <w:szCs w:val="17"/>
              </w:rPr>
              <w:t xml:space="preserve">3. Construcción social e institucionalización</w:t>
            </w:r>
          </w:p>
        </w:tc>
        <w:tc>
          <w:tcPr>
            <w:tcW w:type="dxa" w:w="24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«Formación de conflicto perenne»: enemistades identitarias y religiosas; instituciones débiles (Liga Árabe, CCG parcial)</w:t>
            </w:r>
          </w:p>
        </w:tc>
        <w:tc>
          <w:tcPr>
            <w:tcW w:type="dxa" w:w="24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Mezcla: formación de conflicto en el Noreste y Asia del Sur, pero régimen de seguridad en el Sudeste (ASEAN)</w:t>
            </w:r>
          </w:p>
        </w:tc>
        <w:tc>
          <w:tcPr>
            <w:tcW w:type="dxa" w:w="26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7"/>
                <w:szCs w:val="17"/>
              </w:rPr>
              <w:t xml:space="preserve">Ubica a cada región en el espectro formación de conflicto → régimen de seguridad → comunidad de seguridad, es decir, qué tan gestionable es su conflicto.</w:t>
            </w:r>
          </w:p>
        </w:tc>
      </w:tr>
    </w:tbl>
    <w:p>
      <w:pPr>
        <w:spacing w:after="120"/>
      </w:pPr>
    </w:p>
    <w:p>
      <w:pPr>
        <w:pStyle w:val="Heading3"/>
        <w:keepNext/>
      </w:pPr>
      <w:r>
        <w:t xml:space="preserve">Diferencia 1. Polaridad: un CRS estándar frente a un CRS de grandes potencias</w:t>
      </w:r>
    </w:p>
    <w:p>
      <w:pPr>
        <w:spacing w:after="140" w:before="0" w:line="288"/>
        <w:jc w:val="both"/>
      </w:pPr>
      <w:r>
        <w:rPr>
          <w:sz w:val="22"/>
          <w:szCs w:val="22"/>
        </w:rPr>
        <w:t xml:space="preserve">En Medio Oriente ningún Estado puede imponer un orden regional. El equilibrio entre Irán, Arabia Saudita, Israel y Egipto se mueve por alianzas cambiantes y, sobre todo, por la intervención externa, como mostró la invasión de Irak en 2003, que destruyó el contrapeso iraquí y abrió espacio a Irán. En Asia, el ascenso de China conecta el Noreste, el Sudeste y Asia del Sur (frontera con India, alianza con Pakistán), por lo que los autores hablan de un supercomplejo: lo que ocurre en la región define la polaridad global. La nuclearización refuerza la diferencia. En Asia hay disuasión nuclear múltiple (China, India, Pakistán, Corea del Norte), que estabiliza pero eleva el riesgo de escalada, como en los choques indo‑paquistaníes de mayo de 2025. En Medio Oriente, la asimetría nuclear (Israel frente al programa iraní) incentiva los ataques preventivos: Irak en 1981, Siria en 2007 e Irán en 2025.</w:t>
      </w:r>
    </w:p>
    <w:p>
      <w:pPr>
        <w:pStyle w:val="Heading3"/>
        <w:keepNext/>
      </w:pPr>
      <w:r>
        <w:t xml:space="preserve">Diferencia 2. Penetración externa frente a fusión de niveles</w:t>
      </w:r>
    </w:p>
    <w:p>
      <w:pPr>
        <w:spacing w:after="140" w:before="0" w:line="288"/>
        <w:jc w:val="both"/>
      </w:pPr>
      <w:r>
        <w:rPr>
          <w:sz w:val="22"/>
          <w:szCs w:val="22"/>
        </w:rPr>
        <w:t xml:space="preserve">Medio Oriente ha sido penetrado de manera casi continua: mandatos coloniales, Guerra Fría, intervenciones de 1991 y 2003, y hoy la competencia entre EE. UU., Rusia y China. Como las potencias externas eligen aliados locales, la penetración no resuelve las rivalidades sino que las refuerza: EE. UU. con Israel y Arabia Saudita, Rusia con Siria e Irán. En Asia, EE. UU. está profundamente involucrado mediante alianzas radiales, el Quad y AUKUS, pero frente a grandes potencias locales con capacidad propia. La relación no es de dependencia, sino de interacción entre los niveles regional y global; por eso Taiwán o el Mar de China Meridional son a la vez problemas regionales y de orden mundial.</w:t>
      </w:r>
    </w:p>
    <w:p>
      <w:pPr>
        <w:pStyle w:val="Heading3"/>
        <w:keepNext/>
      </w:pPr>
      <w:r>
        <w:t xml:space="preserve">Diferencia 3. Construcción social: formación de conflicto frente a régimen de seguridad</w:t>
      </w:r>
    </w:p>
    <w:p>
      <w:pPr>
        <w:spacing w:after="140" w:before="0" w:line="288"/>
        <w:jc w:val="both"/>
      </w:pPr>
      <w:r>
        <w:rPr>
          <w:sz w:val="22"/>
          <w:szCs w:val="22"/>
        </w:rPr>
        <w:t xml:space="preserve">En Medio Oriente las enemistades tienen bases identitarias: el conflicto árabe‑israelí y la rivalidad irano‑saudí se cruzan con amenazas societales (religión, nacionalismo, sectarismo), y las instituciones regionales son débiles. En Asia conviven dos lógicas. El Noreste y Asia del Sur siguen siendo formaciones de conflicto (las Coreas, Taiwán, Cachemira), pero el Sudeste pasó de formación de conflicto a </w:t>
      </w:r>
      <w:r>
        <w:rPr>
          <w:b/>
          <w:bCs/>
          <w:sz w:val="22"/>
          <w:szCs w:val="22"/>
        </w:rPr>
        <w:t xml:space="preserve">régimen de seguridad</w:t>
      </w:r>
      <w:r>
        <w:rPr>
          <w:sz w:val="22"/>
          <w:szCs w:val="22"/>
        </w:rPr>
        <w:t xml:space="preserve"> gracias a la ASEAN y su «ASEAN way» (consenso y no injerencia). Buzan subraya que las instituciones asiáticas las lideran las potencias menores, porque China y Japón tienen problemas de legitimidad para hacerlo. La interdependencia económica (RCEP) añade incentivos para gestionar el conflicto que Medio Oriente no ha consolidado.</w:t>
      </w:r>
    </w:p>
    <w:p>
      <w:pPr>
        <w:spacing w:after="140" w:before="0" w:line="288"/>
        <w:jc w:val="both"/>
      </w:pPr>
      <w:r>
        <w:rPr>
          <w:b/>
          <w:bCs/>
          <w:sz w:val="22"/>
          <w:szCs w:val="22"/>
        </w:rPr>
        <w:t xml:space="preserve">Conclusión.</w:t>
      </w:r>
      <w:r>
        <w:rPr>
          <w:sz w:val="22"/>
          <w:szCs w:val="22"/>
        </w:rPr>
        <w:t xml:space="preserve"> La teoría de CRS no ofrece una receta única: las mismas variables (proximidad, polaridad, amistad/enemistad y penetración) producen resultados opuestos según la estructura de cada región. Asia «exporta» su dinámica al sistema global; Medio Oriente la «importa».</w:t>
      </w:r>
    </w:p>
    <w:p>
      <w:pPr>
        <w:pStyle w:val="Heading1"/>
        <w:keepNext/>
      </w:pPr>
      <w:r>
        <w:t xml:space="preserve">9. Cooperación militar de Rusia con América Latina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Identifica cinco procesos o expresiones concretas de cooperación militar de Rusia con América Latina (país, tipo de cooperación, instrumento/acción, objetivo o interés, implicación regional). Selecciona dos casos y explica qué permiten observar sobre la estrategia rusa. Distingue entre hechos identificables e interpretación.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600"/>
        <w:gridCol w:w="2860"/>
        <w:gridCol w:w="1950"/>
        <w:gridCol w:w="1800"/>
      </w:tblGrid>
      <w:tr>
        <w:trPr>
          <w:cantSplit/>
          <w:tblHeader/>
        </w:trPr>
        <w:tc>
          <w:tcPr>
            <w:tcW w:type="dxa" w:w="115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País</w:t>
            </w:r>
          </w:p>
        </w:tc>
        <w:tc>
          <w:tcPr>
            <w:tcW w:type="dxa" w:w="16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Tipo de cooperación</w:t>
            </w:r>
          </w:p>
        </w:tc>
        <w:tc>
          <w:tcPr>
            <w:tcW w:type="dxa" w:w="286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Instrumento / acción</w:t>
            </w:r>
          </w:p>
        </w:tc>
        <w:tc>
          <w:tcPr>
            <w:tcW w:type="dxa" w:w="195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Objetivo o interés</w:t>
            </w:r>
          </w:p>
        </w:tc>
        <w:tc>
          <w:tcPr>
            <w:tcW w:type="dxa" w:w="18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Implicación regional</w:t>
            </w:r>
          </w:p>
        </w:tc>
      </w:tr>
      <w:tr>
        <w:trPr>
          <w:cantSplit/>
        </w:trPr>
        <w:tc>
          <w:tcPr>
            <w:tcW w:type="dxa" w:w="11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Brasil</w:t>
            </w:r>
          </w:p>
        </w:tc>
        <w:tc>
          <w:tcPr>
            <w:tcW w:type="dxa" w:w="16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Comercial‑industrial (venta y coproducción)</w:t>
            </w:r>
          </w:p>
        </w:tc>
        <w:tc>
          <w:tcPr>
            <w:tcW w:type="dxa" w:w="28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Compras por 306 mdd (2008‑2012): misiles portátiles Igla‑S y helicópteros de ataque Mi‑35. Visita a Rusia del jefe del Estado Mayor, José Carlos de Nardi, con Odebrecht, Embraer y Avibras (enero de 2012). Memorando Odebrecht‑Rostec para ensamblar helicópteros Mi‑171 y crear un centro de servicio para los Mi‑35</w:t>
            </w:r>
          </w:p>
        </w:tc>
        <w:tc>
          <w:tcPr>
            <w:tcW w:type="dxa" w:w="1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Rusia: mercado de armas y socio BRICS. Brasil: diversificar proveedores y obtener transferencia tecnológica</w:t>
            </w:r>
          </w:p>
        </w:tc>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Relación pragmática con una potencia regional autónoma, sin alineamiento ideológico</w:t>
            </w:r>
          </w:p>
        </w:tc>
      </w:tr>
      <w:tr>
        <w:trPr>
          <w:cantSplit/>
        </w:trPr>
        <w:tc>
          <w:tcPr>
            <w:tcW w:type="dxa" w:w="11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Venezuela</w:t>
            </w:r>
          </w:p>
        </w:tc>
        <w:tc>
          <w:tcPr>
            <w:tcW w:type="dxa" w:w="16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Alianza político‑militar (armas a crédito, despliegues, tratado)</w:t>
            </w:r>
          </w:p>
        </w:tc>
        <w:tc>
          <w:tcPr>
            <w:tcW w:type="dxa" w:w="28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100 000 fusiles AK‑103 y licencia para fabricarlos en el país; acuerdo de 2006 por cazas Su‑30MK2 y 53 helicópteros; sistemas S‑300VM; bombarderos Tu‑160 (2008, 2013, 2018); ~100 militares rusos en Caracas (marzo de 2019); Tratado de Asociación Estratégica (mayo de 2025, ratificado en octubre)</w:t>
            </w:r>
          </w:p>
        </w:tc>
        <w:tc>
          <w:tcPr>
            <w:tcW w:type="dxa" w:w="19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Proyectar poder cerca de EE. UU. (respuesta simbólica a la expansión de la OTAN); cobrar créditos; proteger inversiones energéticas</w:t>
            </w:r>
          </w:p>
        </w:tc>
        <w:tc>
          <w:tcPr>
            <w:tcW w:type="dxa" w:w="18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Percepción de carrera armamentista y polarización; en enero de 2026 Rusia condenó, pero no impidió, la operación de EE. UU. que capturó a Maduro</w:t>
            </w:r>
          </w:p>
        </w:tc>
      </w:tr>
      <w:tr>
        <w:trPr>
          <w:cantSplit/>
        </w:trPr>
        <w:tc>
          <w:tcPr>
            <w:tcW w:type="dxa" w:w="11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Nicaragua</w:t>
            </w:r>
          </w:p>
        </w:tc>
        <w:tc>
          <w:tcPr>
            <w:tcW w:type="dxa" w:w="16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Presencia técnica y de seguridad</w:t>
            </w:r>
          </w:p>
        </w:tc>
        <w:tc>
          <w:tcPr>
            <w:tcW w:type="dxa" w:w="28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50 tanques T‑72B1 (2016); estación GLONASS en la laguna de Nejapa (abril de 2017); centro de capacitación antidrogas afiliado al Ministerio del Interior ruso (2017); autorizaciones periódicas de la Asamblea Nacional para el ingreso de tropas, buques y aeronaves rusas</w:t>
            </w:r>
          </w:p>
        </w:tc>
        <w:tc>
          <w:tcPr>
            <w:tcW w:type="dxa" w:w="1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Punto de apoyo en Centroamérica; infraestructura de uso dual; respaldo político al gobierno de Ortega</w:t>
            </w:r>
          </w:p>
        </w:tc>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Tensión con EE. UU. y los vecinos; la cooperación «antidrogas» como vía de entrada</w:t>
            </w:r>
          </w:p>
        </w:tc>
      </w:tr>
      <w:tr>
        <w:trPr>
          <w:cantSplit/>
        </w:trPr>
        <w:tc>
          <w:tcPr>
            <w:tcW w:type="dxa" w:w="11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Cuba</w:t>
            </w:r>
          </w:p>
        </w:tc>
        <w:tc>
          <w:tcPr>
            <w:tcW w:type="dxa" w:w="16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Diplomacia naval y político‑estratégica</w:t>
            </w:r>
          </w:p>
        </w:tc>
        <w:tc>
          <w:tcPr>
            <w:tcW w:type="dxa" w:w="28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Condonación de cerca de 90% de la deuda de la época soviética (2014); visita a La Habana de la fragata Almirante Gorshkov y el submarino nuclear Kazán (junio de 2024), tras ejercicios en el Atlántico</w:t>
            </w:r>
          </w:p>
        </w:tc>
        <w:tc>
          <w:tcPr>
            <w:tcW w:type="dxa" w:w="19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Señalización estratégica frente al apoyo occidental a Ucrania; sostener a un aliado histórico</w:t>
            </w:r>
          </w:p>
        </w:tc>
        <w:tc>
          <w:tcPr>
            <w:tcW w:type="dxa" w:w="18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Evoca 1962 sin bases permanentes; EE. UU. respondió con despliegue naval; efecto más simbólico que operativo</w:t>
            </w:r>
          </w:p>
        </w:tc>
      </w:tr>
      <w:tr>
        <w:trPr>
          <w:cantSplit/>
        </w:trPr>
        <w:tc>
          <w:tcPr>
            <w:tcW w:type="dxa" w:w="11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Perú</w:t>
            </w:r>
          </w:p>
        </w:tc>
        <w:tc>
          <w:tcPr>
            <w:tcW w:type="dxa" w:w="16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Comercial‑técnica (equipo, entrenamiento y mantenimiento)</w:t>
            </w:r>
          </w:p>
        </w:tc>
        <w:tc>
          <w:tcPr>
            <w:tcW w:type="dxa" w:w="28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Contrato de diciembre de 2013 (~406 mdd) por 24 helicópteros Mi‑171Sh, con simulador, entrenamiento en Ulán‑Udé y un centro de mantenimiento en Perú</w:t>
            </w:r>
          </w:p>
        </w:tc>
        <w:tc>
          <w:tcPr>
            <w:tcW w:type="dxa" w:w="1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Rusia: mercado en un país cercano a EE. UU. Perú: helicópteros de alta montaña para el VRAEM (narcotráfico y remanentes de Sendero Luminoso)</w:t>
            </w:r>
          </w:p>
        </w:tc>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Dependencia logística: las sanciones posteriores a 2022 dificultan repuestos y mantenimiento</w:t>
            </w:r>
          </w:p>
        </w:tc>
      </w:tr>
    </w:tbl>
    <w:p>
      <w:pPr>
        <w:spacing w:after="120"/>
      </w:pPr>
    </w:p>
    <w:p>
      <w:pPr>
        <w:pStyle w:val="Heading2"/>
        <w:keepNext/>
      </w:pPr>
      <w:r>
        <w:t xml:space="preserve">Dos casos: qué revelan sobre la estrategia rusa</w:t>
      </w:r>
    </w:p>
    <w:p>
      <w:pPr>
        <w:pStyle w:val="Heading3"/>
        <w:keepNext/>
      </w:pPr>
      <w:r>
        <w:t xml:space="preserve">Venezuela: la dimensión geopolítica y simbólica</w:t>
      </w:r>
    </w:p>
    <w:p>
      <w:pPr>
        <w:spacing w:after="140" w:before="0" w:line="288"/>
        <w:jc w:val="both"/>
      </w:pPr>
      <w:r>
        <w:rPr>
          <w:b/>
          <w:bCs/>
          <w:sz w:val="22"/>
          <w:szCs w:val="22"/>
        </w:rPr>
        <w:t xml:space="preserve">Hechos identificables.</w:t>
      </w:r>
      <w:r>
        <w:rPr>
          <w:sz w:val="22"/>
          <w:szCs w:val="22"/>
        </w:rPr>
        <w:t xml:space="preserve"> Venta de armamento a crédito durante más de una década (fusiles AK‑103 con licencia de fabricación, cazas Su‑30MK2, helicópteros, sistemas antiaéreos S‑300VM); visitas de bombarderos estratégicos Tu‑160 en 2008, 2013 y 2018; llegada de cerca de cien militares rusos en marzo de 2019; firma del Tratado de Asociación Estratégica (mayo de 2025, ratificado por la Duma en octubre); condena rusa, sin acción militar, ante la operación estadounidense del 3 de enero de 2026.</w:t>
      </w:r>
    </w:p>
    <w:p>
      <w:pPr>
        <w:spacing w:after="140" w:before="0" w:line="288"/>
        <w:jc w:val="both"/>
      </w:pPr>
      <w:r>
        <w:rPr>
          <w:b/>
          <w:bCs/>
          <w:sz w:val="22"/>
          <w:szCs w:val="22"/>
        </w:rPr>
        <w:t xml:space="preserve">Interpretación.</w:t>
      </w:r>
      <w:r>
        <w:rPr>
          <w:sz w:val="22"/>
          <w:szCs w:val="22"/>
        </w:rPr>
        <w:t xml:space="preserve"> Venezuela muestra que, para Moscú, la cooperación militar en América Latina es sobre todo </w:t>
      </w:r>
      <w:r>
        <w:rPr>
          <w:b/>
          <w:bCs/>
          <w:sz w:val="22"/>
          <w:szCs w:val="22"/>
        </w:rPr>
        <w:t xml:space="preserve">señalización geopolítica</w:t>
      </w:r>
      <w:r>
        <w:rPr>
          <w:sz w:val="22"/>
          <w:szCs w:val="22"/>
        </w:rPr>
        <w:t xml:space="preserve">. Los despliegues muy visibles (bombarderos, buques) buscan demostrar que Rusia puede actuar en el entorno inmediato de EE. UU., como espejo de la presencia de la OTAN cerca de sus fronteras. El desenlace de 2026 revela su límite: Rusia ofrece señales, equipo y respaldo diplomático, no garantías de seguridad. Interpreto que es una estrategia de alto impacto simbólico y bajo costo, con poca capacidad real de proyección a 10 000 km y en plena guerra en Ucrania.</w:t>
      </w:r>
    </w:p>
    <w:p>
      <w:pPr>
        <w:pStyle w:val="Heading3"/>
        <w:keepNext/>
      </w:pPr>
      <w:r>
        <w:t xml:space="preserve">Brasil: la dimensión pragmática y comercial</w:t>
      </w:r>
    </w:p>
    <w:p>
      <w:pPr>
        <w:spacing w:after="140" w:before="0" w:line="288"/>
        <w:jc w:val="both"/>
      </w:pPr>
      <w:r>
        <w:rPr>
          <w:b/>
          <w:bCs/>
          <w:sz w:val="22"/>
          <w:szCs w:val="22"/>
        </w:rPr>
        <w:t xml:space="preserve">Hechos identificables.</w:t>
      </w:r>
      <w:r>
        <w:rPr>
          <w:sz w:val="22"/>
          <w:szCs w:val="22"/>
        </w:rPr>
        <w:t xml:space="preserve"> Compras por 306 mdd entre 2008 y 2012 (Igla‑S y Mi‑35); visita de una delegación militar brasileña con empresas de defensa (enero de 2012); memorando entre Odebrecht y la corporación estatal rusa para crear una empresa mixta de ensamblaje de helicópteros.</w:t>
      </w:r>
    </w:p>
    <w:p>
      <w:pPr>
        <w:spacing w:after="140" w:before="0" w:line="288"/>
        <w:jc w:val="both"/>
      </w:pPr>
      <w:r>
        <w:rPr>
          <w:b/>
          <w:bCs/>
          <w:sz w:val="22"/>
          <w:szCs w:val="22"/>
        </w:rPr>
        <w:t xml:space="preserve">Interpretación.</w:t>
      </w:r>
      <w:r>
        <w:rPr>
          <w:sz w:val="22"/>
          <w:szCs w:val="22"/>
        </w:rPr>
        <w:t xml:space="preserve"> Con un socio autónomo que no se alinea contra Washington, Rusia compite como proveedor y ofrece lo que EE. UU. suele restringir: transferencia tecnológica y coproducción. Esto encaja con la lógica Sur‑Sur y multipolar (BRICS) vista en clase. Más que construir un bloque, Rusia busca diversificar socios y erosionar el monopolio estadounidense como proveedor.</w:t>
      </w:r>
    </w:p>
    <w:p>
      <w:pPr>
        <w:spacing w:after="140" w:before="0" w:line="288"/>
        <w:jc w:val="both"/>
      </w:pPr>
      <w:r>
        <w:rPr>
          <w:b/>
          <w:bCs/>
          <w:sz w:val="22"/>
          <w:szCs w:val="22"/>
        </w:rPr>
        <w:t xml:space="preserve">Síntesis.</w:t>
      </w:r>
      <w:r>
        <w:rPr>
          <w:sz w:val="22"/>
          <w:szCs w:val="22"/>
        </w:rPr>
        <w:t xml:space="preserve"> Los dos casos indican que Rusia no tiene una sola estrategia, sino un </w:t>
      </w:r>
      <w:r>
        <w:rPr>
          <w:b/>
          <w:bCs/>
          <w:sz w:val="22"/>
          <w:szCs w:val="22"/>
        </w:rPr>
        <w:t xml:space="preserve">portafolio</w:t>
      </w:r>
      <w:r>
        <w:rPr>
          <w:sz w:val="22"/>
          <w:szCs w:val="22"/>
        </w:rPr>
        <w:t xml:space="preserve">: alineamiento político con gobiernos antagonistas de EE. UU. (Venezuela, Nicaragua, Cuba) y relaciones comerciales con Estados pragmáticos (Brasil, Perú). En ambos, la cooperación militar sirve menos a la seguridad regional que a la proyección global de Rusia.</w:t>
      </w:r>
    </w:p>
    <w:p>
      <w:pPr>
        <w:pStyle w:val="Heading1"/>
        <w:keepNext/>
      </w:pPr>
      <w:r>
        <w:t xml:space="preserve">10. Cooperación militar de Estados Unidos con América Latina y comparación con Rusia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A3B2" w:sz="8"/>
              <w:left w:val="single" w:color="9AA3B2" w:sz="8"/>
              <w:bottom w:val="single" w:color="9AA3B2" w:sz="8"/>
              <w:right w:val="single" w:color="9AA3B2" w:sz="8"/>
            </w:tcBorders>
            <w:shd w:fill="F3F4F6" w:color="auto" w:val="clear"/>
            <w:tcMar>
              <w:top w:type="dxa" w:w="120"/>
              <w:left w:type="dxa" w:w="180"/>
              <w:bottom w:type="dxa" w:w="120"/>
              <w:right w:type="dxa" w:w="180"/>
            </w:tcMar>
          </w:tcPr>
          <w:p>
            <w:pPr>
              <w:spacing w:after="70" w:line="276"/>
              <w:jc w:val="both"/>
            </w:pPr>
            <w:r>
              <w:rPr>
                <w:i/>
                <w:iCs/>
                <w:sz w:val="20"/>
                <w:szCs w:val="20"/>
              </w:rPr>
              <w:t xml:space="preserve">Identifica cinco procesos o expresiones concretas de cooperación militar de Estados Unidos con América Latina (misma estructura). Compara con la pregunta 9: ¿Rusia y Estados Unidos utilizan los mismos instrumentos y persiguen los mismos objetivos? Usa tres criterios de comparación y ejemplos concretos.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2960"/>
        <w:gridCol w:w="1950"/>
        <w:gridCol w:w="1800"/>
      </w:tblGrid>
      <w:tr>
        <w:trPr>
          <w:cantSplit/>
          <w:tblHeader/>
        </w:trPr>
        <w:tc>
          <w:tcPr>
            <w:tcW w:type="dxa" w:w="115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País</w:t>
            </w:r>
          </w:p>
        </w:tc>
        <w:tc>
          <w:tcPr>
            <w:tcW w:type="dxa" w:w="15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Tipo de cooperación</w:t>
            </w:r>
          </w:p>
        </w:tc>
        <w:tc>
          <w:tcPr>
            <w:tcW w:type="dxa" w:w="296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Instrumento / acción</w:t>
            </w:r>
          </w:p>
        </w:tc>
        <w:tc>
          <w:tcPr>
            <w:tcW w:type="dxa" w:w="195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Objetivo o interés</w:t>
            </w:r>
          </w:p>
        </w:tc>
        <w:tc>
          <w:tcPr>
            <w:tcW w:type="dxa" w:w="1800"/>
            <w:tcBorders>
              <w:top w:val="single" w:color="B8C1D1" w:sz="4"/>
              <w:left w:val="single" w:color="B8C1D1" w:sz="4"/>
              <w:bottom w:val="single" w:color="B8C1D1" w:sz="4"/>
              <w:right w:val="single" w:color="B8C1D1" w:sz="4"/>
            </w:tcBorders>
            <w:shd w:fill="1F2A44" w:color="auto" w:val="clear"/>
            <w:tcMar>
              <w:top w:type="dxa" w:w="70"/>
              <w:left w:type="dxa" w:w="90"/>
              <w:bottom w:type="dxa" w:w="70"/>
              <w:right w:type="dxa" w:w="90"/>
            </w:tcMar>
            <w:vAlign w:val="center"/>
          </w:tcPr>
          <w:p>
            <w:pPr>
              <w:spacing w:after="0" w:line="252"/>
            </w:pPr>
            <w:r>
              <w:rPr>
                <w:b/>
                <w:bCs/>
                <w:color w:val="FFFFFF"/>
                <w:sz w:val="16"/>
                <w:szCs w:val="16"/>
              </w:rPr>
              <w:t xml:space="preserve">Implicación regional</w:t>
            </w:r>
          </w:p>
        </w:tc>
      </w:tr>
      <w:tr>
        <w:trPr>
          <w:cantSplit/>
        </w:trPr>
        <w:tc>
          <w:tcPr>
            <w:tcW w:type="dxa" w:w="11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Colombia</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Asistencia militar y policial integral</w:t>
            </w:r>
          </w:p>
        </w:tc>
        <w:tc>
          <w:tcPr>
            <w:tcW w:type="dxa" w:w="29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Plan Colombia (2000‑2015): cerca de 10 000 mdd de EE. UU. en helicópteros, entrenamiento, inteligencia, erradicación y fortalecimiento institucional. Según el material de clase, «combina la ayuda social con el fortalecimiento institucional y la salvaguarda de los enclaves estratégicos»</w:t>
            </w:r>
          </w:p>
        </w:tc>
        <w:tc>
          <w:tcPr>
            <w:tcW w:type="dxa" w:w="1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Reducir la producción de cocaína y, desde 2002, derrotar a las insurgencias («narcoterrorismo»)</w:t>
            </w:r>
          </w:p>
        </w:tc>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Modelo de seguridad exportado; militarización antidrogas y «efecto globo»; Colombia, socio global de la OTAN (2018)</w:t>
            </w:r>
          </w:p>
        </w:tc>
      </w:tr>
      <w:tr>
        <w:trPr>
          <w:cantSplit/>
        </w:trPr>
        <w:tc>
          <w:tcPr>
            <w:tcW w:type="dxa" w:w="11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México</w:t>
            </w:r>
          </w:p>
        </w:tc>
        <w:tc>
          <w:tcPr>
            <w:tcW w:type="dxa" w:w="1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Cooperación en seguridad pública y justicia</w:t>
            </w:r>
          </w:p>
        </w:tc>
        <w:tc>
          <w:tcPr>
            <w:tcW w:type="dxa" w:w="29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Iniciativa Mérida (2008‑2021): unos 3 500 mdd en equipo, capacitación, reforma judicial y prevención del delito; sustituida en 2021 por el Entendimiento Bicentenario</w:t>
            </w:r>
          </w:p>
        </w:tc>
        <w:tc>
          <w:tcPr>
            <w:tcW w:type="dxa" w:w="19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Combatir el crimen organizado transnacional bajo la «responsabilidad compartida»; seguridad fronteriza</w:t>
            </w:r>
          </w:p>
        </w:tc>
        <w:tc>
          <w:tcPr>
            <w:tcW w:type="dxa" w:w="18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Militarización de la seguridad pública; la designación de cárteles como organizaciones terroristas (2025) tensa la relación con la soberanía</w:t>
            </w:r>
          </w:p>
        </w:tc>
      </w:tr>
      <w:tr>
        <w:trPr>
          <w:cantSplit/>
        </w:trPr>
        <w:tc>
          <w:tcPr>
            <w:tcW w:type="dxa" w:w="11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República Dominicana</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Acuerdo sobre el estatus del personal militar</w:t>
            </w:r>
          </w:p>
        </w:tc>
        <w:tc>
          <w:tcPr>
            <w:tcW w:type="dxa" w:w="29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Acuerdo del 20 de enero de 2015 para entrenamientos, ejercicios y ayuda humanitaria, con privilegios e inmunidades para el personal estadounidense; declarado inconstitucional por el Tribunal Constitucional (sentencia TC/0315/15)</w:t>
            </w:r>
          </w:p>
        </w:tc>
        <w:tc>
          <w:tcPr>
            <w:tcW w:type="dxa" w:w="1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Facilitar la presencia rotativa del Comando Sur en el Caribe (narcotráfico, desastres)</w:t>
            </w:r>
          </w:p>
        </w:tc>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Tensión entre cooperación y soberanía; precedente de control constitucional sobre acuerdos militares</w:t>
            </w:r>
          </w:p>
        </w:tc>
      </w:tr>
      <w:tr>
        <w:trPr>
          <w:cantSplit/>
        </w:trPr>
        <w:tc>
          <w:tcPr>
            <w:tcW w:type="dxa" w:w="11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b/>
                <w:bCs/>
                <w:sz w:val="16"/>
                <w:szCs w:val="16"/>
              </w:rPr>
              <w:t xml:space="preserve">Cuba</w:t>
            </w:r>
          </w:p>
        </w:tc>
        <w:tc>
          <w:tcPr>
            <w:tcW w:type="dxa" w:w="15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Normalización y cooperación de seguridad limitada</w:t>
            </w:r>
          </w:p>
        </w:tc>
        <w:tc>
          <w:tcPr>
            <w:tcW w:type="dxa" w:w="296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Restablecimiento de relaciones (julio de 2015) y arreglo bilateral antidrogas entre la DEA y la Dirección Nacional Antidrogas (julio de 2016)</w:t>
            </w:r>
          </w:p>
        </w:tc>
        <w:tc>
          <w:tcPr>
            <w:tcW w:type="dxa" w:w="195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Contener el tráfico en el estrecho de Florida y reducir el espacio de terceros (Rusia, China) mediante el acercamiento</w:t>
            </w:r>
          </w:p>
        </w:tc>
        <w:tc>
          <w:tcPr>
            <w:tcW w:type="dxa" w:w="1800"/>
            <w:tcBorders>
              <w:top w:val="single" w:color="B8C1D1" w:sz="4"/>
              <w:left w:val="single" w:color="B8C1D1" w:sz="4"/>
              <w:bottom w:val="single" w:color="B8C1D1" w:sz="4"/>
              <w:right w:val="single" w:color="B8C1D1" w:sz="4"/>
            </w:tcBorders>
            <w:shd w:fill="F4F6FA" w:color="auto" w:val="clear"/>
            <w:tcMar>
              <w:top w:type="dxa" w:w="60"/>
              <w:left w:type="dxa" w:w="90"/>
              <w:bottom w:type="dxa" w:w="60"/>
              <w:right w:type="dxa" w:w="90"/>
            </w:tcMar>
          </w:tcPr>
          <w:p>
            <w:pPr>
              <w:spacing w:after="0" w:line="252"/>
            </w:pPr>
            <w:r>
              <w:rPr>
                <w:sz w:val="16"/>
                <w:szCs w:val="16"/>
              </w:rPr>
              <w:t xml:space="preserve">Mostró que la cooperación podía sustituir a la confrontación; su reversión parcial desde 2017 muestra su fragilidad</w:t>
            </w:r>
          </w:p>
        </w:tc>
      </w:tr>
      <w:tr>
        <w:trPr>
          <w:cantSplit/>
        </w:trPr>
        <w:tc>
          <w:tcPr>
            <w:tcW w:type="dxa" w:w="11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b/>
                <w:bCs/>
                <w:sz w:val="16"/>
                <w:szCs w:val="16"/>
              </w:rPr>
              <w:t xml:space="preserve">Panamá</w:t>
            </w:r>
          </w:p>
        </w:tc>
        <w:tc>
          <w:tcPr>
            <w:tcW w:type="dxa" w:w="15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Presencia militar rotativa</w:t>
            </w:r>
          </w:p>
        </w:tc>
        <w:tc>
          <w:tcPr>
            <w:tcW w:type="dxa" w:w="296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Memorando Hegseth‑Ábrego (9 de abril de 2025): despliegue rotativo de personal y contratistas en áreas adyacentes al Canal (antiguas bases Rodman, Howard y Fuerte Sherman) por tres años</w:t>
            </w:r>
          </w:p>
        </w:tc>
        <w:tc>
          <w:tcPr>
            <w:tcW w:type="dxa" w:w="195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Asegurar una ruta estratégica y contener la influencia china en los puertos del Canal</w:t>
            </w:r>
          </w:p>
        </w:tc>
        <w:tc>
          <w:tcPr>
            <w:tcW w:type="dxa" w:w="1800"/>
            <w:tcBorders>
              <w:top w:val="single" w:color="B8C1D1" w:sz="4"/>
              <w:left w:val="single" w:color="B8C1D1" w:sz="4"/>
              <w:bottom w:val="single" w:color="B8C1D1" w:sz="4"/>
              <w:right w:val="single" w:color="B8C1D1" w:sz="4"/>
            </w:tcBorders>
            <w:shd w:fill="FFFFFF" w:color="auto" w:val="clear"/>
            <w:tcMar>
              <w:top w:type="dxa" w:w="60"/>
              <w:left w:type="dxa" w:w="90"/>
              <w:bottom w:type="dxa" w:w="60"/>
              <w:right w:type="dxa" w:w="90"/>
            </w:tcMar>
          </w:tcPr>
          <w:p>
            <w:pPr>
              <w:spacing w:after="0" w:line="252"/>
            </w:pPr>
            <w:r>
              <w:rPr>
                <w:sz w:val="16"/>
                <w:szCs w:val="16"/>
              </w:rPr>
              <w:t xml:space="preserve">Debate sobre soberanía y el Tratado de Neutralidad (1977); regreso de la presencia militar estadounidense tras 1999</w:t>
            </w:r>
          </w:p>
        </w:tc>
      </w:tr>
    </w:tbl>
    <w:p>
      <w:pPr>
        <w:spacing w:after="120"/>
      </w:pPr>
    </w:p>
    <w:p>
      <w:pPr>
        <w:pStyle w:val="Heading2"/>
        <w:keepNext/>
      </w:pPr>
      <w:r>
        <w:t xml:space="preserve">Comparación: ¿mismos instrumentos y mismos objetivos?</w:t>
      </w:r>
    </w:p>
    <w:p>
      <w:pPr>
        <w:pStyle w:val="Heading3"/>
        <w:keepNext/>
      </w:pPr>
      <w:r>
        <w:t xml:space="preserve">Criterio 1. Instrumentos</w:t>
      </w:r>
    </w:p>
    <w:p>
      <w:pPr>
        <w:spacing w:after="140" w:before="0" w:line="288"/>
        <w:jc w:val="both"/>
      </w:pPr>
      <w:r>
        <w:rPr>
          <w:b/>
          <w:bCs/>
          <w:sz w:val="22"/>
          <w:szCs w:val="22"/>
        </w:rPr>
        <w:t xml:space="preserve">Coincidencias.</w:t>
      </w:r>
      <w:r>
        <w:rPr>
          <w:sz w:val="22"/>
          <w:szCs w:val="22"/>
        </w:rPr>
        <w:t xml:space="preserve"> Ambos transfieren equipo (helicópteros rusos en Perú y Brasil; helicópteros estadounidenses en el Plan Colombia), entrenan personal y recurren al discurso antidrogas (el centro ruso en Managua frente a la Iniciativa Mérida). </w:t>
      </w:r>
      <w:r>
        <w:rPr>
          <w:b/>
          <w:bCs/>
          <w:sz w:val="22"/>
          <w:szCs w:val="22"/>
        </w:rPr>
        <w:t xml:space="preserve">Diferencias.</w:t>
      </w:r>
      <w:r>
        <w:rPr>
          <w:sz w:val="22"/>
          <w:szCs w:val="22"/>
        </w:rPr>
        <w:t xml:space="preserve"> Rusia privilegia la venta de armas, a menudo a crédito, la coproducción y los despliegues simbólicos de corta duración (bombarderos en Venezuela, buques en Cuba). Estados Unidos usa programas plurianuales de asistencia aprobados por su Congreso (Plan Colombia, Mérida), acuerdos sobre el estatus de su personal (República Dominicana), presencia rotativa (Panamá), un comando regional permanente (Comando Sur) y, en el extremo, la coerción directa (Venezuela, 2026).</w:t>
      </w:r>
    </w:p>
    <w:p>
      <w:pPr>
        <w:pStyle w:val="Heading3"/>
        <w:keepNext/>
      </w:pPr>
      <w:r>
        <w:t xml:space="preserve">Criterio 2. Objetivos</w:t>
      </w:r>
    </w:p>
    <w:p>
      <w:pPr>
        <w:spacing w:after="140" w:before="0" w:line="288"/>
        <w:jc w:val="both"/>
      </w:pPr>
      <w:r>
        <w:rPr>
          <w:sz w:val="22"/>
          <w:szCs w:val="22"/>
        </w:rPr>
        <w:t xml:space="preserve">Rusia persigue objetivos </w:t>
      </w:r>
      <w:r>
        <w:rPr>
          <w:b/>
          <w:bCs/>
          <w:sz w:val="22"/>
          <w:szCs w:val="22"/>
        </w:rPr>
        <w:t xml:space="preserve">globales con expresión regional</w:t>
      </w:r>
      <w:r>
        <w:rPr>
          <w:sz w:val="22"/>
          <w:szCs w:val="22"/>
        </w:rPr>
        <w:t xml:space="preserve">: responder a la OTAN con presencia en el entorno de EE. UU., obtener ingresos por exportaciones y sostener a aliados sancionados. Estados Unidos persigue objetivos </w:t>
      </w:r>
      <w:r>
        <w:rPr>
          <w:b/>
          <w:bCs/>
          <w:sz w:val="22"/>
          <w:szCs w:val="22"/>
        </w:rPr>
        <w:t xml:space="preserve">hemisféricos</w:t>
      </w:r>
      <w:r>
        <w:rPr>
          <w:sz w:val="22"/>
          <w:szCs w:val="22"/>
        </w:rPr>
        <w:t xml:space="preserve">: controlar amenazas transnacionales (drogas, crimen organizado, migración) y preservar su primacía excluyendo a competidores extrahemisféricos, como China en Panamá o Rusia en Venezuela. Dicho de otro modo, Rusia busca </w:t>
      </w:r>
      <w:r>
        <w:rPr>
          <w:b/>
          <w:bCs/>
          <w:sz w:val="22"/>
          <w:szCs w:val="22"/>
        </w:rPr>
        <w:t xml:space="preserve">contestar</w:t>
      </w:r>
      <w:r>
        <w:rPr>
          <w:sz w:val="22"/>
          <w:szCs w:val="22"/>
        </w:rPr>
        <w:t xml:space="preserve"> el orden regional y Estados Unidos busca </w:t>
      </w:r>
      <w:r>
        <w:rPr>
          <w:b/>
          <w:bCs/>
          <w:sz w:val="22"/>
          <w:szCs w:val="22"/>
        </w:rPr>
        <w:t xml:space="preserve">conservarlo</w:t>
      </w:r>
      <w:r>
        <w:rPr>
          <w:sz w:val="22"/>
          <w:szCs w:val="22"/>
        </w:rPr>
        <w:t xml:space="preserve">.</w:t>
      </w:r>
    </w:p>
    <w:p>
      <w:pPr>
        <w:pStyle w:val="Heading3"/>
        <w:keepNext/>
      </w:pPr>
      <w:r>
        <w:t xml:space="preserve">Criterio 3. Alcance, socios y efecto regional</w:t>
      </w:r>
    </w:p>
    <w:p>
      <w:pPr>
        <w:spacing w:after="140" w:before="0" w:line="288"/>
        <w:jc w:val="both"/>
      </w:pPr>
      <w:r>
        <w:rPr>
          <w:sz w:val="22"/>
          <w:szCs w:val="22"/>
        </w:rPr>
        <w:t xml:space="preserve">Rusia coopera con pocos socios, casi siempre gobiernos antagonistas de Washington (Venezuela, Nicaragua, Cuba), y con algunos Estados pragmáticos (Brasil, Perú). Su presencia es reversible y depende de la supervivencia de esos gobiernos. Estados Unidos coopera con gobiernos de distinta orientación dentro de una red institucional densa: el TIAR (1947), la Junta Interamericana de Defensa, la OEA y el Comando Sur. En términos de Buzan y Wæver, Norteamérica (incluidos México, Centroamérica y el Caribe) es un complejo centrado en EE. UU., y en Sudamérica Washington es la potencia externa más influyente; Rusia, en cambio, intenta </w:t>
      </w:r>
      <w:r>
        <w:rPr>
          <w:b/>
          <w:bCs/>
          <w:sz w:val="22"/>
          <w:szCs w:val="22"/>
        </w:rPr>
        <w:t xml:space="preserve">penetrar</w:t>
      </w:r>
      <w:r>
        <w:rPr>
          <w:sz w:val="22"/>
          <w:szCs w:val="22"/>
        </w:rPr>
        <w:t xml:space="preserve"> ambos espacios desde fuera. Eso explica la asimetría de capacidades que se vio en Venezuela en 2026. Aun así, la cooperación estadounidense genera sus propias tensiones de soberanía, como muestran la sentencia del Tribunal Constitucional dominicano y el debate en Panamá.</w:t>
      </w:r>
    </w:p>
    <w:p>
      <w:pPr>
        <w:spacing w:after="140" w:before="0" w:line="288"/>
        <w:jc w:val="both"/>
      </w:pPr>
      <w:r>
        <w:rPr>
          <w:b/>
          <w:bCs/>
          <w:sz w:val="22"/>
          <w:szCs w:val="22"/>
        </w:rPr>
        <w:t xml:space="preserve">Conclusión.</w:t>
      </w:r>
      <w:r>
        <w:rPr>
          <w:sz w:val="22"/>
          <w:szCs w:val="22"/>
        </w:rPr>
        <w:t xml:space="preserve"> No: comparten algunos instrumentos, pero no los objetivos ni la escala. Estados Unidos usa la cooperación militar para </w:t>
      </w:r>
      <w:r>
        <w:rPr>
          <w:b/>
          <w:bCs/>
          <w:sz w:val="22"/>
          <w:szCs w:val="22"/>
        </w:rPr>
        <w:t xml:space="preserve">gestionar su esfera de influencia</w:t>
      </w:r>
      <w:r>
        <w:rPr>
          <w:sz w:val="22"/>
          <w:szCs w:val="22"/>
        </w:rPr>
        <w:t xml:space="preserve">; Rusia, para </w:t>
      </w:r>
      <w:r>
        <w:rPr>
          <w:b/>
          <w:bCs/>
          <w:sz w:val="22"/>
          <w:szCs w:val="22"/>
        </w:rPr>
        <w:t xml:space="preserve">señalizar</w:t>
      </w:r>
      <w:r>
        <w:rPr>
          <w:sz w:val="22"/>
          <w:szCs w:val="22"/>
        </w:rPr>
        <w:t xml:space="preserve"> su estatus de potencia global con recursos limitados. A partir del material de clase sobre la cooperación de China con Argentina y Bolivia, añado que la competencia ya no es bipolar. El «nuevo regionalismo» y la cooperación Sur‑Sur dan a América Latina más opciones, pero también la exponen a ser escenario de la rivalidad entre potencias.</w:t>
      </w:r>
    </w:p>
    <w:p>
      <w:pPr>
        <w:pStyle w:val="Heading1"/>
        <w:keepNext/>
        <w:pageBreakBefore/>
      </w:pPr>
      <w:r>
        <w:t xml:space="preserve">Referencias</w:t>
      </w:r>
    </w:p>
    <w:p>
      <w:pPr>
        <w:spacing w:after="70" w:line="252"/>
        <w:ind w:left="540" w:hanging="540"/>
        <w:jc w:val="left"/>
      </w:pPr>
      <w:r>
        <w:rPr>
          <w:sz w:val="19"/>
          <w:szCs w:val="19"/>
        </w:rPr>
        <w:t xml:space="preserve">Buzan, B. (1991). </w:t>
      </w:r>
      <w:r>
        <w:rPr>
          <w:i/>
          <w:iCs/>
          <w:sz w:val="19"/>
          <w:szCs w:val="19"/>
        </w:rPr>
        <w:t xml:space="preserve">People, states and fear: An agenda for international security studies in the post‑Cold War era</w:t>
      </w:r>
      <w:r>
        <w:rPr>
          <w:sz w:val="19"/>
          <w:szCs w:val="19"/>
        </w:rPr>
        <w:t xml:space="preserve"> (2.ª ed.). Lynne Rienner.</w:t>
      </w:r>
    </w:p>
    <w:p>
      <w:pPr>
        <w:spacing w:after="70" w:line="252"/>
        <w:ind w:left="540" w:hanging="540"/>
        <w:jc w:val="left"/>
      </w:pPr>
      <w:r>
        <w:rPr>
          <w:sz w:val="19"/>
          <w:szCs w:val="19"/>
        </w:rPr>
        <w:t xml:space="preserve">Buzan, B., y Wæver, O. (2003). </w:t>
      </w:r>
      <w:r>
        <w:rPr>
          <w:i/>
          <w:iCs/>
          <w:sz w:val="19"/>
          <w:szCs w:val="19"/>
        </w:rPr>
        <w:t xml:space="preserve">Regions and powers: The structure of international security</w:t>
      </w:r>
      <w:r>
        <w:rPr>
          <w:sz w:val="19"/>
          <w:szCs w:val="19"/>
        </w:rPr>
        <w:t xml:space="preserve">. Cambridge University Press.</w:t>
      </w:r>
    </w:p>
    <w:p>
      <w:pPr>
        <w:spacing w:after="70" w:line="252"/>
        <w:ind w:left="540" w:hanging="540"/>
        <w:jc w:val="left"/>
      </w:pPr>
      <w:r>
        <w:rPr>
          <w:sz w:val="19"/>
          <w:szCs w:val="19"/>
        </w:rPr>
        <w:t xml:space="preserve">Buzan, B., Wæver, O., y de Wilde, J. (1998). </w:t>
      </w:r>
      <w:r>
        <w:rPr>
          <w:i/>
          <w:iCs/>
          <w:sz w:val="19"/>
          <w:szCs w:val="19"/>
        </w:rPr>
        <w:t xml:space="preserve">Security: A new framework for analysis</w:t>
      </w:r>
      <w:r>
        <w:rPr>
          <w:sz w:val="19"/>
          <w:szCs w:val="19"/>
        </w:rPr>
        <w:t xml:space="preserve">. Lynne Rienner.</w:t>
      </w:r>
    </w:p>
    <w:p>
      <w:pPr>
        <w:spacing w:after="70" w:line="252"/>
        <w:ind w:left="540" w:hanging="540"/>
        <w:jc w:val="left"/>
      </w:pPr>
      <w:r>
        <w:rPr>
          <w:sz w:val="19"/>
          <w:szCs w:val="19"/>
        </w:rPr>
        <w:t xml:space="preserve">CNN y Turner Original Productions. (1998). </w:t>
      </w:r>
      <w:r>
        <w:rPr>
          <w:i/>
          <w:iCs/>
          <w:sz w:val="19"/>
          <w:szCs w:val="19"/>
        </w:rPr>
        <w:t xml:space="preserve">Cold War</w:t>
      </w:r>
      <w:r>
        <w:rPr>
          <w:sz w:val="19"/>
          <w:szCs w:val="19"/>
        </w:rPr>
        <w:t xml:space="preserve"> [La Guerra Fría], cap. 3: «Marshall Plan, 1947‑1952» [Serie documental].</w:t>
      </w:r>
    </w:p>
    <w:p>
      <w:pPr>
        <w:spacing w:after="70" w:line="252"/>
        <w:ind w:left="540" w:hanging="540"/>
        <w:jc w:val="left"/>
      </w:pPr>
      <w:r>
        <w:rPr>
          <w:sz w:val="19"/>
          <w:szCs w:val="19"/>
        </w:rPr>
        <w:t xml:space="preserve">Comisión de Seguridad Humana. (2003). </w:t>
      </w:r>
      <w:r>
        <w:rPr>
          <w:i/>
          <w:iCs/>
          <w:sz w:val="19"/>
          <w:szCs w:val="19"/>
        </w:rPr>
        <w:t xml:space="preserve">Human security now</w:t>
      </w:r>
      <w:r>
        <w:rPr>
          <w:sz w:val="19"/>
          <w:szCs w:val="19"/>
        </w:rPr>
        <w:t xml:space="preserve">. Naciones Unidas.</w:t>
      </w:r>
    </w:p>
    <w:p>
      <w:pPr>
        <w:spacing w:after="70" w:line="252"/>
        <w:ind w:left="540" w:hanging="540"/>
        <w:jc w:val="left"/>
      </w:pPr>
      <w:r>
        <w:rPr>
          <w:sz w:val="19"/>
          <w:szCs w:val="19"/>
        </w:rPr>
        <w:t xml:space="preserve">Comisión Internacional sobre Intervención y Soberanía de los Estados. (2001). </w:t>
      </w:r>
      <w:r>
        <w:rPr>
          <w:i/>
          <w:iCs/>
          <w:sz w:val="19"/>
          <w:szCs w:val="19"/>
        </w:rPr>
        <w:t xml:space="preserve">La responsabilidad de proteger</w:t>
      </w:r>
      <w:r>
        <w:rPr>
          <w:sz w:val="19"/>
          <w:szCs w:val="19"/>
        </w:rPr>
        <w:t xml:space="preserve">. CIIIE.</w:t>
      </w:r>
    </w:p>
    <w:p>
      <w:pPr>
        <w:spacing w:after="70" w:line="252"/>
        <w:ind w:left="540" w:hanging="540"/>
        <w:jc w:val="left"/>
      </w:pPr>
      <w:r>
        <w:rPr>
          <w:sz w:val="19"/>
          <w:szCs w:val="19"/>
        </w:rPr>
        <w:t xml:space="preserve">Congressional Research Service. (2022). </w:t>
      </w:r>
      <w:r>
        <w:rPr>
          <w:i/>
          <w:iCs/>
          <w:sz w:val="19"/>
          <w:szCs w:val="19"/>
        </w:rPr>
        <w:t xml:space="preserve">Mexico: Evolution of the Mérida Initiative, FY2008‑FY2022</w:t>
      </w:r>
      <w:r>
        <w:rPr>
          <w:sz w:val="19"/>
          <w:szCs w:val="19"/>
        </w:rPr>
        <w:t xml:space="preserve"> (IF10578).</w:t>
      </w:r>
    </w:p>
    <w:p>
      <w:pPr>
        <w:spacing w:after="70" w:line="252"/>
        <w:ind w:left="540" w:hanging="540"/>
        <w:jc w:val="left"/>
      </w:pPr>
      <w:r>
        <w:rPr>
          <w:sz w:val="19"/>
          <w:szCs w:val="19"/>
        </w:rPr>
        <w:t xml:space="preserve">Gómez García, B. E. (2014). El binomio seguridad‑desarrollo: ¿de qué estamos hablando? </w:t>
      </w:r>
      <w:r>
        <w:rPr>
          <w:i/>
          <w:iCs/>
          <w:sz w:val="19"/>
          <w:szCs w:val="19"/>
        </w:rPr>
        <w:t xml:space="preserve">Trabajos de Investigación en Paradiplomacia</w:t>
      </w:r>
      <w:r>
        <w:rPr>
          <w:sz w:val="19"/>
          <w:szCs w:val="19"/>
        </w:rPr>
        <w:t xml:space="preserve">, 2(1), 15‑36.</w:t>
      </w:r>
    </w:p>
    <w:p>
      <w:pPr>
        <w:spacing w:after="70" w:line="252"/>
        <w:ind w:left="540" w:hanging="540"/>
        <w:jc w:val="left"/>
      </w:pPr>
      <w:r>
        <w:rPr>
          <w:sz w:val="19"/>
          <w:szCs w:val="19"/>
        </w:rPr>
        <w:t xml:space="preserve">Gómez García, B. E. (2026). Presentaciones del curso de Cooperación Internacional: «Arquitectura institucional después de 1945»; «Cooperación militar»; «Los procesos de cooperación y conflicto en las Relaciones Internacionales»; «Geopolítica de los materiales críticos»; «¿Desarrollarse es crecer?»; «Seguridad internacional y complejos regionales de seguridad»; «Ciclo del proyecto para la intervención social»; «Economía de la rosquilla» [Material de clase].</w:t>
      </w:r>
    </w:p>
    <w:p>
      <w:pPr>
        <w:spacing w:after="70" w:line="252"/>
        <w:ind w:left="540" w:hanging="540"/>
        <w:jc w:val="left"/>
      </w:pPr>
      <w:r>
        <w:rPr>
          <w:sz w:val="19"/>
          <w:szCs w:val="19"/>
        </w:rPr>
        <w:t xml:space="preserve">International Energy Agency. (2025). </w:t>
      </w:r>
      <w:r>
        <w:rPr>
          <w:i/>
          <w:iCs/>
          <w:sz w:val="19"/>
          <w:szCs w:val="19"/>
        </w:rPr>
        <w:t xml:space="preserve">Global critical minerals outlook 2025</w:t>
      </w:r>
      <w:r>
        <w:rPr>
          <w:sz w:val="19"/>
          <w:szCs w:val="19"/>
        </w:rPr>
        <w:t xml:space="preserve">. IEA.</w:t>
      </w:r>
    </w:p>
    <w:p>
      <w:pPr>
        <w:spacing w:after="70" w:line="252"/>
        <w:ind w:left="540" w:hanging="540"/>
        <w:jc w:val="left"/>
      </w:pPr>
      <w:r>
        <w:rPr>
          <w:sz w:val="19"/>
          <w:szCs w:val="19"/>
        </w:rPr>
        <w:t xml:space="preserve">Keohane, R. O. (1984). </w:t>
      </w:r>
      <w:r>
        <w:rPr>
          <w:i/>
          <w:iCs/>
          <w:sz w:val="19"/>
          <w:szCs w:val="19"/>
        </w:rPr>
        <w:t xml:space="preserve">After hegemony: Cooperation and discord in the world political economy</w:t>
      </w:r>
      <w:r>
        <w:rPr>
          <w:sz w:val="19"/>
          <w:szCs w:val="19"/>
        </w:rPr>
        <w:t xml:space="preserve">. Princeton University Press.</w:t>
      </w:r>
    </w:p>
    <w:p>
      <w:pPr>
        <w:spacing w:after="70" w:line="252"/>
        <w:ind w:left="540" w:hanging="540"/>
        <w:jc w:val="left"/>
      </w:pPr>
      <w:r>
        <w:rPr>
          <w:sz w:val="19"/>
          <w:szCs w:val="19"/>
        </w:rPr>
        <w:t xml:space="preserve">Marrero Rocha, I. (s. f.). </w:t>
      </w:r>
      <w:r>
        <w:rPr>
          <w:i/>
          <w:iCs/>
          <w:sz w:val="19"/>
          <w:szCs w:val="19"/>
        </w:rPr>
        <w:t xml:space="preserve">Los procesos de cooperación y conflicto en las relaciones internacionales: continuidad y cambio</w:t>
      </w:r>
      <w:r>
        <w:rPr>
          <w:sz w:val="19"/>
          <w:szCs w:val="19"/>
        </w:rPr>
        <w:t xml:space="preserve"> [Lectura del curso].</w:t>
      </w:r>
    </w:p>
    <w:p>
      <w:pPr>
        <w:spacing w:after="70" w:line="252"/>
        <w:ind w:left="540" w:hanging="540"/>
        <w:jc w:val="left"/>
      </w:pPr>
      <w:r>
        <w:rPr>
          <w:sz w:val="19"/>
          <w:szCs w:val="19"/>
        </w:rPr>
        <w:t xml:space="preserve">Organización del Tratado del Atlántico Norte. (2022). </w:t>
      </w:r>
      <w:r>
        <w:rPr>
          <w:i/>
          <w:iCs/>
          <w:sz w:val="19"/>
          <w:szCs w:val="19"/>
        </w:rPr>
        <w:t xml:space="preserve">Concepto Estratégico 2022</w:t>
      </w:r>
      <w:r>
        <w:rPr>
          <w:sz w:val="19"/>
          <w:szCs w:val="19"/>
        </w:rPr>
        <w:t xml:space="preserve">. OTAN.</w:t>
      </w:r>
    </w:p>
    <w:p>
      <w:pPr>
        <w:spacing w:after="70" w:line="252"/>
        <w:ind w:left="540" w:hanging="540"/>
        <w:jc w:val="left"/>
      </w:pPr>
      <w:r>
        <w:rPr>
          <w:sz w:val="19"/>
          <w:szCs w:val="19"/>
        </w:rPr>
        <w:t xml:space="preserve">Organización del Tratado del Atlántico Norte. (2025). </w:t>
      </w:r>
      <w:r>
        <w:rPr>
          <w:i/>
          <w:iCs/>
          <w:sz w:val="19"/>
          <w:szCs w:val="19"/>
        </w:rPr>
        <w:t xml:space="preserve">Declaración de la Cumbre de La Haya</w:t>
      </w:r>
      <w:r>
        <w:rPr>
          <w:sz w:val="19"/>
          <w:szCs w:val="19"/>
        </w:rPr>
        <w:t xml:space="preserve">. OTAN.</w:t>
      </w:r>
    </w:p>
    <w:p>
      <w:pPr>
        <w:spacing w:after="70" w:line="252"/>
        <w:ind w:left="540" w:hanging="540"/>
        <w:jc w:val="left"/>
      </w:pPr>
      <w:r>
        <w:rPr>
          <w:sz w:val="19"/>
          <w:szCs w:val="19"/>
        </w:rPr>
        <w:t xml:space="preserve">Programa de las Naciones Unidas para el Desarrollo. (1994). </w:t>
      </w:r>
      <w:r>
        <w:rPr>
          <w:i/>
          <w:iCs/>
          <w:sz w:val="19"/>
          <w:szCs w:val="19"/>
        </w:rPr>
        <w:t xml:space="preserve">Informe sobre Desarrollo Humano 1994</w:t>
      </w:r>
      <w:r>
        <w:rPr>
          <w:sz w:val="19"/>
          <w:szCs w:val="19"/>
        </w:rPr>
        <w:t xml:space="preserve">. PNUD.</w:t>
      </w:r>
    </w:p>
    <w:p>
      <w:pPr>
        <w:spacing w:after="70" w:line="252"/>
        <w:ind w:left="540" w:hanging="540"/>
        <w:jc w:val="left"/>
      </w:pPr>
      <w:r>
        <w:rPr>
          <w:sz w:val="19"/>
          <w:szCs w:val="19"/>
        </w:rPr>
        <w:t xml:space="preserve">Raworth, K. (2017). </w:t>
      </w:r>
      <w:r>
        <w:rPr>
          <w:i/>
          <w:iCs/>
          <w:sz w:val="19"/>
          <w:szCs w:val="19"/>
        </w:rPr>
        <w:t xml:space="preserve">Doughnut economics: Seven ways to think like a 21st‑century economist</w:t>
      </w:r>
      <w:r>
        <w:rPr>
          <w:sz w:val="19"/>
          <w:szCs w:val="19"/>
        </w:rPr>
        <w:t xml:space="preserve">. Random House.</w:t>
      </w:r>
    </w:p>
    <w:p>
      <w:pPr>
        <w:spacing w:after="70" w:line="252"/>
        <w:ind w:left="540" w:hanging="540"/>
        <w:jc w:val="left"/>
      </w:pPr>
      <w:r>
        <w:rPr>
          <w:sz w:val="19"/>
          <w:szCs w:val="19"/>
        </w:rPr>
        <w:t xml:space="preserve">Sen, A. (1999). </w:t>
      </w:r>
      <w:r>
        <w:rPr>
          <w:i/>
          <w:iCs/>
          <w:sz w:val="19"/>
          <w:szCs w:val="19"/>
        </w:rPr>
        <w:t xml:space="preserve">Development as freedom</w:t>
      </w:r>
      <w:r>
        <w:rPr>
          <w:sz w:val="19"/>
          <w:szCs w:val="19"/>
        </w:rPr>
        <w:t xml:space="preserve">. Anchor Books.</w:t>
      </w:r>
    </w:p>
    <w:p>
      <w:pPr>
        <w:spacing w:after="70" w:line="252"/>
        <w:ind w:left="540" w:hanging="540"/>
        <w:jc w:val="left"/>
      </w:pPr>
      <w:r>
        <w:rPr>
          <w:sz w:val="19"/>
          <w:szCs w:val="19"/>
        </w:rPr>
        <w:t xml:space="preserve">Tribunal Constitucional de la República Dominicana. (2015). </w:t>
      </w:r>
      <w:r>
        <w:rPr>
          <w:i/>
          <w:iCs/>
          <w:sz w:val="19"/>
          <w:szCs w:val="19"/>
        </w:rPr>
        <w:t xml:space="preserve">Sentencia TC/0315/15</w:t>
      </w:r>
      <w:r>
        <w:rPr>
          <w:sz w:val="19"/>
          <w:szCs w:val="19"/>
        </w:rPr>
        <w:t xml:space="preserve">.</w:t>
      </w:r>
    </w:p>
    <w:p>
      <w:pPr>
        <w:spacing w:after="70" w:line="252"/>
        <w:ind w:left="540" w:hanging="540"/>
        <w:jc w:val="left"/>
      </w:pPr>
      <w:r>
        <w:rPr>
          <w:sz w:val="19"/>
          <w:szCs w:val="19"/>
        </w:rPr>
        <w:t xml:space="preserve">Ullman, R. H. (1983). Redefining security. </w:t>
      </w:r>
      <w:r>
        <w:rPr>
          <w:i/>
          <w:iCs/>
          <w:sz w:val="19"/>
          <w:szCs w:val="19"/>
        </w:rPr>
        <w:t xml:space="preserve">International Security</w:t>
      </w:r>
      <w:r>
        <w:rPr>
          <w:sz w:val="19"/>
          <w:szCs w:val="19"/>
        </w:rPr>
        <w:t xml:space="preserve">, 8(1), 129‑153.</w:t>
      </w:r>
    </w:p>
    <w:p>
      <w:pPr>
        <w:spacing w:after="70" w:line="252"/>
        <w:ind w:left="540" w:hanging="540"/>
        <w:jc w:val="left"/>
      </w:pPr>
      <w:r>
        <w:rPr>
          <w:sz w:val="19"/>
          <w:szCs w:val="19"/>
        </w:rPr>
        <w:t xml:space="preserve">U.S. Government Accountability Office. (2008). </w:t>
      </w:r>
      <w:r>
        <w:rPr>
          <w:i/>
          <w:iCs/>
          <w:sz w:val="19"/>
          <w:szCs w:val="19"/>
        </w:rPr>
        <w:t xml:space="preserve">Plan Colombia: Drug reduction goals were not fully met, but security has improved</w:t>
      </w:r>
      <w:r>
        <w:rPr>
          <w:sz w:val="19"/>
          <w:szCs w:val="19"/>
        </w:rPr>
        <w:t xml:space="preserve"> (GAO‑09‑71).</w:t>
      </w:r>
    </w:p>
    <w:p>
      <w:pPr>
        <w:spacing w:after="70" w:line="252"/>
        <w:ind w:left="540" w:hanging="540"/>
        <w:jc w:val="left"/>
      </w:pPr>
      <w:r>
        <w:rPr>
          <w:b/>
          <w:bCs/>
          <w:sz w:val="19"/>
          <w:szCs w:val="19"/>
        </w:rPr>
        <w:t xml:space="preserve">Notas de prensa y fuentes de datos recientes:</w:t>
      </w:r>
      <w:r>
        <w:rPr>
          <w:sz w:val="19"/>
          <w:szCs w:val="19"/>
        </w:rPr>
        <w:t xml:space="preserve"> The Moscow Times (7 de mayo de 2025), tratado Rusia‑Venezuela; CNN (3 de enero de 2026), captura de Maduro; USNI News (12 de junio de 2024), visita naval rusa a Cuba; Airforce Technology (2014), helicópteros Mi‑171Sh para Perú; Defense News (19 de mayo de 2017), estación GLONASS en Nicaragua; Infodefensa (2015), acuerdo República Dominicana‑EE. UU.; Departamento de Defensa de EE. UU. (abril de 2025), memorando con Panamá.</w:t>
      </w:r>
    </w:p>
    <w:sectPr>
      <w:footerReference w:type="default" r:id="rId19"/>
      <w:footerReference w:type="first" r:id="rId20"/>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Cooperación Internacional · Trabajo de evaluación · </w:t>
    </w:r>
    <w:r>
      <w:rPr>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Cooperación Internacional · Trabajo de evaluación · </w:t>
    </w:r>
    <w:r>
      <w:rPr>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Cooperación Internacional · Trabajo de evaluación · </w:t>
    </w:r>
    <w:r>
      <w:rPr>
        <w:color w:val="777777"/>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Cooperación Internacional · Trabajo de evaluación · </w:t>
    </w:r>
    <w:r>
      <w:rPr>
        <w:color w:val="777777"/>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Cooperación Internacional · Trabajo de evaluación · </w:t>
    </w:r>
    <w:r>
      <w:rPr>
        <w:color w:val="777777"/>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Cooperación Internacional · Trabajo de evaluación · </w:t>
    </w:r>
    <w:r>
      <w:rPr>
        <w:color w:val="777777"/>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Cooperación Internacional · Trabajo de evaluación · </w:t>
    </w:r>
    <w:r>
      <w:rPr>
        <w:color w:val="777777"/>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4A8" w:sz="12" w:space="4"/>
      </w:pBdr>
      <w:spacing w:after="200" w:before="420"/>
      <w:outlineLvl w:val="0"/>
    </w:pPr>
    <w:rPr>
      <w:rFonts w:ascii="Arial" w:cs="Arial" w:eastAsia="Arial" w:hAnsi="Arial"/>
      <w:b/>
      <w:bCs/>
      <w:color w:val="1F2A4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64A8"/>
      <w:sz w:val="25"/>
      <w:szCs w:val="25"/>
    </w:rPr>
  </w:style>
  <w:style w:type="paragraph" w:styleId="Heading3">
    <w:name w:val="Heading 3"/>
    <w:basedOn w:val="Normal"/>
    <w:next w:val="Normal"/>
    <w:qFormat/>
    <w:pPr>
      <w:spacing w:after="90" w:before="180"/>
      <w:outlineLvl w:val="2"/>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image" Target="media/4dc6890be3c8ef9dcddfb7825b4b2280666b36d9.png"/><Relationship Id="rId22" Type="http://schemas.openxmlformats.org/officeDocument/2006/relationships/image" Target="media/7c7decfa811b4dfa60c76af620f03b09c1709599.png"/><Relationship Id="rId23" Type="http://schemas.openxmlformats.org/officeDocument/2006/relationships/image" Target="media/5cfa2f32a33646352e33c3dfcd3711476ac9780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desarrollo y cooperación internacional</dc:title>
  <dc:creator>Alumno(a)</dc:creator>
  <dc:description>Trabajo de evaluación del curso de Cooperación Internacional</dc:description>
  <cp:lastModifiedBy>Un-named</cp:lastModifiedBy>
  <cp:revision>1</cp:revision>
  <dcterms:created xsi:type="dcterms:W3CDTF">2026-10-06T01:27:34.432Z</dcterms:created>
  <dcterms:modified xsi:type="dcterms:W3CDTF">2026-10-06T01:27:34.433Z</dcterms:modified>
</cp:coreProperties>
</file>

<file path=docProps/custom.xml><?xml version="1.0" encoding="utf-8"?>
<Properties xmlns="http://schemas.openxmlformats.org/officeDocument/2006/custom-properties" xmlns:vt="http://schemas.openxmlformats.org/officeDocument/2006/docPropsVTypes"/>
</file>